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MiR-665调控STAT3/IL-17环路对自身免疫性葡萄膜炎的作用研究</w:t>
      </w:r>
      <w:r>
        <w:rPr>
          <w:rFonts w:hint="eastAsia" w:ascii="宋体" w:hAnsi="宋体" w:eastAsia="宋体" w:cs="宋体"/>
          <w:b w:val="0"/>
          <w:bCs w:val="0"/>
          <w:color w:val="000000"/>
          <w:sz w:val="36"/>
          <w:szCs w:val="36"/>
        </w:rPr>
        <w:t>项目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采购需求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</w:p>
    <w:p>
      <w:pPr>
        <w:pStyle w:val="16"/>
        <w:numPr>
          <w:ilvl w:val="0"/>
          <w:numId w:val="2"/>
        </w:numPr>
        <w:spacing w:line="460" w:lineRule="exact"/>
        <w:ind w:firstLineChars="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投标人资格条件</w:t>
      </w:r>
    </w:p>
    <w:p>
      <w:pPr>
        <w:spacing w:line="46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（一）一般资格条件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具有独立承担民事责任的能力；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具有良好的商业信誉和健全的财务会计制度；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具有履行合同所必需的设备和专业技术能力；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有依法缴纳税收和社会保障资金的良好记录；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参加政府采购活动前三年内，未因违法经营受到刑事处罚或者责令停产停业、吊销许可证或者执照、较大数额罚款等行政处罚。</w:t>
      </w:r>
    </w:p>
    <w:p>
      <w:pPr>
        <w:numPr>
          <w:ilvl w:val="0"/>
          <w:numId w:val="4"/>
        </w:numPr>
        <w:tabs>
          <w:tab w:val="left" w:pos="1134"/>
        </w:tabs>
        <w:snapToGrid w:val="0"/>
        <w:spacing w:line="460" w:lineRule="exact"/>
        <w:ind w:left="48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特定资格条件</w:t>
      </w:r>
    </w:p>
    <w:p>
      <w:pPr>
        <w:numPr>
          <w:ilvl w:val="0"/>
          <w:numId w:val="5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投标人营业执照经营范围需包含技术服务、技术咨询等专业技术服务。</w:t>
      </w:r>
    </w:p>
    <w:p>
      <w:pPr>
        <w:numPr>
          <w:ilvl w:val="0"/>
          <w:numId w:val="5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可提供实验相关试剂、耗材等实验材料。</w:t>
      </w:r>
    </w:p>
    <w:p>
      <w:pPr>
        <w:numPr>
          <w:ilvl w:val="0"/>
          <w:numId w:val="5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可提供</w:t>
      </w:r>
      <w:bookmarkStart w:id="0" w:name="OLE_LINK2"/>
      <w:r>
        <w:rPr>
          <w:rFonts w:hint="eastAsia" w:ascii="宋体" w:hAnsi="宋体" w:eastAsia="宋体" w:cs="宋体"/>
          <w:sz w:val="32"/>
          <w:szCs w:val="32"/>
        </w:rPr>
        <w:t>染色体免疫共沉淀测序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实验服务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质谱分析、数据整理与生物信息分析</w:t>
      </w:r>
      <w:bookmarkEnd w:id="0"/>
      <w:r>
        <w:rPr>
          <w:rFonts w:hint="eastAsia" w:ascii="宋体" w:hAnsi="宋体" w:eastAsia="宋体" w:cs="宋体"/>
          <w:sz w:val="32"/>
          <w:szCs w:val="32"/>
        </w:rPr>
        <w:t>等服务。</w:t>
      </w:r>
    </w:p>
    <w:p>
      <w:pPr>
        <w:spacing w:line="46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（三）联合体投标</w:t>
      </w:r>
    </w:p>
    <w:p>
      <w:pPr>
        <w:spacing w:line="46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本项目不接受联合体投标。</w:t>
      </w:r>
    </w:p>
    <w:p>
      <w:pPr>
        <w:pStyle w:val="16"/>
        <w:numPr>
          <w:ilvl w:val="0"/>
          <w:numId w:val="2"/>
        </w:numPr>
        <w:spacing w:line="460" w:lineRule="exact"/>
        <w:ind w:firstLineChars="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服务内容及要求</w:t>
      </w:r>
    </w:p>
    <w:p>
      <w:pPr>
        <w:spacing w:line="460" w:lineRule="exact"/>
        <w:ind w:firstLine="640" w:firstLineChars="200"/>
        <w:rPr>
          <w:rFonts w:ascii="宋体" w:hAnsi="宋体" w:eastAsia="宋体" w:cs="宋体"/>
          <w:color w:val="000000"/>
          <w:sz w:val="32"/>
          <w:szCs w:val="32"/>
        </w:rPr>
      </w:pPr>
      <w:bookmarkStart w:id="1" w:name="_Toc438456195"/>
      <w:r>
        <w:rPr>
          <w:rFonts w:hint="eastAsia" w:ascii="宋体" w:hAnsi="宋体" w:eastAsia="宋体" w:cs="宋体"/>
          <w:color w:val="000000"/>
          <w:sz w:val="32"/>
          <w:szCs w:val="32"/>
        </w:rPr>
        <w:t>（一）</w:t>
      </w:r>
      <w:bookmarkEnd w:id="1"/>
      <w:bookmarkStart w:id="2" w:name="_Toc490672253"/>
      <w:r>
        <w:rPr>
          <w:rFonts w:hint="eastAsia" w:ascii="宋体" w:hAnsi="宋体" w:eastAsia="宋体" w:cs="宋体"/>
          <w:color w:val="000000"/>
          <w:sz w:val="32"/>
          <w:szCs w:val="32"/>
        </w:rPr>
        <w:t>招标项目</w:t>
      </w:r>
      <w:bookmarkEnd w:id="2"/>
      <w:r>
        <w:rPr>
          <w:rFonts w:hint="eastAsia" w:ascii="宋体" w:hAnsi="宋体" w:eastAsia="宋体" w:cs="宋体"/>
          <w:color w:val="000000"/>
          <w:sz w:val="32"/>
          <w:szCs w:val="32"/>
        </w:rPr>
        <w:t>名称、预算、服务期限</w:t>
      </w:r>
    </w:p>
    <w:tbl>
      <w:tblPr>
        <w:tblStyle w:val="10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92"/>
        <w:gridCol w:w="1339"/>
        <w:gridCol w:w="1607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93" w:type="dxa"/>
            <w:vAlign w:val="center"/>
          </w:tcPr>
          <w:p>
            <w:pPr>
              <w:pStyle w:val="4"/>
              <w:spacing w:line="400" w:lineRule="exact"/>
              <w:ind w:left="0"/>
              <w:jc w:val="center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序号</w:t>
            </w:r>
          </w:p>
        </w:tc>
        <w:tc>
          <w:tcPr>
            <w:tcW w:w="1992" w:type="dxa"/>
            <w:vAlign w:val="center"/>
          </w:tcPr>
          <w:p>
            <w:pPr>
              <w:pStyle w:val="4"/>
              <w:spacing w:line="400" w:lineRule="exact"/>
              <w:ind w:left="0"/>
              <w:jc w:val="center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项目名称</w:t>
            </w:r>
          </w:p>
        </w:tc>
        <w:tc>
          <w:tcPr>
            <w:tcW w:w="1339" w:type="dxa"/>
            <w:vAlign w:val="center"/>
          </w:tcPr>
          <w:p>
            <w:pPr>
              <w:pStyle w:val="4"/>
              <w:spacing w:line="400" w:lineRule="exact"/>
              <w:ind w:left="0"/>
              <w:jc w:val="center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采购预算</w:t>
            </w:r>
          </w:p>
          <w:p>
            <w:pPr>
              <w:pStyle w:val="4"/>
              <w:spacing w:line="400" w:lineRule="exact"/>
              <w:ind w:left="0"/>
              <w:jc w:val="center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（万元）</w:t>
            </w:r>
          </w:p>
        </w:tc>
        <w:tc>
          <w:tcPr>
            <w:tcW w:w="1607" w:type="dxa"/>
            <w:vAlign w:val="center"/>
          </w:tcPr>
          <w:p>
            <w:pPr>
              <w:pStyle w:val="4"/>
              <w:spacing w:line="400" w:lineRule="exact"/>
              <w:ind w:left="0"/>
              <w:jc w:val="center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服务期限</w:t>
            </w:r>
          </w:p>
        </w:tc>
        <w:tc>
          <w:tcPr>
            <w:tcW w:w="2747" w:type="dxa"/>
            <w:vAlign w:val="center"/>
          </w:tcPr>
          <w:p>
            <w:pPr>
              <w:pStyle w:val="4"/>
              <w:spacing w:line="400" w:lineRule="exact"/>
              <w:ind w:left="0"/>
              <w:jc w:val="center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3" w:type="dxa"/>
            <w:vAlign w:val="center"/>
          </w:tcPr>
          <w:p>
            <w:pPr>
              <w:spacing w:line="460" w:lineRule="exact"/>
              <w:ind w:firstLine="480" w:firstLineChars="200"/>
              <w:jc w:val="distribute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vAlign w:val="center"/>
          </w:tcPr>
          <w:p>
            <w:pPr>
              <w:spacing w:line="460" w:lineRule="exact"/>
              <w:jc w:val="distribute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MiR-665调控STAT3/IL-17环路对自身免疫性葡萄膜炎的作用研究</w:t>
            </w:r>
          </w:p>
        </w:tc>
        <w:tc>
          <w:tcPr>
            <w:tcW w:w="1339" w:type="dxa"/>
            <w:vAlign w:val="center"/>
          </w:tcPr>
          <w:p>
            <w:pPr>
              <w:spacing w:line="460" w:lineRule="exact"/>
              <w:ind w:firstLine="480" w:firstLineChars="20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9.94</w:t>
            </w:r>
          </w:p>
        </w:tc>
        <w:tc>
          <w:tcPr>
            <w:tcW w:w="1607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31日前完成</w:t>
            </w:r>
          </w:p>
        </w:tc>
        <w:tc>
          <w:tcPr>
            <w:tcW w:w="2747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成交后3天内开始开展工作</w:t>
            </w:r>
            <w:bookmarkStart w:id="3" w:name="_GoBack"/>
            <w:bookmarkEnd w:id="3"/>
          </w:p>
        </w:tc>
      </w:tr>
    </w:tbl>
    <w:p>
      <w:pPr>
        <w:spacing w:line="460" w:lineRule="exact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numPr>
          <w:numId w:val="0"/>
        </w:numPr>
        <w:spacing w:line="460" w:lineRule="exact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项目基本情况及服务内容</w:t>
      </w:r>
    </w:p>
    <w:p>
      <w:pPr>
        <w:spacing w:line="460" w:lineRule="exact"/>
        <w:ind w:firstLine="640" w:firstLineChars="20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投标人需独立完成MiR-665调控STAT3/IL-17环路对自身免疫性葡萄膜炎的作用研究实验。具体内容包括：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1. 实时荧光定量PCR (qRT-PCR) 检测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检测数量：15例自身免疫性葡萄膜炎患者和15例健康对照组的外周血样本。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检测时间：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合同签订之日起3个月内，提取RNA并进行实时荧光定量PCR实验。验证实验结果并进行数据统计。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验收标准：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成功提取RNA并进行反转录，确保RNA质量和浓度符合实验要求。实时荧光定量PCR实验结果稳定，Ct值重复性好，变异系数小于5%。统计分析结果显示miR-665、STAT3基因在自身免疫性葡萄膜炎患者和健康对照组中的表达差异显著。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2. 免疫印迹 (Western Blot) 检测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检测数量：15例自身免疫性葡萄膜炎患者和15例健康对照组的外周血样本。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检测时间：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合同签订之日起3个月内，提取蛋白并进行免疫印迹实验。验证实验结果并进行数据统计。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验收标准：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成功提取蛋白并进行定量，确保蛋白质量和浓度符合实验要求。免疫印迹实验结果显示STAT3、p-STAT3蛋白表达量在自身免疫性葡萄膜炎患者和健康对照组中的差异显著。</w:t>
      </w:r>
    </w:p>
    <w:p>
      <w:pPr>
        <w:spacing w:line="460" w:lineRule="exac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条带清晰，背景低，内参蛋白（如β-actin）表达稳定。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3. ELISA检测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检测数量：15例自身免疫性葡萄膜炎患者和15例健康对照组的外周血样本。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检测时间：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合同签订之日起3个月内，提取血清并进行ELISA实验。</w:t>
      </w:r>
    </w:p>
    <w:p>
      <w:pPr>
        <w:spacing w:line="460" w:lineRule="exac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验证实验结果并进行数据统计。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验收标准：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成功提取血清，确保血清质量和浓度符合实验要求。</w:t>
      </w:r>
    </w:p>
    <w:p>
      <w:pPr>
        <w:spacing w:line="460" w:lineRule="exac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ELISA实验结果显示IL-17在自身免疫性葡萄膜炎患者和健康对照组中的表达差异显著。标准曲线线性良好，OD值重复性好，变异系数小于10%。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4. 流式细胞术检测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检测数量：15例自身免疫性葡萄膜炎患者和15例健康对照组的大鼠脾脏、淋巴结和眼组织。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检测时间：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合同签订之日起3个月内，构建自身免疫性葡萄膜炎大鼠模型并进行流式细胞术实验。验证实验结果并进行数据统计。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验收标准：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成功构建自身免疫性葡萄膜炎大鼠模型，模型组与对照组的差异显著。流式细胞术结果显示Th17细胞在自身免疫性葡萄膜炎大鼠模型组和对照组中的表达差异显著。荧光强度重复性好，变异系数小于10%。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5. 双荧光素酶检测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检测数量：构建野生型和突变型双荧光素酶报告质粒载体，每种载体至少进行3次独立实验。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检测时间：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合同签订之日起3个月内，构建双荧光素酶报告质粒载体并进行转染实验。验证实验结果并进行数据统计。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验收标准：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成功构建野生型和突变型双荧光素酶报告质粒载体，载体构建成功并通过PCR及基因测序方法鉴定。转染实验结果显示miR-665与STAT3基因的靶向关系，相对光单位值（RLU）差异显著。实验结果重复性好，变异系数小于10%。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6.动物模型构建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检测数量：雌性Lewis大鼠30只，分为3组（自身免疫性葡萄膜炎模型组、BC组、NC组），每组10只。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检测时间：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合同签订之日起3个月内，构建自身免疫性葡萄膜炎大鼠模型。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验收标准：</w:t>
      </w:r>
    </w:p>
    <w:p>
      <w:pPr>
        <w:spacing w:line="4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成功构建自身免疫性葡萄膜炎大鼠模型，模型组与对照组的差异显著。模型组大鼠在注射含光感受器间维生素A结合蛋白（IRBP）、结核菌素和完全弗氏佐剂的乳糜液后，表现出明显的葡萄膜炎症状。BC组和NC组大鼠未表现出明显的葡萄膜炎症状。模型组大鼠的脾脏、淋巴结和眼组织病理学检查显示明显的炎症反应。</w:t>
      </w:r>
    </w:p>
    <w:p>
      <w:pPr>
        <w:spacing w:line="460" w:lineRule="exac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spacing w:line="460" w:lineRule="exact"/>
        <w:ind w:firstLine="640" w:firstLineChars="20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（三）服务标准及考核办法</w:t>
      </w:r>
    </w:p>
    <w:p>
      <w:pPr>
        <w:pStyle w:val="16"/>
        <w:widowControl/>
        <w:snapToGrid w:val="0"/>
        <w:spacing w:line="300" w:lineRule="auto"/>
        <w:ind w:firstLine="64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1.投标方严格按照本项目中的试验方案实施检测，并出具正式试验报告，若实验进行中需要更改方案时，双方需沟通重新确认实验方案并签订合同（涉及方法变更、样本组数变更等）。</w:t>
      </w:r>
    </w:p>
    <w:p>
      <w:pPr>
        <w:pStyle w:val="16"/>
        <w:widowControl/>
        <w:snapToGrid w:val="0"/>
        <w:spacing w:line="300" w:lineRule="auto"/>
        <w:ind w:firstLine="64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2.投标方提供实验设计的参考建议，最终方案由招标方确定。投标方仅保证实验数据的客观性和可靠性，对数据的生物学解释不承担责任。</w:t>
      </w:r>
    </w:p>
    <w:p>
      <w:pPr>
        <w:pStyle w:val="16"/>
        <w:spacing w:line="300" w:lineRule="auto"/>
        <w:ind w:firstLine="64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3.实验样本若有剩余，投标方免费负责保存三个月（从实验报告给付之日计算），逾期投标方将自行处理。若招标方需要这些剩余样本，请提前声明。</w:t>
      </w:r>
    </w:p>
    <w:p>
      <w:pPr>
        <w:pStyle w:val="16"/>
        <w:spacing w:line="300" w:lineRule="auto"/>
        <w:ind w:firstLine="64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4.项目双方应对项目结果进行验收交接，招标方也可委托第三方对报告的科学性进行鉴定。</w:t>
      </w:r>
    </w:p>
    <w:p>
      <w:pPr>
        <w:pStyle w:val="16"/>
        <w:spacing w:line="460" w:lineRule="exact"/>
        <w:ind w:left="640" w:firstLine="0" w:firstLineChars="0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pStyle w:val="16"/>
        <w:numPr>
          <w:ilvl w:val="0"/>
          <w:numId w:val="2"/>
        </w:numPr>
        <w:spacing w:line="460" w:lineRule="exact"/>
        <w:ind w:firstLineChars="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付款方式</w:t>
      </w:r>
    </w:p>
    <w:p>
      <w:pPr>
        <w:spacing w:line="460" w:lineRule="exact"/>
        <w:ind w:firstLine="566" w:firstLineChars="177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合同签订完成，招标方将合同金额的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%人民币即【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89460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】元（大写：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捌万玖仟肆佰陆拾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元整）汇入投标方指定账户，投标方确认到账后开展专项技术服务；专项技术服务完成，投标方向招标方出具等额的增值税普通发票，招标方支付剩余尾款，即协议金额的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%，人民币【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9940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】元（大写：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玖仟玖佰肆拾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元整），投标方收到所有款项后10个工作日内向招标方提供完整项目资料。</w:t>
      </w:r>
    </w:p>
    <w:p>
      <w:pPr>
        <w:pStyle w:val="16"/>
        <w:numPr>
          <w:ilvl w:val="0"/>
          <w:numId w:val="2"/>
        </w:numPr>
        <w:spacing w:line="460" w:lineRule="exact"/>
        <w:ind w:firstLineChars="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履约保证金</w:t>
      </w:r>
    </w:p>
    <w:p>
      <w:pPr>
        <w:snapToGrid w:val="0"/>
        <w:spacing w:line="460" w:lineRule="exact"/>
        <w:ind w:firstLine="700" w:firstLineChars="25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</w:p>
    <w:p>
      <w:pPr>
        <w:snapToGrid w:val="0"/>
        <w:spacing w:line="460" w:lineRule="exact"/>
        <w:ind w:firstLine="800" w:firstLineChars="250"/>
        <w:rPr>
          <w:rFonts w:ascii="宋体" w:hAnsi="宋体" w:eastAsia="宋体" w:cs="宋体"/>
          <w:kern w:val="0"/>
          <w:sz w:val="32"/>
          <w:szCs w:val="32"/>
        </w:rPr>
      </w:pPr>
    </w:p>
    <w:p>
      <w:pPr>
        <w:pStyle w:val="16"/>
        <w:numPr>
          <w:ilvl w:val="0"/>
          <w:numId w:val="2"/>
        </w:numPr>
        <w:spacing w:line="460" w:lineRule="exact"/>
        <w:ind w:firstLineChars="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拟签订的合同文本</w:t>
      </w:r>
    </w:p>
    <w:p>
      <w:pPr>
        <w:spacing w:line="460" w:lineRule="exact"/>
        <w:ind w:firstLine="960" w:firstLineChars="30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附件1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Hans"/>
        </w:rPr>
        <w:t>MiR-665调控STAT3/IL-17环路对自身免疫性葡萄膜炎的作用研究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检测服务合同；</w:t>
      </w:r>
    </w:p>
    <w:p>
      <w:pPr>
        <w:spacing w:line="460" w:lineRule="exact"/>
        <w:ind w:firstLine="640" w:firstLineChars="200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pStyle w:val="16"/>
        <w:numPr>
          <w:ilvl w:val="0"/>
          <w:numId w:val="2"/>
        </w:numPr>
        <w:spacing w:line="460" w:lineRule="exact"/>
        <w:ind w:firstLineChars="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采购单位咨询电话</w:t>
      </w:r>
    </w:p>
    <w:p>
      <w:pPr>
        <w:snapToGrid w:val="0"/>
        <w:spacing w:line="460" w:lineRule="exact"/>
        <w:ind w:firstLine="800" w:firstLineChars="250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联系人：宋军</w:t>
      </w:r>
    </w:p>
    <w:p>
      <w:pPr>
        <w:snapToGrid w:val="0"/>
        <w:spacing w:line="460" w:lineRule="exact"/>
        <w:ind w:firstLine="800" w:firstLineChars="250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联系电话：15809906166</w:t>
      </w:r>
    </w:p>
    <w:p>
      <w:pPr>
        <w:snapToGrid w:val="0"/>
        <w:spacing w:line="460" w:lineRule="exact"/>
        <w:ind w:firstLine="800" w:firstLineChars="250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手机号：15809906166</w:t>
      </w:r>
    </w:p>
    <w:p>
      <w:pPr>
        <w:snapToGrid w:val="0"/>
        <w:spacing w:line="460" w:lineRule="exact"/>
        <w:ind w:firstLine="800" w:firstLineChars="250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地址：克拉玛依市安定路120号</w:t>
      </w:r>
    </w:p>
    <w:p>
      <w:pPr>
        <w:snapToGrid w:val="0"/>
        <w:spacing w:line="460" w:lineRule="exact"/>
        <w:ind w:firstLine="800" w:firstLineChars="250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</w:p>
    <w:p>
      <w:pPr>
        <w:snapToGrid w:val="0"/>
        <w:spacing w:line="46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采购人名称：</w:t>
      </w:r>
      <w:r>
        <w:rPr>
          <w:rFonts w:hint="eastAsia" w:ascii="宋体" w:hAnsi="宋体" w:eastAsia="宋体" w:cs="宋体"/>
          <w:sz w:val="32"/>
          <w:szCs w:val="32"/>
        </w:rPr>
        <w:t>自治区人民医院克拉玛依医院</w:t>
      </w:r>
    </w:p>
    <w:p>
      <w:pPr>
        <w:snapToGrid w:val="0"/>
        <w:spacing w:line="460" w:lineRule="exact"/>
        <w:rPr>
          <w:rFonts w:ascii="宋体" w:hAnsi="宋体" w:eastAsia="宋体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E3705D"/>
    <w:multiLevelType w:val="multilevel"/>
    <w:tmpl w:val="D2E3705D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E551D593"/>
    <w:multiLevelType w:val="singleLevel"/>
    <w:tmpl w:val="E551D59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8F30056"/>
    <w:multiLevelType w:val="multilevel"/>
    <w:tmpl w:val="08F3005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cstheme="minorBidi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83C604A"/>
    <w:multiLevelType w:val="singleLevel"/>
    <w:tmpl w:val="183C604A"/>
    <w:lvl w:ilvl="0" w:tentative="0">
      <w:start w:val="1"/>
      <w:numFmt w:val="japaneseCounting"/>
      <w:pStyle w:val="14"/>
      <w:lvlText w:val="%1、"/>
      <w:lvlJc w:val="left"/>
      <w:pPr>
        <w:tabs>
          <w:tab w:val="left" w:pos="960"/>
        </w:tabs>
        <w:ind w:left="960" w:hanging="480"/>
      </w:pPr>
      <w:rPr>
        <w:rFonts w:hint="eastAsia"/>
        <w:b/>
      </w:rPr>
    </w:lvl>
  </w:abstractNum>
  <w:abstractNum w:abstractNumId="4">
    <w:nsid w:val="385F50F6"/>
    <w:multiLevelType w:val="multilevel"/>
    <w:tmpl w:val="385F50F6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D0DCF"/>
    <w:rsid w:val="00031E9E"/>
    <w:rsid w:val="000379C8"/>
    <w:rsid w:val="00042D10"/>
    <w:rsid w:val="000500ED"/>
    <w:rsid w:val="00062936"/>
    <w:rsid w:val="00073EA7"/>
    <w:rsid w:val="00073FF0"/>
    <w:rsid w:val="00092899"/>
    <w:rsid w:val="00097E4C"/>
    <w:rsid w:val="000A593B"/>
    <w:rsid w:val="000B1F4B"/>
    <w:rsid w:val="000C4537"/>
    <w:rsid w:val="000C7F07"/>
    <w:rsid w:val="000E4C2D"/>
    <w:rsid w:val="001028AB"/>
    <w:rsid w:val="0010635C"/>
    <w:rsid w:val="00113A88"/>
    <w:rsid w:val="00117F91"/>
    <w:rsid w:val="00133C19"/>
    <w:rsid w:val="00145255"/>
    <w:rsid w:val="00155852"/>
    <w:rsid w:val="00167C50"/>
    <w:rsid w:val="001714BC"/>
    <w:rsid w:val="0017612A"/>
    <w:rsid w:val="001B4C76"/>
    <w:rsid w:val="001B6BDE"/>
    <w:rsid w:val="001D0DCF"/>
    <w:rsid w:val="00200C72"/>
    <w:rsid w:val="00221FD4"/>
    <w:rsid w:val="002344BD"/>
    <w:rsid w:val="00276620"/>
    <w:rsid w:val="00276EAE"/>
    <w:rsid w:val="002913F0"/>
    <w:rsid w:val="0029332E"/>
    <w:rsid w:val="002B2830"/>
    <w:rsid w:val="002C0BC1"/>
    <w:rsid w:val="002C6A60"/>
    <w:rsid w:val="002E0C22"/>
    <w:rsid w:val="002E56EC"/>
    <w:rsid w:val="002E5A7B"/>
    <w:rsid w:val="002E74FD"/>
    <w:rsid w:val="002F022C"/>
    <w:rsid w:val="002F1120"/>
    <w:rsid w:val="002F6109"/>
    <w:rsid w:val="002F683F"/>
    <w:rsid w:val="00323192"/>
    <w:rsid w:val="00324E2E"/>
    <w:rsid w:val="003402B0"/>
    <w:rsid w:val="00345BFE"/>
    <w:rsid w:val="003460C1"/>
    <w:rsid w:val="00373DF2"/>
    <w:rsid w:val="0038714D"/>
    <w:rsid w:val="0039146B"/>
    <w:rsid w:val="00394AB6"/>
    <w:rsid w:val="00397403"/>
    <w:rsid w:val="003B6852"/>
    <w:rsid w:val="003F0DF9"/>
    <w:rsid w:val="0040472C"/>
    <w:rsid w:val="00416605"/>
    <w:rsid w:val="00441012"/>
    <w:rsid w:val="00476CAF"/>
    <w:rsid w:val="004A70CD"/>
    <w:rsid w:val="004B2F31"/>
    <w:rsid w:val="004C08B3"/>
    <w:rsid w:val="004C77DA"/>
    <w:rsid w:val="004E327E"/>
    <w:rsid w:val="004E5560"/>
    <w:rsid w:val="004E69A2"/>
    <w:rsid w:val="00500A8E"/>
    <w:rsid w:val="0051111B"/>
    <w:rsid w:val="00511187"/>
    <w:rsid w:val="00521522"/>
    <w:rsid w:val="00524C90"/>
    <w:rsid w:val="00535737"/>
    <w:rsid w:val="0053621E"/>
    <w:rsid w:val="005532CE"/>
    <w:rsid w:val="00561EC6"/>
    <w:rsid w:val="00563AF9"/>
    <w:rsid w:val="005744C3"/>
    <w:rsid w:val="005D5CC3"/>
    <w:rsid w:val="005F1511"/>
    <w:rsid w:val="005F1E9B"/>
    <w:rsid w:val="00601841"/>
    <w:rsid w:val="00603260"/>
    <w:rsid w:val="0061713F"/>
    <w:rsid w:val="006179A0"/>
    <w:rsid w:val="006302BD"/>
    <w:rsid w:val="0063292C"/>
    <w:rsid w:val="006437DB"/>
    <w:rsid w:val="00647D79"/>
    <w:rsid w:val="00653944"/>
    <w:rsid w:val="006540B8"/>
    <w:rsid w:val="00656120"/>
    <w:rsid w:val="006717C1"/>
    <w:rsid w:val="00673FCC"/>
    <w:rsid w:val="006748B4"/>
    <w:rsid w:val="00676CA7"/>
    <w:rsid w:val="006A1A58"/>
    <w:rsid w:val="006A66C3"/>
    <w:rsid w:val="006C00A6"/>
    <w:rsid w:val="006C468F"/>
    <w:rsid w:val="006D2857"/>
    <w:rsid w:val="006E0FAE"/>
    <w:rsid w:val="006E168C"/>
    <w:rsid w:val="006F1DAF"/>
    <w:rsid w:val="006F7D1D"/>
    <w:rsid w:val="00703FC7"/>
    <w:rsid w:val="007245D4"/>
    <w:rsid w:val="00725A13"/>
    <w:rsid w:val="007420FB"/>
    <w:rsid w:val="00744A01"/>
    <w:rsid w:val="007676FE"/>
    <w:rsid w:val="00767E48"/>
    <w:rsid w:val="007A6EE0"/>
    <w:rsid w:val="007A7A54"/>
    <w:rsid w:val="007C5177"/>
    <w:rsid w:val="007C7303"/>
    <w:rsid w:val="007F2D1D"/>
    <w:rsid w:val="00811B5D"/>
    <w:rsid w:val="00812C4F"/>
    <w:rsid w:val="0081509E"/>
    <w:rsid w:val="00823A37"/>
    <w:rsid w:val="0082722F"/>
    <w:rsid w:val="00830F78"/>
    <w:rsid w:val="00841663"/>
    <w:rsid w:val="00864025"/>
    <w:rsid w:val="00870705"/>
    <w:rsid w:val="00881A2C"/>
    <w:rsid w:val="00887418"/>
    <w:rsid w:val="008A52C1"/>
    <w:rsid w:val="008B05C4"/>
    <w:rsid w:val="008B3278"/>
    <w:rsid w:val="008B674C"/>
    <w:rsid w:val="008B69C8"/>
    <w:rsid w:val="008C3CAF"/>
    <w:rsid w:val="008E51B4"/>
    <w:rsid w:val="008E72B0"/>
    <w:rsid w:val="00913A56"/>
    <w:rsid w:val="00927730"/>
    <w:rsid w:val="0093640D"/>
    <w:rsid w:val="0094435A"/>
    <w:rsid w:val="00945748"/>
    <w:rsid w:val="009579F3"/>
    <w:rsid w:val="009614AB"/>
    <w:rsid w:val="00970355"/>
    <w:rsid w:val="00971AD4"/>
    <w:rsid w:val="009749E8"/>
    <w:rsid w:val="00997332"/>
    <w:rsid w:val="0099784B"/>
    <w:rsid w:val="009A0C58"/>
    <w:rsid w:val="009A60C1"/>
    <w:rsid w:val="009B1F48"/>
    <w:rsid w:val="009B6166"/>
    <w:rsid w:val="009C36EB"/>
    <w:rsid w:val="009D44DE"/>
    <w:rsid w:val="009D4BD6"/>
    <w:rsid w:val="009D775A"/>
    <w:rsid w:val="009F4A52"/>
    <w:rsid w:val="00A043E6"/>
    <w:rsid w:val="00A11623"/>
    <w:rsid w:val="00A165C6"/>
    <w:rsid w:val="00A337D0"/>
    <w:rsid w:val="00A54956"/>
    <w:rsid w:val="00A66943"/>
    <w:rsid w:val="00A677CE"/>
    <w:rsid w:val="00A70065"/>
    <w:rsid w:val="00A874D4"/>
    <w:rsid w:val="00A97F3D"/>
    <w:rsid w:val="00AD2AC9"/>
    <w:rsid w:val="00AD45D6"/>
    <w:rsid w:val="00AD7432"/>
    <w:rsid w:val="00AF2C82"/>
    <w:rsid w:val="00B1654F"/>
    <w:rsid w:val="00B51390"/>
    <w:rsid w:val="00B52AEA"/>
    <w:rsid w:val="00B557C9"/>
    <w:rsid w:val="00B57A65"/>
    <w:rsid w:val="00B825AB"/>
    <w:rsid w:val="00B87070"/>
    <w:rsid w:val="00B90788"/>
    <w:rsid w:val="00B93709"/>
    <w:rsid w:val="00B93F21"/>
    <w:rsid w:val="00BA70EC"/>
    <w:rsid w:val="00BA7693"/>
    <w:rsid w:val="00BD1CCE"/>
    <w:rsid w:val="00C1431D"/>
    <w:rsid w:val="00C44205"/>
    <w:rsid w:val="00C56A39"/>
    <w:rsid w:val="00C63E39"/>
    <w:rsid w:val="00C80134"/>
    <w:rsid w:val="00CA0F8A"/>
    <w:rsid w:val="00CC72AC"/>
    <w:rsid w:val="00CD21AF"/>
    <w:rsid w:val="00CE63E5"/>
    <w:rsid w:val="00CF1A7C"/>
    <w:rsid w:val="00CF364F"/>
    <w:rsid w:val="00CF3E94"/>
    <w:rsid w:val="00D0658E"/>
    <w:rsid w:val="00D2166D"/>
    <w:rsid w:val="00D26FF3"/>
    <w:rsid w:val="00D32454"/>
    <w:rsid w:val="00D422B0"/>
    <w:rsid w:val="00D430AD"/>
    <w:rsid w:val="00D55315"/>
    <w:rsid w:val="00D559B4"/>
    <w:rsid w:val="00D6074E"/>
    <w:rsid w:val="00D63480"/>
    <w:rsid w:val="00D70AB8"/>
    <w:rsid w:val="00DA1254"/>
    <w:rsid w:val="00DA75B2"/>
    <w:rsid w:val="00DB0F0C"/>
    <w:rsid w:val="00DB30DE"/>
    <w:rsid w:val="00DB7894"/>
    <w:rsid w:val="00DC7797"/>
    <w:rsid w:val="00DE1A37"/>
    <w:rsid w:val="00DE280C"/>
    <w:rsid w:val="00DF19CD"/>
    <w:rsid w:val="00DF5237"/>
    <w:rsid w:val="00E07346"/>
    <w:rsid w:val="00E214CC"/>
    <w:rsid w:val="00E4634F"/>
    <w:rsid w:val="00E51AB0"/>
    <w:rsid w:val="00E62687"/>
    <w:rsid w:val="00E86676"/>
    <w:rsid w:val="00E87D12"/>
    <w:rsid w:val="00E90A07"/>
    <w:rsid w:val="00EA0990"/>
    <w:rsid w:val="00EB2F88"/>
    <w:rsid w:val="00EE3A5E"/>
    <w:rsid w:val="00EF65D2"/>
    <w:rsid w:val="00F07E40"/>
    <w:rsid w:val="00F20405"/>
    <w:rsid w:val="00F20948"/>
    <w:rsid w:val="00F44647"/>
    <w:rsid w:val="00F53C5A"/>
    <w:rsid w:val="00F5672E"/>
    <w:rsid w:val="00F77C3C"/>
    <w:rsid w:val="00F83FC7"/>
    <w:rsid w:val="00F96108"/>
    <w:rsid w:val="00FA509A"/>
    <w:rsid w:val="00FC12D4"/>
    <w:rsid w:val="00FC1DAA"/>
    <w:rsid w:val="00FC3E4B"/>
    <w:rsid w:val="00FD4CF6"/>
    <w:rsid w:val="00FF2321"/>
    <w:rsid w:val="00FF2D7F"/>
    <w:rsid w:val="06085010"/>
    <w:rsid w:val="09C37428"/>
    <w:rsid w:val="0A652A31"/>
    <w:rsid w:val="0E9E29B6"/>
    <w:rsid w:val="0F6A2898"/>
    <w:rsid w:val="15FB06EE"/>
    <w:rsid w:val="1C7970D1"/>
    <w:rsid w:val="217C11C7"/>
    <w:rsid w:val="240572A1"/>
    <w:rsid w:val="2A102562"/>
    <w:rsid w:val="2C64047C"/>
    <w:rsid w:val="2D6D0895"/>
    <w:rsid w:val="30D25A8B"/>
    <w:rsid w:val="3255781A"/>
    <w:rsid w:val="33DA2763"/>
    <w:rsid w:val="347B4A7C"/>
    <w:rsid w:val="34BB55FA"/>
    <w:rsid w:val="38F12B92"/>
    <w:rsid w:val="3DDD2303"/>
    <w:rsid w:val="3F0A35B6"/>
    <w:rsid w:val="40591B5B"/>
    <w:rsid w:val="489F4D85"/>
    <w:rsid w:val="499F0DB5"/>
    <w:rsid w:val="4C23335C"/>
    <w:rsid w:val="51907961"/>
    <w:rsid w:val="52AE31D9"/>
    <w:rsid w:val="52F21427"/>
    <w:rsid w:val="5AEB5C08"/>
    <w:rsid w:val="5D18656F"/>
    <w:rsid w:val="64B90B25"/>
    <w:rsid w:val="653B59DE"/>
    <w:rsid w:val="65670D96"/>
    <w:rsid w:val="65801643"/>
    <w:rsid w:val="665C3E5E"/>
    <w:rsid w:val="687579F9"/>
    <w:rsid w:val="6B623CC4"/>
    <w:rsid w:val="6B8754D9"/>
    <w:rsid w:val="71491080"/>
    <w:rsid w:val="716345FE"/>
    <w:rsid w:val="71EA6B82"/>
    <w:rsid w:val="7C95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8"/>
    <w:qFormat/>
    <w:uiPriority w:val="0"/>
    <w:pPr>
      <w:spacing w:line="520" w:lineRule="exact"/>
      <w:ind w:left="570"/>
    </w:pPr>
    <w:rPr>
      <w:rFonts w:ascii="方正仿宋简体" w:hAnsi="创艺简仿宋" w:eastAsia="方正仿宋简体" w:cs="Times New Roman"/>
      <w:sz w:val="24"/>
      <w:szCs w:val="20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paragraph" w:customStyle="1" w:styleId="14">
    <w:name w:val="Item List in Table"/>
    <w:basedOn w:val="1"/>
    <w:qFormat/>
    <w:uiPriority w:val="0"/>
    <w:pPr>
      <w:numPr>
        <w:ilvl w:val="0"/>
        <w:numId w:val="1"/>
      </w:numPr>
      <w:tabs>
        <w:tab w:val="left" w:pos="420"/>
        <w:tab w:val="clear" w:pos="960"/>
      </w:tabs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5">
    <w:name w:val="HTML 预设格式 字符"/>
    <w:basedOn w:val="12"/>
    <w:link w:val="8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2"/>
    <w:link w:val="5"/>
    <w:semiHidden/>
    <w:qFormat/>
    <w:uiPriority w:val="99"/>
    <w:rPr>
      <w:sz w:val="18"/>
      <w:szCs w:val="18"/>
    </w:rPr>
  </w:style>
  <w:style w:type="character" w:customStyle="1" w:styleId="18">
    <w:name w:val="正文文本缩进 字符"/>
    <w:basedOn w:val="12"/>
    <w:link w:val="4"/>
    <w:qFormat/>
    <w:uiPriority w:val="0"/>
    <w:rPr>
      <w:rFonts w:ascii="方正仿宋简体" w:hAnsi="创艺简仿宋" w:eastAsia="方正仿宋简体" w:cs="Times New Roman"/>
      <w:sz w:val="24"/>
      <w:szCs w:val="20"/>
    </w:rPr>
  </w:style>
  <w:style w:type="paragraph" w:customStyle="1" w:styleId="19">
    <w:name w:val="采购二级"/>
    <w:basedOn w:val="1"/>
    <w:link w:val="20"/>
    <w:qFormat/>
    <w:uiPriority w:val="0"/>
    <w:pPr>
      <w:snapToGrid w:val="0"/>
      <w:spacing w:line="560" w:lineRule="exact"/>
      <w:ind w:firstLine="480" w:firstLineChars="200"/>
      <w:outlineLvl w:val="1"/>
    </w:pPr>
    <w:rPr>
      <w:rFonts w:ascii="仿宋" w:hAnsi="仿宋" w:eastAsia="仿宋" w:cs="Times New Roman"/>
      <w:b/>
      <w:sz w:val="24"/>
      <w:szCs w:val="24"/>
    </w:rPr>
  </w:style>
  <w:style w:type="character" w:customStyle="1" w:styleId="20">
    <w:name w:val="采购二级 Char"/>
    <w:basedOn w:val="12"/>
    <w:link w:val="19"/>
    <w:qFormat/>
    <w:uiPriority w:val="0"/>
    <w:rPr>
      <w:rFonts w:ascii="仿宋" w:hAnsi="仿宋" w:eastAsia="仿宋" w:cs="Times New Roman"/>
      <w:b/>
      <w:sz w:val="24"/>
      <w:szCs w:val="24"/>
    </w:rPr>
  </w:style>
  <w:style w:type="character" w:customStyle="1" w:styleId="21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22">
    <w:name w:val="页脚 字符"/>
    <w:basedOn w:val="12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2188</Words>
  <Characters>2429</Characters>
  <Lines>10</Lines>
  <Paragraphs>2</Paragraphs>
  <TotalTime>51</TotalTime>
  <ScaleCrop>false</ScaleCrop>
  <LinksUpToDate>false</LinksUpToDate>
  <CharactersWithSpaces>2440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2018-05-28T04:43:00Z</dcterms:created>
  <dc:creator>微软中国</dc:creator>
  <cp:lastModifiedBy>Administrator</cp:lastModifiedBy>
  <dcterms:modified xsi:type="dcterms:W3CDTF">2025-01-02T04:28:37Z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D5B0A3AA363F4A3EA0E39F3481429C02_13</vt:lpwstr>
  </property>
</Properties>
</file>