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3" w:firstLineChars="200"/>
        <w:jc w:val="both"/>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克拉玛依市中西医结合医院（克拉玛依市人民医院）</w:t>
      </w:r>
    </w:p>
    <w:p>
      <w:pPr>
        <w:spacing w:line="56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2"/>
          <w:szCs w:val="32"/>
          <w:lang w:val="en-US" w:eastAsia="zh-CN"/>
        </w:rPr>
        <w:t>无感就医刷脸支付项目采购需求</w:t>
      </w:r>
    </w:p>
    <w:p>
      <w:pPr>
        <w:numPr>
          <w:ilvl w:val="0"/>
          <w:numId w:val="0"/>
        </w:numPr>
        <w:spacing w:line="560" w:lineRule="exact"/>
        <w:rPr>
          <w:rFonts w:hint="default" w:ascii="方正小标宋简体" w:hAnsi="方正小标宋简体" w:eastAsia="方正小标宋简体" w:cs="方正小标宋简体"/>
          <w:b w:val="0"/>
          <w:bCs w:val="0"/>
          <w:color w:val="000000"/>
          <w:sz w:val="32"/>
          <w:szCs w:val="32"/>
          <w:lang w:val="en-US"/>
        </w:rPr>
      </w:pPr>
      <w:r>
        <w:rPr>
          <w:rFonts w:hint="eastAsia" w:ascii="方正小标宋简体" w:hAnsi="方正小标宋简体" w:eastAsia="方正小标宋简体" w:cs="方正小标宋简体"/>
          <w:b w:val="0"/>
          <w:bCs w:val="0"/>
          <w:color w:val="000000"/>
          <w:sz w:val="32"/>
          <w:szCs w:val="32"/>
          <w:lang w:val="en-US" w:eastAsia="zh-CN"/>
        </w:rPr>
        <w:t xml:space="preserve"> </w:t>
      </w: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4"/>
          <w:szCs w:val="24"/>
          <w:lang w:eastAsia="zh-CN"/>
        </w:rPr>
        <w:t>项目名称及数量</w:t>
      </w:r>
      <w:r>
        <w:rPr>
          <w:rFonts w:hint="eastAsia" w:ascii="仿宋" w:hAnsi="仿宋" w:eastAsia="仿宋" w:cs="仿宋"/>
          <w:b/>
          <w:bCs/>
          <w:color w:val="000000"/>
          <w:sz w:val="32"/>
          <w:szCs w:val="32"/>
          <w:lang w:eastAsia="zh-CN"/>
        </w:rPr>
        <w:t>：</w:t>
      </w:r>
    </w:p>
    <w:tbl>
      <w:tblPr>
        <w:tblStyle w:val="10"/>
        <w:tblW w:w="9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8"/>
        <w:gridCol w:w="1068"/>
        <w:gridCol w:w="1032"/>
        <w:gridCol w:w="1200"/>
        <w:gridCol w:w="1500"/>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项目名称</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单位</w:t>
            </w:r>
          </w:p>
        </w:tc>
        <w:tc>
          <w:tcPr>
            <w:tcW w:w="12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单价（万元）</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总价（万元）</w:t>
            </w:r>
          </w:p>
        </w:tc>
        <w:tc>
          <w:tcPr>
            <w:tcW w:w="215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无感就医刷脸支付</w:t>
            </w:r>
          </w:p>
          <w:p>
            <w:pPr>
              <w:keepNext w:val="0"/>
              <w:keepLines w:val="0"/>
              <w:widowControl/>
              <w:suppressLineNumbers w:val="0"/>
              <w:jc w:val="center"/>
              <w:textAlignment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项目</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w:t>
            </w:r>
          </w:p>
        </w:tc>
        <w:tc>
          <w:tcPr>
            <w:tcW w:w="103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项</w:t>
            </w:r>
          </w:p>
        </w:tc>
        <w:tc>
          <w:tcPr>
            <w:tcW w:w="1200" w:type="dxa"/>
            <w:tcBorders>
              <w:top w:val="single" w:color="auto" w:sz="4" w:space="0"/>
              <w:left w:val="single" w:color="auto" w:sz="4" w:space="0"/>
              <w:bottom w:val="single" w:color="auto" w:sz="4" w:space="0"/>
              <w:right w:val="single" w:color="auto" w:sz="4" w:space="0"/>
            </w:tcBorders>
            <w:noWrap/>
            <w:vAlign w:val="center"/>
          </w:tcPr>
          <w:p>
            <w:pPr>
              <w:numPr>
                <w:ilvl w:val="0"/>
                <w:numId w:val="0"/>
              </w:numPr>
              <w:ind w:leftChars="0"/>
              <w:jc w:val="both"/>
              <w:rPr>
                <w:rFonts w:hint="eastAsia" w:ascii="仿宋" w:hAnsi="仿宋" w:eastAsia="仿宋" w:cs="仿宋"/>
                <w:b w:val="0"/>
                <w:bCs w:val="0"/>
                <w:i w:val="0"/>
                <w:iCs w:val="0"/>
                <w:color w:val="000000"/>
                <w:sz w:val="24"/>
                <w:szCs w:val="24"/>
                <w:u w:val="none"/>
                <w:lang w:val="en-US" w:eastAsia="zh-CN"/>
              </w:rPr>
            </w:pPr>
          </w:p>
          <w:p>
            <w:pPr>
              <w:numPr>
                <w:ilvl w:val="0"/>
                <w:numId w:val="0"/>
              </w:numPr>
              <w:ind w:leftChars="0" w:firstLine="240" w:firstLineChars="100"/>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16</w:t>
            </w:r>
          </w:p>
          <w:p>
            <w:pPr>
              <w:jc w:val="center"/>
              <w:rPr>
                <w:rFonts w:hint="default" w:ascii="仿宋" w:hAnsi="仿宋" w:eastAsia="仿宋" w:cs="仿宋"/>
                <w:b w:val="0"/>
                <w:bCs w:val="0"/>
                <w:i w:val="0"/>
                <w:iCs w:val="0"/>
                <w:color w:val="000000"/>
                <w:sz w:val="24"/>
                <w:szCs w:val="24"/>
                <w:u w:val="no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16</w:t>
            </w:r>
          </w:p>
        </w:tc>
        <w:tc>
          <w:tcPr>
            <w:tcW w:w="2159" w:type="dxa"/>
            <w:vMerge w:val="restart"/>
            <w:tcBorders>
              <w:top w:val="single" w:color="auto" w:sz="4" w:space="0"/>
              <w:left w:val="single" w:color="auto" w:sz="4" w:space="0"/>
              <w:right w:val="single" w:color="auto" w:sz="4" w:space="0"/>
            </w:tcBorders>
            <w:noWrap/>
            <w:vAlign w:val="center"/>
          </w:tcPr>
          <w:p>
            <w:pPr>
              <w:jc w:val="both"/>
              <w:rPr>
                <w:rFonts w:hint="default" w:ascii="仿宋" w:hAnsi="仿宋" w:eastAsia="仿宋" w:cs="仿宋"/>
                <w:b w:val="0"/>
                <w:bCs w:val="0"/>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合  计</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20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4"/>
                <w:szCs w:val="24"/>
                <w:u w:val="none"/>
                <w:lang w:val="en-US" w:eastAsia="zh-CN"/>
              </w:rPr>
            </w:pPr>
          </w:p>
        </w:tc>
        <w:tc>
          <w:tcPr>
            <w:tcW w:w="1500" w:type="dxa"/>
            <w:tcBorders>
              <w:top w:val="single" w:color="auto" w:sz="4" w:space="0"/>
              <w:left w:val="single" w:color="000000" w:sz="4" w:space="0"/>
              <w:bottom w:val="single" w:color="000000" w:sz="4" w:space="0"/>
              <w:right w:val="single" w:color="000000" w:sz="4" w:space="0"/>
            </w:tcBorders>
            <w:noWrap/>
            <w:vAlign w:val="center"/>
          </w:tcPr>
          <w:p>
            <w:pPr>
              <w:ind w:firstLine="720" w:firstLineChars="300"/>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16</w:t>
            </w:r>
          </w:p>
        </w:tc>
        <w:tc>
          <w:tcPr>
            <w:tcW w:w="2159" w:type="dxa"/>
            <w:vMerge w:val="continue"/>
            <w:tcBorders>
              <w:left w:val="single" w:color="auto" w:sz="4" w:space="0"/>
              <w:bottom w:val="single" w:color="000000" w:sz="4" w:space="0"/>
              <w:right w:val="single" w:color="auto" w:sz="4" w:space="0"/>
            </w:tcBorders>
            <w:noWrap/>
            <w:vAlign w:val="center"/>
          </w:tcPr>
          <w:p>
            <w:pPr>
              <w:ind w:firstLine="240" w:firstLineChars="100"/>
              <w:jc w:val="both"/>
              <w:rPr>
                <w:rFonts w:hint="eastAsia" w:ascii="仿宋" w:hAnsi="仿宋" w:eastAsia="仿宋" w:cs="仿宋"/>
                <w:b w:val="0"/>
                <w:bCs w:val="0"/>
                <w:i w:val="0"/>
                <w:iCs w:val="0"/>
                <w:color w:val="000000"/>
                <w:sz w:val="24"/>
                <w:szCs w:val="24"/>
                <w:u w:val="none"/>
                <w:lang w:val="en-US" w:eastAsia="zh-CN"/>
              </w:rPr>
            </w:pPr>
          </w:p>
        </w:tc>
      </w:tr>
    </w:tbl>
    <w:p>
      <w:pPr>
        <w:numPr>
          <w:ilvl w:val="0"/>
          <w:numId w:val="1"/>
        </w:numPr>
        <w:spacing w:line="420" w:lineRule="exact"/>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资质要求：</w:t>
      </w:r>
    </w:p>
    <w:p>
      <w:pPr>
        <w:numPr>
          <w:ilvl w:val="0"/>
          <w:numId w:val="0"/>
        </w:numPr>
        <w:spacing w:line="42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(一)</w:t>
      </w:r>
      <w:r>
        <w:rPr>
          <w:rFonts w:hint="eastAsia" w:ascii="仿宋" w:hAnsi="仿宋" w:eastAsia="仿宋" w:cs="仿宋"/>
          <w:b/>
          <w:color w:val="000000"/>
          <w:sz w:val="24"/>
          <w:szCs w:val="24"/>
        </w:rPr>
        <w:t>基本资质条件</w:t>
      </w:r>
      <w:r>
        <w:rPr>
          <w:rFonts w:hint="eastAsia" w:ascii="仿宋" w:hAnsi="仿宋" w:eastAsia="仿宋" w:cs="仿宋"/>
          <w:b/>
          <w:color w:val="000000"/>
          <w:sz w:val="24"/>
          <w:szCs w:val="24"/>
          <w:lang w:eastAsia="zh-CN"/>
        </w:rPr>
        <w:t>：</w:t>
      </w:r>
    </w:p>
    <w:p>
      <w:pPr>
        <w:numPr>
          <w:ilvl w:val="0"/>
          <w:numId w:val="0"/>
        </w:numPr>
        <w:spacing w:line="420" w:lineRule="exact"/>
        <w:ind w:firstLine="480" w:firstLineChars="200"/>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Cs/>
          <w:color w:val="000000"/>
          <w:sz w:val="24"/>
          <w:szCs w:val="24"/>
        </w:rPr>
        <w:t>必须符合政府采购法第二十二条规定的基本条件，同时符合该项目特定条件。</w:t>
      </w:r>
    </w:p>
    <w:p>
      <w:pPr>
        <w:spacing w:line="460" w:lineRule="exact"/>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）联合体投标</w:t>
      </w:r>
    </w:p>
    <w:p>
      <w:pPr>
        <w:keepNext w:val="0"/>
        <w:keepLines w:val="0"/>
        <w:widowControl/>
        <w:suppressLineNumbers w:val="0"/>
        <w:ind w:firstLine="480" w:firstLineChars="20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sz w:val="24"/>
          <w:szCs w:val="24"/>
        </w:rPr>
        <w:t>本项目不接受联合体投标</w:t>
      </w:r>
    </w:p>
    <w:p>
      <w:pPr>
        <w:numPr>
          <w:ilvl w:val="0"/>
          <w:numId w:val="2"/>
        </w:numPr>
        <w:spacing w:line="42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特殊资格条件</w:t>
      </w:r>
    </w:p>
    <w:p>
      <w:pPr>
        <w:numPr>
          <w:ilvl w:val="0"/>
          <w:numId w:val="0"/>
        </w:numPr>
        <w:spacing w:line="420" w:lineRule="exact"/>
        <w:ind w:firstLine="241" w:firstLineChars="100"/>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无</w:t>
      </w:r>
    </w:p>
    <w:p>
      <w:pPr>
        <w:spacing w:line="420" w:lineRule="exact"/>
        <w:rPr>
          <w:rFonts w:hint="eastAsia" w:ascii="仿宋" w:hAnsi="仿宋" w:eastAsia="仿宋" w:cs="仿宋"/>
          <w:b w:val="0"/>
          <w:bCs w:val="0"/>
          <w:color w:val="000000"/>
          <w:sz w:val="24"/>
          <w:szCs w:val="24"/>
          <w:lang w:val="en-US" w:eastAsia="zh-CN"/>
        </w:rPr>
      </w:pPr>
      <w:r>
        <w:rPr>
          <w:rFonts w:hint="eastAsia" w:ascii="仿宋" w:hAnsi="仿宋" w:eastAsia="仿宋" w:cs="仿宋"/>
          <w:bCs/>
          <w:color w:val="000000"/>
          <w:sz w:val="24"/>
          <w:szCs w:val="24"/>
        </w:rPr>
        <w:t xml:space="preserve"> </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4"/>
          <w:szCs w:val="24"/>
          <w:lang w:val="en-US" w:eastAsia="zh-CN"/>
        </w:rPr>
        <w:t>技术参数及配置要求</w:t>
      </w:r>
      <w:r>
        <w:rPr>
          <w:rFonts w:hint="eastAsia" w:ascii="仿宋" w:hAnsi="仿宋" w:eastAsia="仿宋" w:cs="仿宋"/>
          <w:b w:val="0"/>
          <w:bCs w:val="0"/>
          <w:color w:val="000000"/>
          <w:sz w:val="24"/>
          <w:szCs w:val="24"/>
          <w:lang w:val="en-US" w:eastAsia="zh-CN"/>
        </w:rPr>
        <w:t>：</w:t>
      </w:r>
    </w:p>
    <w:p>
      <w:pPr>
        <w:spacing w:line="46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项目基本情况：</w:t>
      </w:r>
    </w:p>
    <w:p>
      <w:pPr>
        <w:spacing w:line="460" w:lineRule="exact"/>
        <w:ind w:firstLine="420" w:firstLineChars="2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1、行业痛点：传统医院支付流程存在排队时间长、现金/扫码支付效率低、老年患者操作困难等问题。</w:t>
      </w:r>
    </w:p>
    <w:p>
      <w:pPr>
        <w:spacing w:line="460" w:lineRule="exact"/>
        <w:ind w:firstLine="420" w:firstLineChars="2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2、政策支持：国家卫健委推动“智慧医院”建设，鼓励AI、大数据等技术优化就医体验。</w:t>
      </w:r>
    </w:p>
    <w:p>
      <w:pPr>
        <w:spacing w:line="460" w:lineRule="exact"/>
        <w:ind w:firstLine="420" w:firstLineChars="2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3、技术成熟：人脸识别支付技术（如微信/支付宝刷脸）已广泛应用于零售场景，安全性与便捷性获验证。</w:t>
      </w:r>
    </w:p>
    <w:p>
      <w:pPr>
        <w:spacing w:line="460" w:lineRule="exact"/>
        <w:ind w:firstLine="420" w:firstLineChars="200"/>
        <w:rPr>
          <w:rFonts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4、医院现状：目前已有诊间、自助机、人工窗口、移动支付、收费窗口刷脸等支付方式，下一步做到各诊室、取药、医技检查等环节实现刷脸识别及支付方式，形成患者就诊全流程无感就医链条，提升患者就医体验。</w:t>
      </w:r>
    </w:p>
    <w:p>
      <w:pPr>
        <w:spacing w:line="460" w:lineRule="exact"/>
        <w:ind w:firstLine="422" w:firstLineChars="200"/>
        <w:rPr>
          <w:rFonts w:ascii="仿宋_GB2312" w:hAnsi="仿宋" w:eastAsia="仿宋_GB2312" w:cs="Times New Roman"/>
          <w:b/>
          <w:bCs/>
          <w:color w:val="000000"/>
          <w:sz w:val="21"/>
          <w:szCs w:val="21"/>
        </w:rPr>
      </w:pPr>
      <w:r>
        <w:rPr>
          <w:rFonts w:hint="eastAsia" w:ascii="仿宋_GB2312" w:hAnsi="仿宋" w:eastAsia="仿宋_GB2312" w:cs="Times New Roman"/>
          <w:b/>
          <w:bCs/>
          <w:color w:val="000000"/>
          <w:sz w:val="21"/>
          <w:szCs w:val="21"/>
          <w:lang w:eastAsia="zh-CN"/>
        </w:rPr>
        <w:t>（</w:t>
      </w:r>
      <w:r>
        <w:rPr>
          <w:rFonts w:hint="eastAsia" w:ascii="仿宋_GB2312" w:hAnsi="仿宋" w:eastAsia="仿宋_GB2312" w:cs="Times New Roman"/>
          <w:b/>
          <w:bCs/>
          <w:color w:val="000000"/>
          <w:sz w:val="24"/>
          <w:szCs w:val="24"/>
          <w:lang w:val="en-US" w:eastAsia="zh-CN"/>
        </w:rPr>
        <w:t>二</w:t>
      </w:r>
      <w:r>
        <w:rPr>
          <w:rFonts w:hint="eastAsia" w:ascii="仿宋_GB2312" w:hAnsi="仿宋" w:eastAsia="仿宋_GB2312" w:cs="Times New Roman"/>
          <w:b/>
          <w:bCs/>
          <w:color w:val="000000"/>
          <w:sz w:val="24"/>
          <w:szCs w:val="24"/>
          <w:lang w:eastAsia="zh-CN"/>
        </w:rPr>
        <w:t>）</w:t>
      </w:r>
      <w:r>
        <w:rPr>
          <w:rFonts w:hint="eastAsia" w:ascii="仿宋_GB2312" w:hAnsi="仿宋" w:eastAsia="仿宋_GB2312" w:cs="Times New Roman"/>
          <w:b/>
          <w:bCs/>
          <w:color w:val="000000"/>
          <w:sz w:val="24"/>
          <w:szCs w:val="24"/>
          <w:lang w:val="en-US" w:eastAsia="zh-CN"/>
        </w:rPr>
        <w:t>建设</w:t>
      </w:r>
      <w:r>
        <w:rPr>
          <w:rFonts w:hint="eastAsia" w:ascii="仿宋_GB2312" w:hAnsi="仿宋" w:eastAsia="仿宋_GB2312" w:cs="Times New Roman"/>
          <w:b/>
          <w:bCs/>
          <w:color w:val="000000"/>
          <w:sz w:val="24"/>
          <w:szCs w:val="24"/>
        </w:rPr>
        <w:t>目标</w:t>
      </w:r>
    </w:p>
    <w:p>
      <w:pPr>
        <w:spacing w:line="460" w:lineRule="exact"/>
        <w:ind w:firstLine="420" w:firstLineChars="2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1、核心目标：通过刷脸支付实现挂号、缴费、取药全流程“无感支付”，缩短患者排队时间50%以上。</w:t>
      </w:r>
    </w:p>
    <w:p>
      <w:pPr>
        <w:spacing w:line="460" w:lineRule="exact"/>
        <w:ind w:firstLine="420" w:firstLineChars="2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2、延伸目标：构建患者生物识别数据库，为后续电子病历、医保核销提供支持，提升医院运营效率，降低人工收费窗口成本。</w:t>
      </w:r>
    </w:p>
    <w:p>
      <w:pPr>
        <w:topLinePunct/>
        <w:spacing w:line="360" w:lineRule="auto"/>
        <w:rPr>
          <w:rFonts w:hint="eastAsia" w:ascii="仿宋_GB2312" w:hAnsi="仿宋" w:eastAsia="仿宋_GB2312" w:cs="Times New Roman"/>
          <w:b/>
          <w:bCs/>
          <w:color w:val="000000"/>
          <w:sz w:val="24"/>
          <w:szCs w:val="24"/>
        </w:rPr>
      </w:pPr>
      <w:r>
        <w:rPr>
          <w:rFonts w:hint="eastAsia" w:ascii="仿宋_GB2312" w:hAnsi="仿宋" w:eastAsia="仿宋_GB2312" w:cs="Times New Roman"/>
          <w:b/>
          <w:bCs/>
          <w:color w:val="000000"/>
          <w:sz w:val="24"/>
          <w:szCs w:val="24"/>
          <w:lang w:eastAsia="zh-CN"/>
        </w:rPr>
        <w:t>（</w:t>
      </w:r>
      <w:r>
        <w:rPr>
          <w:rFonts w:hint="eastAsia" w:ascii="仿宋_GB2312" w:hAnsi="仿宋" w:eastAsia="仿宋_GB2312" w:cs="Times New Roman"/>
          <w:b/>
          <w:bCs/>
          <w:color w:val="000000"/>
          <w:sz w:val="24"/>
          <w:szCs w:val="24"/>
          <w:lang w:val="en-US" w:eastAsia="zh-CN"/>
        </w:rPr>
        <w:t>三</w:t>
      </w:r>
      <w:r>
        <w:rPr>
          <w:rFonts w:hint="eastAsia" w:ascii="仿宋_GB2312" w:hAnsi="仿宋" w:eastAsia="仿宋_GB2312" w:cs="Times New Roman"/>
          <w:b/>
          <w:bCs/>
          <w:color w:val="000000"/>
          <w:sz w:val="24"/>
          <w:szCs w:val="24"/>
          <w:lang w:eastAsia="zh-CN"/>
        </w:rPr>
        <w:t>）</w:t>
      </w:r>
      <w:r>
        <w:rPr>
          <w:rFonts w:hint="eastAsia" w:ascii="仿宋_GB2312" w:hAnsi="仿宋" w:eastAsia="仿宋_GB2312" w:cs="Times New Roman"/>
          <w:b/>
          <w:bCs/>
          <w:color w:val="000000"/>
          <w:sz w:val="24"/>
          <w:szCs w:val="24"/>
        </w:rPr>
        <w:t>服务内容</w:t>
      </w:r>
      <w:r>
        <w:rPr>
          <w:rFonts w:hint="eastAsia" w:ascii="仿宋_GB2312" w:hAnsi="仿宋" w:eastAsia="仿宋_GB2312" w:cs="Times New Roman"/>
          <w:b/>
          <w:bCs/>
          <w:color w:val="000000"/>
          <w:sz w:val="24"/>
          <w:szCs w:val="24"/>
          <w:lang w:val="en-US" w:eastAsia="zh-CN"/>
        </w:rPr>
        <w:t>及要求</w:t>
      </w:r>
      <w:r>
        <w:rPr>
          <w:rFonts w:hint="eastAsia" w:ascii="仿宋_GB2312" w:hAnsi="仿宋" w:eastAsia="仿宋_GB2312" w:cs="Times New Roman"/>
          <w:b/>
          <w:bCs/>
          <w:color w:val="000000"/>
          <w:sz w:val="24"/>
          <w:szCs w:val="24"/>
        </w:rPr>
        <w:t>：</w:t>
      </w:r>
    </w:p>
    <w:p>
      <w:pPr>
        <w:topLinePunct/>
        <w:spacing w:line="360" w:lineRule="auto"/>
        <w:rPr>
          <w:rFonts w:hint="eastAsia" w:ascii="仿宋_GB2312" w:hAnsi="仿宋" w:eastAsia="仿宋_GB2312" w:cs="Times New Roman"/>
          <w:color w:val="000000"/>
          <w:sz w:val="21"/>
          <w:szCs w:val="21"/>
        </w:rPr>
      </w:pPr>
    </w:p>
    <w:tbl>
      <w:tblPr>
        <w:tblStyle w:val="1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7"/>
        <w:gridCol w:w="701"/>
        <w:gridCol w:w="7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noWrap w:val="0"/>
            <w:vAlign w:val="top"/>
          </w:tcPr>
          <w:p>
            <w:pPr>
              <w:rPr>
                <w:sz w:val="21"/>
                <w:szCs w:val="21"/>
              </w:rPr>
            </w:pPr>
            <w:r>
              <w:rPr>
                <w:rFonts w:cs="宋体"/>
                <w:b/>
                <w:bCs/>
                <w:sz w:val="21"/>
                <w:szCs w:val="21"/>
              </w:rPr>
              <w:t>序号</w:t>
            </w:r>
            <w:r>
              <w:rPr>
                <w:rFonts w:cs="宋体"/>
                <w:b/>
                <w:bCs/>
                <w:w w:val="99"/>
                <w:sz w:val="21"/>
                <w:szCs w:val="21"/>
              </w:rPr>
              <w:t xml:space="preserve"> </w:t>
            </w:r>
          </w:p>
        </w:tc>
        <w:tc>
          <w:tcPr>
            <w:tcW w:w="411" w:type="pct"/>
            <w:noWrap w:val="0"/>
            <w:vAlign w:val="top"/>
          </w:tcPr>
          <w:p>
            <w:pPr>
              <w:rPr>
                <w:sz w:val="21"/>
                <w:szCs w:val="21"/>
              </w:rPr>
            </w:pPr>
            <w:r>
              <w:rPr>
                <w:rFonts w:cs="宋体"/>
                <w:b/>
                <w:bCs/>
                <w:sz w:val="21"/>
                <w:szCs w:val="21"/>
              </w:rPr>
              <w:t>服务内容</w:t>
            </w:r>
            <w:r>
              <w:rPr>
                <w:rFonts w:cs="宋体"/>
                <w:b/>
                <w:bCs/>
                <w:w w:val="99"/>
                <w:sz w:val="21"/>
                <w:szCs w:val="21"/>
              </w:rPr>
              <w:t xml:space="preserve"> </w:t>
            </w:r>
          </w:p>
        </w:tc>
        <w:tc>
          <w:tcPr>
            <w:tcW w:w="4237" w:type="pct"/>
            <w:noWrap w:val="0"/>
            <w:vAlign w:val="top"/>
          </w:tcPr>
          <w:p>
            <w:pPr>
              <w:rPr>
                <w:sz w:val="21"/>
                <w:szCs w:val="21"/>
              </w:rPr>
            </w:pPr>
            <w:r>
              <w:rPr>
                <w:rFonts w:cs="宋体"/>
                <w:b/>
                <w:bCs/>
                <w:sz w:val="21"/>
                <w:szCs w:val="21"/>
              </w:rPr>
              <w:t>具体内容</w:t>
            </w:r>
            <w:r>
              <w:rPr>
                <w:rFonts w:cs="宋体"/>
                <w:b/>
                <w:bCs/>
                <w:w w:val="99"/>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noWrap w:val="0"/>
            <w:vAlign w:val="top"/>
          </w:tcPr>
          <w:p>
            <w:pPr>
              <w:rPr>
                <w:sz w:val="21"/>
                <w:szCs w:val="21"/>
              </w:rPr>
            </w:pPr>
            <w:r>
              <w:rPr>
                <w:sz w:val="21"/>
                <w:szCs w:val="21"/>
              </w:rPr>
              <w:t>1</w:t>
            </w:r>
          </w:p>
        </w:tc>
        <w:tc>
          <w:tcPr>
            <w:tcW w:w="411" w:type="pct"/>
            <w:noWrap w:val="0"/>
            <w:vAlign w:val="top"/>
          </w:tcPr>
          <w:p>
            <w:pPr>
              <w:rPr>
                <w:sz w:val="21"/>
                <w:szCs w:val="21"/>
              </w:rPr>
            </w:pPr>
            <w:r>
              <w:rPr>
                <w:rFonts w:hint="eastAsia"/>
                <w:sz w:val="21"/>
                <w:szCs w:val="21"/>
              </w:rPr>
              <w:t>无感就医刷脸支付软件改造</w:t>
            </w:r>
          </w:p>
        </w:tc>
        <w:tc>
          <w:tcPr>
            <w:tcW w:w="4237" w:type="pct"/>
            <w:noWrap w:val="0"/>
            <w:vAlign w:val="top"/>
          </w:tcPr>
          <w:p>
            <w:pPr>
              <w:pStyle w:val="14"/>
              <w:numPr>
                <w:ilvl w:val="0"/>
                <w:numId w:val="3"/>
              </w:numPr>
              <w:ind w:firstLineChars="0"/>
              <w:rPr>
                <w:rFonts w:hint="eastAsia" w:ascii="宋体" w:hAnsi="宋体"/>
                <w:sz w:val="21"/>
                <w:szCs w:val="21"/>
              </w:rPr>
            </w:pPr>
            <w:r>
              <w:rPr>
                <w:rFonts w:hint="eastAsia" w:ascii="宋体" w:hAnsi="宋体"/>
                <w:sz w:val="21"/>
                <w:szCs w:val="21"/>
              </w:rPr>
              <w:t>依托于医保业务综合服务终端刷脸能力，实现患者在就医、购药过程中使用</w:t>
            </w:r>
          </w:p>
          <w:p>
            <w:pPr>
              <w:numPr>
                <w:ilvl w:val="0"/>
                <w:numId w:val="3"/>
              </w:numPr>
              <w:rPr>
                <w:sz w:val="21"/>
                <w:szCs w:val="21"/>
              </w:rPr>
            </w:pPr>
            <w:r>
              <w:rPr>
                <w:rFonts w:hint="eastAsia" w:ascii="宋体" w:hAnsi="宋体"/>
                <w:sz w:val="21"/>
                <w:szCs w:val="21"/>
              </w:rPr>
              <w:t>医保刷脸进行便捷支付的功能。该方案利用《定点医药机构对接医保业务综合服务终端接口规范》内医保刷脸获取医保用户身份信息流程，并通过《国家医保电子凭证业务标准动态库交互规范》医保密核验，最终生成支付令牌供三方系统依照《医疗保障信息平台定点基线版医药机构接口规范》使用，从而完成医保刷脸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noWrap w:val="0"/>
            <w:vAlign w:val="top"/>
          </w:tcPr>
          <w:p>
            <w:pPr>
              <w:rPr>
                <w:sz w:val="21"/>
                <w:szCs w:val="21"/>
              </w:rPr>
            </w:pPr>
            <w:r>
              <w:rPr>
                <w:rFonts w:hint="eastAsia"/>
                <w:sz w:val="21"/>
                <w:szCs w:val="21"/>
              </w:rPr>
              <w:t>2</w:t>
            </w:r>
          </w:p>
        </w:tc>
        <w:tc>
          <w:tcPr>
            <w:tcW w:w="411" w:type="pct"/>
            <w:noWrap w:val="0"/>
            <w:vAlign w:val="top"/>
          </w:tcPr>
          <w:p>
            <w:pPr>
              <w:rPr>
                <w:rFonts w:hint="eastAsia"/>
                <w:sz w:val="21"/>
                <w:szCs w:val="21"/>
              </w:rPr>
            </w:pPr>
            <w:r>
              <w:rPr>
                <w:rFonts w:hint="eastAsia"/>
                <w:sz w:val="21"/>
                <w:szCs w:val="21"/>
              </w:rPr>
              <w:t>无感就医刷脸支付医保业务综合服务终端</w:t>
            </w:r>
          </w:p>
        </w:tc>
        <w:tc>
          <w:tcPr>
            <w:tcW w:w="4237" w:type="pct"/>
            <w:noWrap w:val="0"/>
            <w:vAlign w:val="top"/>
          </w:tcPr>
          <w:p>
            <w:pPr>
              <w:rPr>
                <w:rFonts w:ascii="宋体" w:hAnsi="宋体"/>
                <w:b/>
                <w:bCs/>
                <w:sz w:val="21"/>
                <w:szCs w:val="21"/>
              </w:rPr>
            </w:pPr>
            <w:r>
              <w:rPr>
                <w:rFonts w:hint="eastAsia" w:ascii="宋体" w:hAnsi="宋体"/>
                <w:b/>
                <w:bCs/>
                <w:sz w:val="21"/>
                <w:szCs w:val="21"/>
              </w:rPr>
              <w:t>15台</w:t>
            </w:r>
          </w:p>
          <w:tbl>
            <w:tblPr>
              <w:tblStyle w:val="10"/>
              <w:tblpPr w:leftFromText="180" w:rightFromText="180" w:vertAnchor="text" w:horzAnchor="page" w:tblpXSpec="center" w:tblpY="428"/>
              <w:tblOverlap w:val="never"/>
              <w:tblW w:w="6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操作系统</w:t>
                  </w:r>
                </w:p>
              </w:tc>
              <w:tc>
                <w:tcPr>
                  <w:tcW w:w="421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 w:val="21"/>
                      <w:szCs w:val="21"/>
                    </w:rPr>
                  </w:pPr>
                  <w:r>
                    <w:rPr>
                      <w:rFonts w:hint="eastAsia" w:ascii="仿宋" w:hAnsi="仿宋" w:eastAsia="仿宋" w:cs="仿宋"/>
                      <w:sz w:val="21"/>
                      <w:szCs w:val="21"/>
                    </w:rPr>
                    <w:t>Android ≥8.1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中央处理器</w:t>
                  </w:r>
                </w:p>
              </w:tc>
              <w:tc>
                <w:tcPr>
                  <w:tcW w:w="421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 w:val="21"/>
                      <w:szCs w:val="21"/>
                    </w:rPr>
                  </w:pPr>
                  <w:r>
                    <w:rPr>
                      <w:rFonts w:hint="eastAsia" w:ascii="仿宋" w:hAnsi="仿宋" w:eastAsia="仿宋" w:cs="仿宋"/>
                      <w:sz w:val="21"/>
                      <w:szCs w:val="21"/>
                    </w:rPr>
                    <w:t>不低于 8 核处理器，≥1.8GHz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存 储</w:t>
                  </w:r>
                </w:p>
              </w:tc>
              <w:tc>
                <w:tcPr>
                  <w:tcW w:w="421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 w:val="21"/>
                      <w:szCs w:val="21"/>
                    </w:rPr>
                  </w:pPr>
                  <w:r>
                    <w:rPr>
                      <w:rFonts w:hint="eastAsia" w:ascii="仿宋" w:hAnsi="仿宋" w:eastAsia="仿宋" w:cs="仿宋"/>
                      <w:sz w:val="21"/>
                      <w:szCs w:val="21"/>
                    </w:rPr>
                    <w:t>不低于 4GB RAM+64GB 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显示触摸屏</w:t>
                  </w:r>
                </w:p>
              </w:tc>
              <w:tc>
                <w:tcPr>
                  <w:tcW w:w="4212"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480"/>
                    <w:rPr>
                      <w:rFonts w:hint="eastAsia" w:cs="仿宋"/>
                      <w:sz w:val="21"/>
                      <w:szCs w:val="21"/>
                    </w:rPr>
                  </w:pPr>
                  <w:r>
                    <w:rPr>
                      <w:rFonts w:hint="eastAsia" w:cs="仿宋"/>
                      <w:sz w:val="21"/>
                      <w:szCs w:val="21"/>
                    </w:rPr>
                    <w:t>主屏≥8 寸 TFT 全视角液晶屏，分辨率≥800x1280；全贴合电容多点触摸屏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支架</w:t>
                  </w:r>
                </w:p>
              </w:tc>
              <w:tc>
                <w:tcPr>
                  <w:tcW w:w="421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 w:val="21"/>
                      <w:szCs w:val="21"/>
                    </w:rPr>
                  </w:pPr>
                  <w:r>
                    <w:rPr>
                      <w:rFonts w:hint="eastAsia" w:ascii="仿宋" w:hAnsi="仿宋" w:eastAsia="仿宋" w:cs="仿宋"/>
                      <w:sz w:val="21"/>
                      <w:szCs w:val="21"/>
                    </w:rPr>
                    <w:t>★支架具备升降和 360 度旋转功能，以满足不同身高人群和不同方位使用需求。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摄像头</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3D 结构光摄像头</w:t>
                  </w:r>
                </w:p>
                <w:p>
                  <w:pPr>
                    <w:spacing w:line="360" w:lineRule="auto"/>
                    <w:rPr>
                      <w:rFonts w:hint="eastAsia" w:ascii="仿宋" w:hAnsi="仿宋" w:eastAsia="仿宋" w:cs="仿宋"/>
                      <w:sz w:val="21"/>
                      <w:szCs w:val="21"/>
                    </w:rPr>
                  </w:pPr>
                  <w:r>
                    <w:rPr>
                      <w:rFonts w:hint="eastAsia" w:ascii="仿宋" w:hAnsi="仿宋" w:eastAsia="仿宋" w:cs="仿宋"/>
                      <w:sz w:val="21"/>
                      <w:szCs w:val="21"/>
                    </w:rPr>
                    <w:t>Baseline：≥40mm；深度范围：0.3-1m；</w:t>
                  </w:r>
                </w:p>
                <w:p>
                  <w:pPr>
                    <w:spacing w:line="360" w:lineRule="auto"/>
                    <w:rPr>
                      <w:rFonts w:hint="eastAsia" w:ascii="仿宋" w:hAnsi="仿宋" w:eastAsia="仿宋" w:cs="仿宋"/>
                      <w:sz w:val="21"/>
                      <w:szCs w:val="21"/>
                    </w:rPr>
                  </w:pPr>
                  <w:r>
                    <w:rPr>
                      <w:rFonts w:hint="eastAsia" w:ascii="仿宋" w:hAnsi="仿宋" w:eastAsia="仿宋" w:cs="仿宋"/>
                      <w:sz w:val="21"/>
                      <w:szCs w:val="21"/>
                    </w:rPr>
                    <w:t>深度图分辨率：≥960*1280@30fps，≥480x640@30fps；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5"/>
                    <w:spacing w:before="119" w:line="223" w:lineRule="auto"/>
                    <w:ind w:left="125"/>
                    <w:jc w:val="center"/>
                    <w:rPr>
                      <w:rFonts w:hint="eastAsia"/>
                      <w:sz w:val="21"/>
                      <w:szCs w:val="21"/>
                      <w:lang w:eastAsia="zh-CN"/>
                    </w:rPr>
                  </w:pPr>
                  <w:r>
                    <w:rPr>
                      <w:spacing w:val="-5"/>
                      <w:sz w:val="21"/>
                      <w:szCs w:val="21"/>
                    </w:rPr>
                    <w:t>读二代证</w:t>
                  </w:r>
                </w:p>
              </w:tc>
              <w:tc>
                <w:tcPr>
                  <w:tcW w:w="4212" w:type="dxa"/>
                  <w:tcBorders>
                    <w:top w:val="single" w:color="auto" w:sz="4" w:space="0"/>
                    <w:left w:val="single" w:color="auto" w:sz="4" w:space="0"/>
                    <w:bottom w:val="single" w:color="auto" w:sz="4" w:space="0"/>
                    <w:right w:val="single" w:color="auto" w:sz="4" w:space="0"/>
                  </w:tcBorders>
                  <w:noWrap w:val="0"/>
                  <w:vAlign w:val="top"/>
                </w:tcPr>
                <w:p>
                  <w:pPr>
                    <w:pStyle w:val="15"/>
                    <w:spacing w:line="222" w:lineRule="auto"/>
                    <w:rPr>
                      <w:rFonts w:hint="eastAsia"/>
                      <w:sz w:val="21"/>
                      <w:szCs w:val="21"/>
                      <w:lang w:eastAsia="zh-CN"/>
                    </w:rPr>
                  </w:pPr>
                  <w:r>
                    <w:rPr>
                      <w:rFonts w:hint="eastAsia"/>
                      <w:sz w:val="21"/>
                      <w:szCs w:val="21"/>
                      <w:lang w:eastAsia="zh-CN"/>
                    </w:rPr>
                    <w:t>支持第二代居民身份证信息的读取（港澳台居民居住证、外国人永久 居留身份证），为第二代居民身份证阅读机具生产厂商，具有合法使 用“第二代居民身份证相片解码软件授权 ”的资格的单位，提供相关资质文档。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5"/>
                    <w:spacing w:before="116" w:line="222" w:lineRule="auto"/>
                    <w:ind w:left="129"/>
                    <w:jc w:val="center"/>
                    <w:rPr>
                      <w:rFonts w:hint="eastAsia"/>
                      <w:sz w:val="21"/>
                      <w:szCs w:val="21"/>
                      <w:lang w:eastAsia="zh-CN"/>
                    </w:rPr>
                  </w:pPr>
                  <w:r>
                    <w:rPr>
                      <w:spacing w:val="-8"/>
                      <w:sz w:val="21"/>
                      <w:szCs w:val="21"/>
                    </w:rPr>
                    <w:t>IC</w:t>
                  </w:r>
                  <w:r>
                    <w:rPr>
                      <w:spacing w:val="5"/>
                      <w:sz w:val="21"/>
                      <w:szCs w:val="21"/>
                    </w:rPr>
                    <w:t xml:space="preserve">    </w:t>
                  </w:r>
                  <w:r>
                    <w:rPr>
                      <w:spacing w:val="-8"/>
                      <w:sz w:val="21"/>
                      <w:szCs w:val="21"/>
                    </w:rPr>
                    <w:t>卡</w:t>
                  </w:r>
                </w:p>
              </w:tc>
              <w:tc>
                <w:tcPr>
                  <w:tcW w:w="4212" w:type="dxa"/>
                  <w:tcBorders>
                    <w:top w:val="single" w:color="auto" w:sz="4" w:space="0"/>
                    <w:left w:val="single" w:color="auto" w:sz="4" w:space="0"/>
                    <w:bottom w:val="single" w:color="auto" w:sz="4" w:space="0"/>
                    <w:right w:val="single" w:color="auto" w:sz="4" w:space="0"/>
                  </w:tcBorders>
                  <w:noWrap w:val="0"/>
                  <w:vAlign w:val="top"/>
                </w:tcPr>
                <w:p>
                  <w:pPr>
                    <w:pStyle w:val="15"/>
                    <w:spacing w:line="222" w:lineRule="auto"/>
                    <w:rPr>
                      <w:rFonts w:hint="eastAsia"/>
                      <w:sz w:val="21"/>
                      <w:szCs w:val="21"/>
                      <w:lang w:eastAsia="zh-CN"/>
                    </w:rPr>
                  </w:pPr>
                  <w:r>
                    <w:rPr>
                      <w:rFonts w:hint="eastAsia"/>
                      <w:sz w:val="21"/>
                      <w:szCs w:val="21"/>
                      <w:lang w:eastAsia="zh-CN"/>
                    </w:rPr>
                    <w:t>支持 符合 ISO/IEC 7816 标准的 IC 卡。</w:t>
                  </w:r>
                </w:p>
                <w:p>
                  <w:pPr>
                    <w:pStyle w:val="15"/>
                    <w:spacing w:line="222" w:lineRule="auto"/>
                    <w:rPr>
                      <w:rFonts w:hint="eastAsia"/>
                      <w:sz w:val="21"/>
                      <w:szCs w:val="21"/>
                      <w:lang w:eastAsia="zh-CN"/>
                    </w:rPr>
                  </w:pPr>
                  <w:r>
                    <w:rPr>
                      <w:rFonts w:hint="eastAsia"/>
                      <w:sz w:val="21"/>
                      <w:szCs w:val="21"/>
                      <w:lang w:eastAsia="zh-CN"/>
                    </w:rPr>
                    <w:t>★支持实体社保卡（医保卡）全业务应用。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5"/>
                    <w:spacing w:before="118" w:line="360" w:lineRule="auto"/>
                    <w:ind w:left="122"/>
                    <w:jc w:val="center"/>
                    <w:rPr>
                      <w:rFonts w:hint="eastAsia"/>
                      <w:sz w:val="21"/>
                      <w:szCs w:val="21"/>
                      <w:lang w:eastAsia="zh-CN"/>
                    </w:rPr>
                  </w:pPr>
                  <w:r>
                    <w:rPr>
                      <w:rFonts w:hint="eastAsia"/>
                      <w:sz w:val="21"/>
                      <w:szCs w:val="21"/>
                      <w:lang w:eastAsia="zh-CN"/>
                    </w:rPr>
                    <w:t>扫码模块</w:t>
                  </w:r>
                </w:p>
              </w:tc>
              <w:tc>
                <w:tcPr>
                  <w:tcW w:w="4212" w:type="dxa"/>
                  <w:tcBorders>
                    <w:top w:val="single" w:color="auto" w:sz="4" w:space="0"/>
                    <w:left w:val="single" w:color="auto" w:sz="4" w:space="0"/>
                    <w:bottom w:val="single" w:color="auto" w:sz="4" w:space="0"/>
                    <w:right w:val="single" w:color="auto" w:sz="4" w:space="0"/>
                  </w:tcBorders>
                  <w:noWrap w:val="0"/>
                  <w:vAlign w:val="top"/>
                </w:tcPr>
                <w:p>
                  <w:pPr>
                    <w:pStyle w:val="15"/>
                    <w:spacing w:line="360" w:lineRule="auto"/>
                    <w:rPr>
                      <w:rFonts w:hint="eastAsia"/>
                      <w:spacing w:val="1"/>
                      <w:position w:val="17"/>
                      <w:sz w:val="21"/>
                      <w:szCs w:val="21"/>
                      <w:lang w:eastAsia="zh-CN"/>
                    </w:rPr>
                  </w:pPr>
                  <w:r>
                    <w:rPr>
                      <w:rFonts w:hint="eastAsia"/>
                      <w:sz w:val="21"/>
                      <w:szCs w:val="21"/>
                      <w:lang w:eastAsia="zh-CN"/>
                    </w:rPr>
                    <w:t>可识读包含但不限于标准条形码、二维码，识别医保电子凭证、就诊码等行业应用的二维码；</w:t>
                  </w:r>
                </w:p>
                <w:p>
                  <w:pPr>
                    <w:pStyle w:val="15"/>
                    <w:spacing w:line="360" w:lineRule="auto"/>
                    <w:rPr>
                      <w:rFonts w:hint="eastAsia"/>
                      <w:sz w:val="21"/>
                      <w:szCs w:val="21"/>
                      <w:lang w:eastAsia="zh-CN"/>
                    </w:rPr>
                  </w:pPr>
                  <w:r>
                    <w:rPr>
                      <w:rFonts w:hint="eastAsia"/>
                      <w:sz w:val="21"/>
                      <w:szCs w:val="21"/>
                    </w:rPr>
                    <w:t>采集方式：影像式，CMOS。</w:t>
                  </w:r>
                  <w:r>
                    <w:rPr>
                      <w:rFonts w:hint="eastAsia"/>
                      <w:sz w:val="21"/>
                      <w:szCs w:val="21"/>
                      <w:lang w:eastAsia="zh-CN"/>
                    </w:rPr>
                    <w:t>分辨率：≥640×480。</w:t>
                  </w:r>
                </w:p>
                <w:p>
                  <w:pPr>
                    <w:pStyle w:val="15"/>
                    <w:spacing w:line="360" w:lineRule="auto"/>
                    <w:rPr>
                      <w:rFonts w:hint="eastAsia"/>
                      <w:sz w:val="21"/>
                      <w:szCs w:val="21"/>
                      <w:lang w:eastAsia="zh-CN"/>
                    </w:rPr>
                  </w:pPr>
                  <w:r>
                    <w:rPr>
                      <w:rFonts w:hint="eastAsia"/>
                      <w:sz w:val="21"/>
                      <w:szCs w:val="21"/>
                      <w:lang w:eastAsia="zh-CN"/>
                    </w:rPr>
                    <w:t>识别精度：二维≥7.5mil，一维≥5mil。</w:t>
                  </w:r>
                </w:p>
                <w:p>
                  <w:pPr>
                    <w:pStyle w:val="15"/>
                    <w:spacing w:line="360" w:lineRule="auto"/>
                    <w:rPr>
                      <w:rFonts w:hint="eastAsia"/>
                      <w:sz w:val="21"/>
                      <w:szCs w:val="21"/>
                      <w:lang w:eastAsia="zh-CN"/>
                    </w:rPr>
                  </w:pPr>
                  <w:r>
                    <w:rPr>
                      <w:rFonts w:hint="eastAsia"/>
                      <w:sz w:val="21"/>
                      <w:szCs w:val="21"/>
                    </w:rPr>
                    <w:t>支持符合国际、国内通用二维码标准:QR Code, Data Matrix, PDF417，Code 128，UPC，EAN, Code 39, Code93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按 键</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firstLine="480"/>
                    <w:rPr>
                      <w:rFonts w:hint="eastAsia" w:cs="仿宋"/>
                      <w:sz w:val="21"/>
                      <w:szCs w:val="21"/>
                    </w:rPr>
                  </w:pPr>
                  <w:r>
                    <w:rPr>
                      <w:rFonts w:hint="eastAsia" w:cs="仿宋"/>
                      <w:sz w:val="21"/>
                      <w:szCs w:val="21"/>
                    </w:rPr>
                    <w:t>电源键， 音量加/减键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蜂 鸣 器</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firstLine="480"/>
                    <w:rPr>
                      <w:rFonts w:hint="eastAsia" w:cs="仿宋"/>
                      <w:sz w:val="21"/>
                      <w:szCs w:val="21"/>
                    </w:rPr>
                  </w:pPr>
                  <w:r>
                    <w:rPr>
                      <w:rFonts w:hint="eastAsia" w:cs="仿宋"/>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扬声器</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pStyle w:val="9"/>
                    <w:spacing w:beforeAutospacing="0" w:afterAutospacing="0" w:line="360" w:lineRule="auto"/>
                    <w:rPr>
                      <w:rFonts w:hint="eastAsia" w:ascii="仿宋" w:hAnsi="仿宋" w:eastAsia="仿宋" w:cs="仿宋"/>
                      <w:sz w:val="21"/>
                      <w:szCs w:val="21"/>
                    </w:rPr>
                  </w:pPr>
                  <w:r>
                    <w:rPr>
                      <w:rFonts w:hint="eastAsia" w:ascii="仿宋" w:hAnsi="仿宋" w:eastAsia="仿宋" w:cs="仿宋"/>
                      <w:sz w:val="21"/>
                      <w:szCs w:val="21"/>
                    </w:rPr>
                    <w:t>支持扬声器语音播报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通讯接口</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firstLine="480"/>
                    <w:rPr>
                      <w:rFonts w:hint="eastAsia" w:cs="仿宋"/>
                      <w:kern w:val="2"/>
                      <w:sz w:val="21"/>
                      <w:szCs w:val="21"/>
                    </w:rPr>
                  </w:pPr>
                  <w:r>
                    <w:rPr>
                      <w:rFonts w:hint="eastAsia" w:cs="仿宋"/>
                      <w:kern w:val="2"/>
                      <w:sz w:val="21"/>
                      <w:szCs w:val="21"/>
                    </w:rPr>
                    <w:t>HOST USB 接口≥2 个、串口 RS232≥1 个、以太网接口≥1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SAM 卡座</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firstLine="480"/>
                    <w:rPr>
                      <w:rFonts w:hint="eastAsia" w:cs="仿宋"/>
                      <w:kern w:val="2"/>
                      <w:sz w:val="21"/>
                      <w:szCs w:val="21"/>
                    </w:rPr>
                  </w:pPr>
                  <w:r>
                    <w:rPr>
                      <w:rFonts w:hint="eastAsia" w:cs="仿宋"/>
                      <w:kern w:val="2"/>
                      <w:sz w:val="21"/>
                      <w:szCs w:val="21"/>
                    </w:rPr>
                    <w:t>4 个，符合 ISO/IEC 7816 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通讯方式</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firstLine="480"/>
                    <w:rPr>
                      <w:rFonts w:hint="eastAsia" w:cs="仿宋"/>
                      <w:kern w:val="2"/>
                      <w:sz w:val="21"/>
                      <w:szCs w:val="21"/>
                    </w:rPr>
                  </w:pPr>
                  <w:r>
                    <w:rPr>
                      <w:rFonts w:hint="eastAsia" w:cs="仿宋"/>
                      <w:kern w:val="2"/>
                      <w:sz w:val="21"/>
                      <w:szCs w:val="21"/>
                    </w:rPr>
                    <w:t>支持 4G、以太网（10/100M 自适应）通讯方式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电 源</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firstLine="480"/>
                    <w:rPr>
                      <w:rFonts w:hint="eastAsia" w:cs="仿宋"/>
                      <w:kern w:val="2"/>
                      <w:sz w:val="21"/>
                      <w:szCs w:val="21"/>
                    </w:rPr>
                  </w:pPr>
                  <w:r>
                    <w:rPr>
                      <w:rFonts w:hint="eastAsia" w:cs="仿宋"/>
                      <w:kern w:val="2"/>
                      <w:sz w:val="21"/>
                      <w:szCs w:val="21"/>
                    </w:rPr>
                    <w:t>外置 DC 12V 3A 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工作环境</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firstLine="480"/>
                    <w:rPr>
                      <w:rFonts w:hint="eastAsia" w:cs="仿宋"/>
                      <w:kern w:val="2"/>
                      <w:sz w:val="21"/>
                      <w:szCs w:val="21"/>
                    </w:rPr>
                  </w:pPr>
                  <w:r>
                    <w:rPr>
                      <w:rFonts w:hint="eastAsia" w:cs="仿宋"/>
                      <w:kern w:val="2"/>
                      <w:sz w:val="21"/>
                      <w:szCs w:val="21"/>
                    </w:rPr>
                    <w:t>温度：-10℃～50℃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存储环境</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firstLine="480"/>
                    <w:rPr>
                      <w:rFonts w:hint="eastAsia" w:cs="仿宋"/>
                      <w:kern w:val="2"/>
                      <w:sz w:val="21"/>
                      <w:szCs w:val="21"/>
                    </w:rPr>
                  </w:pPr>
                  <w:r>
                    <w:rPr>
                      <w:rFonts w:hint="eastAsia" w:cs="仿宋"/>
                      <w:kern w:val="2"/>
                      <w:sz w:val="21"/>
                      <w:szCs w:val="21"/>
                    </w:rPr>
                    <w:t>温度：-20℃～60℃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特性功能</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firstLine="480"/>
                    <w:rPr>
                      <w:rFonts w:hint="eastAsia" w:cs="仿宋"/>
                      <w:kern w:val="2"/>
                      <w:sz w:val="21"/>
                      <w:szCs w:val="21"/>
                    </w:rPr>
                  </w:pPr>
                  <w:r>
                    <w:rPr>
                      <w:rFonts w:hint="eastAsia" w:cs="仿宋"/>
                      <w:kern w:val="2"/>
                      <w:sz w:val="21"/>
                      <w:szCs w:val="21"/>
                    </w:rPr>
                    <w:t>★支持医保终端与电脑同屏显示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其他要求</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★1、产品需有中国国家强制性产品认证证书（3C 认证证书）。</w:t>
                  </w:r>
                </w:p>
                <w:p>
                  <w:pPr>
                    <w:spacing w:line="360" w:lineRule="auto"/>
                    <w:rPr>
                      <w:rFonts w:hint="eastAsia" w:ascii="仿宋" w:hAnsi="仿宋" w:eastAsia="仿宋" w:cs="仿宋"/>
                      <w:sz w:val="21"/>
                      <w:szCs w:val="21"/>
                    </w:rPr>
                  </w:pPr>
                  <w:r>
                    <w:rPr>
                      <w:rFonts w:hint="eastAsia" w:ascii="仿宋" w:hAnsi="仿宋" w:eastAsia="仿宋" w:cs="仿宋"/>
                      <w:sz w:val="21"/>
                      <w:szCs w:val="21"/>
                    </w:rPr>
                    <w:t>★2、产品需符合国家医保局发布《医保业务综合服务终端（Ⅲ类)技术规范》，具有国家医保局认可的第三方检测机构检测报告。</w:t>
                  </w:r>
                </w:p>
                <w:p>
                  <w:pPr>
                    <w:spacing w:line="360" w:lineRule="auto"/>
                    <w:rPr>
                      <w:rFonts w:hint="eastAsia" w:ascii="仿宋" w:hAnsi="仿宋" w:eastAsia="仿宋" w:cs="仿宋"/>
                      <w:sz w:val="21"/>
                      <w:szCs w:val="21"/>
                    </w:rPr>
                  </w:pPr>
                  <w:r>
                    <w:rPr>
                      <w:rFonts w:hint="eastAsia" w:ascii="仿宋" w:hAnsi="仿宋" w:eastAsia="仿宋" w:cs="仿宋"/>
                      <w:sz w:val="21"/>
                      <w:szCs w:val="21"/>
                    </w:rPr>
                    <w:t>★3、产品需具备CTA证书（电信设备进网许可证）</w:t>
                  </w:r>
                </w:p>
                <w:p>
                  <w:pPr>
                    <w:spacing w:line="360" w:lineRule="auto"/>
                    <w:rPr>
                      <w:rFonts w:hint="eastAsia" w:ascii="仿宋" w:hAnsi="仿宋" w:eastAsia="仿宋" w:cs="仿宋"/>
                      <w:sz w:val="21"/>
                      <w:szCs w:val="21"/>
                    </w:rPr>
                  </w:pPr>
                  <w:r>
                    <w:rPr>
                      <w:rFonts w:hint="eastAsia" w:ascii="仿宋" w:hAnsi="仿宋" w:eastAsia="仿宋" w:cs="仿宋"/>
                      <w:sz w:val="21"/>
                      <w:szCs w:val="21"/>
                    </w:rPr>
                    <w:t>★4、产品需具备ROHS正式报告ED200821024C(有害物质检测报告）</w:t>
                  </w:r>
                </w:p>
                <w:p>
                  <w:pPr>
                    <w:spacing w:line="360" w:lineRule="auto"/>
                    <w:rPr>
                      <w:rFonts w:hint="eastAsia" w:ascii="仿宋" w:hAnsi="仿宋" w:eastAsia="仿宋" w:cs="仿宋"/>
                      <w:sz w:val="21"/>
                      <w:szCs w:val="21"/>
                    </w:rPr>
                  </w:pPr>
                  <w:r>
                    <w:rPr>
                      <w:rFonts w:hint="eastAsia" w:ascii="仿宋" w:hAnsi="仿宋" w:eastAsia="仿宋" w:cs="仿宋"/>
                      <w:sz w:val="21"/>
                      <w:szCs w:val="21"/>
                    </w:rPr>
                    <w:t>★5、产品需具备SRRC无线电发射设备型号核准证书</w:t>
                  </w:r>
                </w:p>
              </w:tc>
            </w:tr>
          </w:tbl>
          <w:p>
            <w:pPr>
              <w:rPr>
                <w:rFonts w:hint="eastAsia" w:ascii="宋体" w:hAnsi="宋体"/>
                <w:sz w:val="21"/>
                <w:szCs w:val="21"/>
              </w:rPr>
            </w:pPr>
          </w:p>
        </w:tc>
      </w:tr>
    </w:tbl>
    <w:p>
      <w:pPr>
        <w:pStyle w:val="16"/>
        <w:ind w:firstLine="210" w:firstLineChars="100"/>
        <w:rPr>
          <w:rFonts w:hint="eastAsia" w:ascii="仿宋_GB2312" w:hAnsi="仿宋" w:eastAsia="仿宋_GB2312" w:cs="Times New Roman"/>
          <w:color w:val="000000"/>
          <w:sz w:val="21"/>
          <w:szCs w:val="21"/>
        </w:rPr>
      </w:pPr>
    </w:p>
    <w:p>
      <w:pPr>
        <w:pStyle w:val="16"/>
        <w:ind w:firstLine="241" w:firstLineChars="100"/>
        <w:rPr>
          <w:rFonts w:hint="eastAsia" w:ascii="仿宋_GB2312" w:hAnsi="仿宋" w:eastAsia="仿宋_GB2312" w:cs="Times New Roman"/>
          <w:b/>
          <w:bCs/>
          <w:color w:val="000000"/>
          <w:sz w:val="24"/>
          <w:szCs w:val="24"/>
        </w:rPr>
      </w:pPr>
      <w:r>
        <w:rPr>
          <w:rFonts w:hint="eastAsia" w:ascii="仿宋_GB2312" w:hAnsi="仿宋" w:eastAsia="仿宋_GB2312" w:cs="Times New Roman"/>
          <w:b/>
          <w:bCs/>
          <w:color w:val="000000"/>
          <w:sz w:val="24"/>
          <w:szCs w:val="24"/>
          <w:lang w:eastAsia="zh-CN"/>
        </w:rPr>
        <w:t>（</w:t>
      </w:r>
      <w:r>
        <w:rPr>
          <w:rFonts w:hint="eastAsia" w:ascii="仿宋_GB2312" w:hAnsi="仿宋" w:eastAsia="仿宋_GB2312" w:cs="Times New Roman"/>
          <w:b/>
          <w:bCs/>
          <w:color w:val="000000"/>
          <w:sz w:val="24"/>
          <w:szCs w:val="24"/>
          <w:lang w:val="en-US" w:eastAsia="zh-CN"/>
        </w:rPr>
        <w:t>四</w:t>
      </w:r>
      <w:r>
        <w:rPr>
          <w:rFonts w:hint="eastAsia" w:ascii="仿宋_GB2312" w:hAnsi="仿宋" w:eastAsia="仿宋_GB2312" w:cs="Times New Roman"/>
          <w:b/>
          <w:bCs/>
          <w:color w:val="000000"/>
          <w:sz w:val="24"/>
          <w:szCs w:val="24"/>
          <w:lang w:eastAsia="zh-CN"/>
        </w:rPr>
        <w:t>）</w:t>
      </w:r>
      <w:r>
        <w:rPr>
          <w:rFonts w:hint="eastAsia" w:ascii="仿宋_GB2312" w:hAnsi="仿宋" w:eastAsia="仿宋_GB2312" w:cs="Times New Roman"/>
          <w:b/>
          <w:bCs/>
          <w:color w:val="000000"/>
          <w:sz w:val="24"/>
          <w:szCs w:val="24"/>
        </w:rPr>
        <w:t>技术服务要求</w:t>
      </w:r>
    </w:p>
    <w:p>
      <w:pPr>
        <w:pStyle w:val="16"/>
        <w:ind w:firstLine="211" w:firstLineChars="100"/>
        <w:rPr>
          <w:rFonts w:hint="eastAsia" w:ascii="仿宋_GB2312" w:hAnsi="仿宋" w:eastAsia="仿宋_GB2312" w:cs="Times New Roman"/>
          <w:b/>
          <w:bCs/>
          <w:color w:val="000000"/>
          <w:sz w:val="21"/>
          <w:szCs w:val="21"/>
        </w:rPr>
      </w:pPr>
      <w:r>
        <w:rPr>
          <w:rFonts w:hint="eastAsia" w:ascii="仿宋_GB2312" w:hAnsi="仿宋" w:eastAsia="仿宋_GB2312" w:cs="Times New Roman"/>
          <w:b/>
          <w:bCs/>
          <w:color w:val="000000"/>
          <w:sz w:val="21"/>
          <w:szCs w:val="21"/>
        </w:rPr>
        <w:t>实施要求</w:t>
      </w:r>
    </w:p>
    <w:p>
      <w:pPr>
        <w:pStyle w:val="16"/>
        <w:ind w:firstLine="210" w:firstLineChars="1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1、中标人应负责将本项目在投标人单位内部开发、测试合格后，再到招标方提供的设备上，经检验后进行安装调试，直至验收合格。</w:t>
      </w:r>
    </w:p>
    <w:p>
      <w:pPr>
        <w:pStyle w:val="16"/>
        <w:ind w:firstLine="210" w:firstLineChars="1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2、中标人必须确保在整个项目过程中遵守国家及行业相关法规、标准和规范。</w:t>
      </w:r>
    </w:p>
    <w:p>
      <w:pPr>
        <w:pStyle w:val="16"/>
        <w:ind w:firstLine="210" w:firstLineChars="1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3、中标人必须在对整个项目过程进行科学、有效的项目管理</w:t>
      </w:r>
    </w:p>
    <w:p>
      <w:pPr>
        <w:pStyle w:val="16"/>
        <w:ind w:firstLine="210" w:firstLineChars="1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4、投标人在投标文件中，应针对项目制定合理的实施步骤，包含需求调研、客户化改造、测试、数据准备、培训考核等</w:t>
      </w:r>
    </w:p>
    <w:p>
      <w:pPr>
        <w:pStyle w:val="16"/>
        <w:ind w:firstLine="210" w:firstLineChars="1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5、投标人在投标文件中应提供切实可行的实施工作进度保障方案及控制措施，以确保项目质量和进度。</w:t>
      </w:r>
    </w:p>
    <w:p>
      <w:pPr>
        <w:pStyle w:val="16"/>
        <w:ind w:firstLine="210" w:firstLineChars="1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6、投标人应在投标文件中明确承诺保证项目建设团队的主要人员的稳定性。中标人不得在未经招标人同意的情况下更换项目经理。</w:t>
      </w:r>
    </w:p>
    <w:p>
      <w:pPr>
        <w:pStyle w:val="16"/>
        <w:ind w:firstLine="210" w:firstLineChars="1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7、如在项目实施过程中需要调整内容、进度等，需经双方共同同意，按合同变更程序办理。</w:t>
      </w:r>
    </w:p>
    <w:p>
      <w:pPr>
        <w:pStyle w:val="16"/>
        <w:ind w:firstLine="211" w:firstLineChars="100"/>
        <w:rPr>
          <w:rFonts w:hint="eastAsia" w:ascii="仿宋_GB2312" w:hAnsi="仿宋" w:eastAsia="仿宋_GB2312" w:cs="Times New Roman"/>
          <w:b/>
          <w:bCs/>
          <w:color w:val="000000"/>
          <w:sz w:val="21"/>
          <w:szCs w:val="21"/>
        </w:rPr>
      </w:pPr>
      <w:r>
        <w:rPr>
          <w:rFonts w:hint="eastAsia" w:ascii="仿宋_GB2312" w:hAnsi="仿宋" w:eastAsia="仿宋_GB2312" w:cs="Times New Roman"/>
          <w:b/>
          <w:bCs/>
          <w:color w:val="000000"/>
          <w:sz w:val="21"/>
          <w:szCs w:val="21"/>
        </w:rPr>
        <w:t>培训要求</w:t>
      </w:r>
    </w:p>
    <w:p>
      <w:pPr>
        <w:pStyle w:val="16"/>
        <w:ind w:firstLine="210" w:firstLineChars="1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中标人必须根据系统软件的功能和特点，充分考虑到系统使用人员的实际水平，提出详细的系统培训方案。目标是通过系统培训以达到系统管理人员能够具备独立管理中标人所提供的系统软件和日常的维护处理能力，各级业务人员能够熟练使用系统软件，确保应用系统能够真正的用起来。</w:t>
      </w:r>
    </w:p>
    <w:p>
      <w:pPr>
        <w:pStyle w:val="16"/>
        <w:ind w:firstLine="210" w:firstLineChars="1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1、中标人必须针对本系统软件及采用的相关技术等提出全面培训计划和培训方案并征得采购人同意后实施，培训服务工作须满足招标文件要求。</w:t>
      </w:r>
    </w:p>
    <w:p>
      <w:pPr>
        <w:pStyle w:val="16"/>
        <w:ind w:firstLine="210" w:firstLineChars="1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2、培训对象应分为普通业务操作员、系统管理员，中标人必须针对不同的对象制定不同的培训计划，并分别培训。</w:t>
      </w:r>
    </w:p>
    <w:p>
      <w:pPr>
        <w:pStyle w:val="16"/>
        <w:ind w:firstLine="210" w:firstLineChars="1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3、中标人应保证提供有经验的教员，使采购方相关人员在培训后能够独立地对系统进行管理、维护，而不需中标人的人员在场指导。</w:t>
      </w:r>
    </w:p>
    <w:p>
      <w:pPr>
        <w:pStyle w:val="16"/>
        <w:ind w:firstLine="210" w:firstLineChars="1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4、培训内容包括应用软件操作、操作系统、后台数据库管理等培训。</w:t>
      </w:r>
    </w:p>
    <w:p>
      <w:pPr>
        <w:pStyle w:val="16"/>
        <w:ind w:firstLine="210" w:firstLineChars="1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5、中标人必须为所有被培训人员进行现场培训。</w:t>
      </w:r>
    </w:p>
    <w:p>
      <w:pPr>
        <w:pStyle w:val="16"/>
        <w:ind w:firstLine="210" w:firstLineChars="100"/>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6、业务系统操作培训工作应在系统安装之前结束。</w:t>
      </w:r>
    </w:p>
    <w:p>
      <w:pPr>
        <w:spacing w:line="500" w:lineRule="exact"/>
        <w:ind w:firstLine="210" w:firstLineChars="100"/>
        <w:jc w:val="left"/>
        <w:rPr>
          <w:rFonts w:hint="eastAsia" w:ascii="仿宋_GB2312" w:hAnsi="仿宋" w:eastAsia="仿宋_GB2312" w:cs="Times New Roman"/>
          <w:color w:val="000000"/>
          <w:sz w:val="21"/>
          <w:szCs w:val="21"/>
        </w:rPr>
      </w:pPr>
      <w:r>
        <w:rPr>
          <w:rFonts w:hint="eastAsia" w:ascii="仿宋_GB2312" w:hAnsi="仿宋" w:eastAsia="仿宋_GB2312" w:cs="Times New Roman"/>
          <w:color w:val="000000"/>
          <w:sz w:val="21"/>
          <w:szCs w:val="21"/>
        </w:rPr>
        <w:t>7、与培训相关的费用，投标人应当一并计算在投标报价中</w:t>
      </w:r>
    </w:p>
    <w:p>
      <w:pPr>
        <w:pStyle w:val="2"/>
        <w:ind w:left="0" w:leftChars="0" w:firstLine="0" w:firstLineChars="0"/>
        <w:rPr>
          <w:rFonts w:hint="eastAsia" w:ascii="仿宋_GB2312" w:hAnsi="仿宋" w:eastAsia="仿宋_GB2312" w:cs="Times New Roman"/>
          <w:b/>
          <w:bCs/>
          <w:color w:val="000000"/>
          <w:sz w:val="24"/>
          <w:szCs w:val="24"/>
          <w:lang w:val="en-US" w:eastAsia="zh-CN"/>
        </w:rPr>
      </w:pPr>
      <w:r>
        <w:rPr>
          <w:rFonts w:hint="eastAsia" w:ascii="仿宋_GB2312" w:hAnsi="仿宋" w:eastAsia="仿宋_GB2312" w:cs="Times New Roman"/>
          <w:b/>
          <w:bCs/>
          <w:color w:val="000000"/>
          <w:sz w:val="24"/>
          <w:szCs w:val="24"/>
          <w:lang w:val="en-US" w:eastAsia="zh-CN"/>
        </w:rPr>
        <w:t>（五）服务标准：</w:t>
      </w:r>
    </w:p>
    <w:p>
      <w:pPr>
        <w:pStyle w:val="16"/>
        <w:ind w:firstLine="210" w:firstLineChars="100"/>
        <w:rPr>
          <w:rFonts w:hint="eastAsia" w:ascii="仿宋_GB2312" w:hAnsi="仿宋" w:eastAsia="仿宋_GB2312" w:cs="Times New Roman"/>
          <w:color w:val="auto"/>
          <w:sz w:val="21"/>
          <w:szCs w:val="21"/>
        </w:rPr>
      </w:pPr>
      <w:r>
        <w:rPr>
          <w:rFonts w:hint="eastAsia" w:ascii="仿宋_GB2312" w:hAnsi="仿宋" w:eastAsia="仿宋_GB2312" w:cs="Times New Roman"/>
          <w:color w:val="auto"/>
          <w:sz w:val="21"/>
          <w:szCs w:val="21"/>
        </w:rPr>
        <w:t>1、服务期内的技术服务</w:t>
      </w:r>
    </w:p>
    <w:p>
      <w:pPr>
        <w:pStyle w:val="16"/>
        <w:ind w:firstLine="210" w:firstLineChars="100"/>
        <w:rPr>
          <w:rFonts w:hint="eastAsia" w:ascii="仿宋_GB2312" w:hAnsi="仿宋" w:eastAsia="仿宋_GB2312" w:cs="Times New Roman"/>
          <w:color w:val="auto"/>
          <w:sz w:val="21"/>
          <w:szCs w:val="21"/>
        </w:rPr>
      </w:pPr>
      <w:r>
        <w:rPr>
          <w:rFonts w:hint="eastAsia" w:ascii="仿宋_GB2312" w:hAnsi="仿宋" w:eastAsia="仿宋_GB2312" w:cs="Times New Roman"/>
          <w:color w:val="auto"/>
          <w:sz w:val="21"/>
          <w:szCs w:val="21"/>
        </w:rPr>
        <w:t>（1）优化服务。提供在正常条件下改进系统性能的各项建议，包括系统资源分配与效率改进建议、软件配置规划和性能优化建议、系统容量预测建议等。同时需针对以下问题进行针对性优化：</w:t>
      </w:r>
    </w:p>
    <w:p>
      <w:pPr>
        <w:pStyle w:val="16"/>
        <w:rPr>
          <w:rFonts w:hint="eastAsia" w:ascii="仿宋_GB2312" w:hAnsi="仿宋" w:eastAsia="仿宋_GB2312" w:cs="Times New Roman"/>
          <w:color w:val="auto"/>
          <w:sz w:val="21"/>
          <w:szCs w:val="21"/>
        </w:rPr>
      </w:pPr>
      <w:r>
        <w:rPr>
          <w:rFonts w:hint="eastAsia" w:ascii="仿宋_GB2312" w:hAnsi="仿宋" w:eastAsia="仿宋_GB2312" w:cs="Times New Roman"/>
          <w:color w:val="auto"/>
          <w:sz w:val="21"/>
          <w:szCs w:val="21"/>
        </w:rPr>
        <w:t>实现收费操作系统定制功能，包括医保撤销、取消医保挂号费、住院腕带打印等需求。</w:t>
      </w:r>
    </w:p>
    <w:p>
      <w:pPr>
        <w:pStyle w:val="16"/>
        <w:rPr>
          <w:rFonts w:hint="eastAsia" w:ascii="仿宋_GB2312" w:hAnsi="仿宋" w:eastAsia="仿宋_GB2312" w:cs="Times New Roman"/>
          <w:color w:val="auto"/>
          <w:sz w:val="21"/>
          <w:szCs w:val="21"/>
        </w:rPr>
      </w:pPr>
      <w:r>
        <w:rPr>
          <w:rFonts w:hint="eastAsia" w:ascii="仿宋_GB2312" w:hAnsi="仿宋" w:eastAsia="仿宋_GB2312" w:cs="Times New Roman"/>
          <w:color w:val="auto"/>
          <w:sz w:val="21"/>
          <w:szCs w:val="21"/>
        </w:rPr>
        <w:t>简化人脸识别操作流程，确保单个病人识别录入环节身份证号验证（含后4位及18位两种模式）与刷脸验证一次性完成，避免重复操作。</w:t>
      </w:r>
    </w:p>
    <w:p>
      <w:pPr>
        <w:pStyle w:val="16"/>
        <w:rPr>
          <w:rFonts w:hint="eastAsia" w:ascii="仿宋_GB2312" w:hAnsi="仿宋" w:eastAsia="仿宋_GB2312" w:cs="Times New Roman"/>
          <w:color w:val="auto"/>
          <w:sz w:val="21"/>
          <w:szCs w:val="21"/>
        </w:rPr>
      </w:pPr>
      <w:r>
        <w:rPr>
          <w:rFonts w:hint="eastAsia" w:ascii="仿宋_GB2312" w:hAnsi="仿宋" w:eastAsia="仿宋_GB2312" w:cs="Times New Roman"/>
          <w:color w:val="auto"/>
          <w:sz w:val="21"/>
          <w:szCs w:val="21"/>
        </w:rPr>
        <w:t>修复激活电子医保码后系统自动退出的问题。</w:t>
      </w:r>
    </w:p>
    <w:p>
      <w:pPr>
        <w:pStyle w:val="16"/>
        <w:rPr>
          <w:rFonts w:hint="eastAsia" w:ascii="仿宋_GB2312" w:hAnsi="仿宋" w:eastAsia="仿宋_GB2312" w:cs="Times New Roman"/>
          <w:color w:val="auto"/>
          <w:sz w:val="21"/>
          <w:szCs w:val="21"/>
        </w:rPr>
      </w:pPr>
      <w:r>
        <w:rPr>
          <w:rFonts w:hint="eastAsia" w:ascii="仿宋_GB2312" w:hAnsi="仿宋" w:eastAsia="仿宋_GB2312" w:cs="Times New Roman"/>
          <w:color w:val="auto"/>
          <w:sz w:val="21"/>
          <w:szCs w:val="21"/>
        </w:rPr>
        <w:t>完善系统结算功能，支持兵团、工伤人员通过人脸识别完成结算。</w:t>
      </w:r>
    </w:p>
    <w:p>
      <w:pPr>
        <w:pStyle w:val="16"/>
        <w:rPr>
          <w:rFonts w:hint="eastAsia" w:ascii="仿宋_GB2312" w:hAnsi="仿宋" w:eastAsia="仿宋_GB2312" w:cs="Times New Roman"/>
          <w:color w:val="auto"/>
          <w:sz w:val="21"/>
          <w:szCs w:val="21"/>
        </w:rPr>
      </w:pPr>
      <w:r>
        <w:rPr>
          <w:rFonts w:hint="eastAsia" w:ascii="仿宋_GB2312" w:hAnsi="仿宋" w:eastAsia="仿宋_GB2312" w:cs="Times New Roman"/>
          <w:color w:val="auto"/>
          <w:sz w:val="21"/>
          <w:szCs w:val="21"/>
        </w:rPr>
        <w:t>优化系统切换逻辑，实现医保卡/医保码结算与刷脸结算模式无缝切换，无需退出系统重新进入。</w:t>
      </w:r>
    </w:p>
    <w:p>
      <w:pPr>
        <w:pStyle w:val="16"/>
        <w:rPr>
          <w:rFonts w:hint="eastAsia" w:ascii="仿宋_GB2312" w:hAnsi="仿宋" w:eastAsia="仿宋_GB2312" w:cs="Times New Roman"/>
          <w:color w:val="auto"/>
          <w:sz w:val="21"/>
          <w:szCs w:val="21"/>
        </w:rPr>
      </w:pPr>
      <w:r>
        <w:rPr>
          <w:rFonts w:hint="eastAsia" w:ascii="仿宋_GB2312" w:hAnsi="仿宋" w:eastAsia="仿宋_GB2312" w:cs="Times New Roman"/>
          <w:color w:val="auto"/>
          <w:sz w:val="21"/>
          <w:szCs w:val="21"/>
        </w:rPr>
        <w:t>优化费别修改功能，确保费别调整后无需重复人脸识别即可按新费别结算。</w:t>
      </w:r>
    </w:p>
    <w:p>
      <w:pPr>
        <w:pStyle w:val="16"/>
        <w:rPr>
          <w:rFonts w:hint="eastAsia" w:ascii="仿宋_GB2312" w:hAnsi="仿宋" w:eastAsia="仿宋_GB2312" w:cs="Times New Roman"/>
          <w:color w:val="auto"/>
          <w:sz w:val="21"/>
          <w:szCs w:val="21"/>
        </w:rPr>
      </w:pPr>
      <w:r>
        <w:rPr>
          <w:rFonts w:hint="eastAsia" w:ascii="仿宋_GB2312" w:hAnsi="仿宋" w:eastAsia="仿宋_GB2312" w:cs="Times New Roman"/>
          <w:color w:val="auto"/>
          <w:sz w:val="21"/>
          <w:szCs w:val="21"/>
        </w:rPr>
        <w:t>完善信息读取机制，解决人脸识别读卡无费用但医保卡读卡显示费用的问题（需关联处理病人多就诊卡情况）。</w:t>
      </w:r>
    </w:p>
    <w:p>
      <w:pPr>
        <w:pStyle w:val="16"/>
        <w:ind w:firstLine="210" w:firstLineChars="100"/>
        <w:rPr>
          <w:rFonts w:hint="eastAsia" w:ascii="仿宋_GB2312" w:hAnsi="仿宋" w:eastAsia="仿宋_GB2312" w:cs="Times New Roman"/>
          <w:color w:val="auto"/>
          <w:sz w:val="21"/>
          <w:szCs w:val="21"/>
        </w:rPr>
      </w:pPr>
      <w:r>
        <w:rPr>
          <w:rFonts w:hint="eastAsia" w:ascii="仿宋_GB2312" w:hAnsi="仿宋" w:eastAsia="仿宋_GB2312" w:cs="Times New Roman"/>
          <w:color w:val="auto"/>
          <w:sz w:val="21"/>
          <w:szCs w:val="21"/>
        </w:rPr>
        <w:t>（2）咨询服务。提供系统软件应用和维护技术咨询服务。</w:t>
      </w:r>
    </w:p>
    <w:p>
      <w:pPr>
        <w:pStyle w:val="16"/>
        <w:ind w:firstLine="210" w:firstLineChars="100"/>
        <w:rPr>
          <w:rFonts w:hint="eastAsia" w:ascii="仿宋_GB2312" w:hAnsi="仿宋" w:eastAsia="仿宋_GB2312" w:cs="Times New Roman"/>
          <w:color w:val="auto"/>
          <w:sz w:val="21"/>
          <w:szCs w:val="21"/>
        </w:rPr>
      </w:pPr>
      <w:r>
        <w:rPr>
          <w:rFonts w:hint="eastAsia" w:ascii="仿宋_GB2312" w:hAnsi="仿宋" w:eastAsia="仿宋_GB2312" w:cs="Times New Roman"/>
          <w:color w:val="auto"/>
          <w:sz w:val="21"/>
          <w:szCs w:val="21"/>
        </w:rPr>
        <w:t>（3）电话或现场技术服务。提供电话或现场技术服务。</w:t>
      </w:r>
    </w:p>
    <w:p>
      <w:pPr>
        <w:spacing w:line="500" w:lineRule="exact"/>
        <w:jc w:val="left"/>
        <w:rPr>
          <w:rFonts w:hint="eastAsia" w:ascii="仿宋_GB2312" w:hAnsi="Calibri" w:eastAsia="仿宋_GB2312" w:cs="Times New Roman"/>
          <w:kern w:val="0"/>
          <w:sz w:val="21"/>
          <w:szCs w:val="21"/>
        </w:rPr>
      </w:pPr>
      <w:r>
        <w:rPr>
          <w:rFonts w:hint="eastAsia" w:ascii="仿宋_GB2312" w:hAnsi="仿宋" w:eastAsia="仿宋_GB2312" w:cs="Times New Roman"/>
          <w:color w:val="auto"/>
          <w:sz w:val="21"/>
          <w:szCs w:val="21"/>
        </w:rPr>
        <w:t>2、中标人必须按招标方指定的方式提供7×24小时支持维护服务并在30分钟内响应，维护方式包括邮件、电话、远程维护、现场服务等方式。必须保证有足够的人员及技术支持电话负责本系统运维工作，对于与所供产品有关的问题无法远程解决的必须派人现场解决的问题，保证在收到现场服务通知后，2小时内到达现场，24小时内未解决的成交供应商应提供详细的应急解决方案。</w:t>
      </w:r>
    </w:p>
    <w:p>
      <w:pPr>
        <w:topLinePunct/>
        <w:autoSpaceDN w:val="0"/>
        <w:adjustRightInd w:val="0"/>
        <w:snapToGrid w:val="0"/>
        <w:spacing w:line="42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四</w:t>
      </w:r>
      <w:r>
        <w:rPr>
          <w:rFonts w:hint="eastAsia" w:ascii="仿宋" w:hAnsi="仿宋" w:eastAsia="仿宋" w:cs="仿宋"/>
          <w:b/>
          <w:bCs/>
          <w:color w:val="000000"/>
          <w:sz w:val="24"/>
          <w:szCs w:val="24"/>
        </w:rPr>
        <w:t>、项目商务需求</w:t>
      </w:r>
    </w:p>
    <w:p>
      <w:pPr>
        <w:snapToGrid w:val="0"/>
        <w:spacing w:line="420" w:lineRule="exact"/>
        <w:rPr>
          <w:rFonts w:hint="default" w:ascii="仿宋" w:hAnsi="仿宋" w:eastAsia="仿宋" w:cs="仿宋"/>
          <w:sz w:val="24"/>
          <w:szCs w:val="24"/>
          <w:lang w:val="en-US" w:eastAsia="zh-CN"/>
        </w:rPr>
      </w:pPr>
      <w:r>
        <w:rPr>
          <w:rFonts w:hint="eastAsia" w:ascii="仿宋" w:hAnsi="仿宋" w:eastAsia="仿宋" w:cs="仿宋"/>
          <w:kern w:val="0"/>
          <w:sz w:val="24"/>
          <w:szCs w:val="24"/>
          <w:shd w:val="clear" w:color="auto" w:fill="FFFFFF"/>
          <w:lang w:val="en-US" w:eastAsia="zh-CN"/>
        </w:rPr>
        <w:t>(一)</w:t>
      </w:r>
      <w:r>
        <w:rPr>
          <w:rFonts w:hint="eastAsia" w:ascii="仿宋" w:hAnsi="仿宋" w:eastAsia="仿宋" w:cs="仿宋"/>
          <w:kern w:val="0"/>
          <w:sz w:val="24"/>
          <w:szCs w:val="24"/>
          <w:shd w:val="clear" w:color="auto" w:fill="FFFFFF"/>
        </w:rPr>
        <w:t>签订</w:t>
      </w:r>
      <w:r>
        <w:rPr>
          <w:rFonts w:hint="eastAsia" w:ascii="仿宋" w:hAnsi="仿宋" w:eastAsia="仿宋" w:cs="仿宋"/>
          <w:sz w:val="24"/>
          <w:szCs w:val="24"/>
        </w:rPr>
        <w:t>合同及交</w:t>
      </w:r>
      <w:r>
        <w:rPr>
          <w:rFonts w:hint="eastAsia" w:ascii="仿宋" w:hAnsi="仿宋" w:eastAsia="仿宋" w:cs="仿宋"/>
          <w:kern w:val="0"/>
          <w:sz w:val="24"/>
          <w:szCs w:val="24"/>
          <w:shd w:val="clear" w:color="auto" w:fill="FFFFFF"/>
        </w:rPr>
        <w:t>货</w:t>
      </w:r>
      <w:r>
        <w:rPr>
          <w:rFonts w:hint="eastAsia" w:ascii="仿宋" w:hAnsi="仿宋" w:eastAsia="仿宋" w:cs="仿宋"/>
          <w:sz w:val="24"/>
          <w:szCs w:val="24"/>
        </w:rPr>
        <w:t>时间</w:t>
      </w:r>
      <w:r>
        <w:rPr>
          <w:rFonts w:hint="eastAsia" w:ascii="仿宋" w:hAnsi="仿宋" w:eastAsia="仿宋" w:cs="仿宋"/>
          <w:kern w:val="0"/>
          <w:sz w:val="24"/>
          <w:szCs w:val="24"/>
          <w:shd w:val="clear" w:color="auto" w:fill="FFFFFF"/>
        </w:rPr>
        <w:t>：要求中标公司在中标公示结束后</w:t>
      </w:r>
      <w:r>
        <w:rPr>
          <w:rFonts w:hint="eastAsia" w:ascii="仿宋" w:hAnsi="仿宋" w:eastAsia="仿宋" w:cs="仿宋"/>
          <w:kern w:val="0"/>
          <w:sz w:val="24"/>
          <w:szCs w:val="24"/>
          <w:shd w:val="clear" w:color="auto" w:fill="FFFFFF"/>
          <w:lang w:val="en-US" w:eastAsia="zh-CN"/>
        </w:rPr>
        <w:t>5</w:t>
      </w:r>
      <w:r>
        <w:rPr>
          <w:rFonts w:hint="eastAsia" w:ascii="仿宋" w:hAnsi="仿宋" w:eastAsia="仿宋" w:cs="仿宋"/>
          <w:kern w:val="0"/>
          <w:sz w:val="24"/>
          <w:szCs w:val="24"/>
          <w:shd w:val="clear" w:color="auto" w:fill="FFFFFF"/>
        </w:rPr>
        <w:t>个工作日内与采购人完善合同签订等手续；自</w:t>
      </w:r>
      <w:r>
        <w:rPr>
          <w:rFonts w:hint="eastAsia" w:ascii="仿宋" w:hAnsi="仿宋" w:eastAsia="仿宋" w:cs="仿宋"/>
          <w:sz w:val="24"/>
          <w:szCs w:val="24"/>
        </w:rPr>
        <w:t>签订</w:t>
      </w:r>
      <w:r>
        <w:rPr>
          <w:rFonts w:hint="eastAsia" w:ascii="仿宋" w:hAnsi="仿宋" w:eastAsia="仿宋" w:cs="仿宋"/>
          <w:kern w:val="0"/>
          <w:sz w:val="24"/>
          <w:szCs w:val="24"/>
          <w:shd w:val="clear" w:color="auto" w:fill="FFFFFF"/>
        </w:rPr>
        <w:t>合同之</w:t>
      </w:r>
      <w:r>
        <w:rPr>
          <w:rFonts w:hint="eastAsia" w:ascii="仿宋" w:hAnsi="仿宋" w:eastAsia="仿宋" w:cs="仿宋"/>
          <w:sz w:val="24"/>
          <w:szCs w:val="24"/>
        </w:rPr>
        <w:t>日起保证</w:t>
      </w:r>
      <w:r>
        <w:rPr>
          <w:rFonts w:hint="eastAsia" w:ascii="仿宋" w:hAnsi="仿宋" w:eastAsia="仿宋" w:cs="仿宋"/>
          <w:sz w:val="24"/>
          <w:szCs w:val="24"/>
          <w:lang w:val="en-US" w:eastAsia="zh-CN"/>
        </w:rPr>
        <w:t>3</w:t>
      </w:r>
      <w:r>
        <w:rPr>
          <w:rFonts w:hint="eastAsia" w:ascii="仿宋" w:hAnsi="仿宋" w:eastAsia="仿宋" w:cs="仿宋"/>
          <w:sz w:val="24"/>
          <w:szCs w:val="24"/>
        </w:rPr>
        <w:t>0天内完成安装调试并验收投入使用。</w:t>
      </w:r>
    </w:p>
    <w:p>
      <w:pPr>
        <w:snapToGrid w:val="0"/>
        <w:spacing w:line="420" w:lineRule="exact"/>
        <w:rPr>
          <w:rFonts w:hint="default" w:ascii="仿宋" w:hAnsi="仿宋" w:eastAsia="仿宋" w:cs="仿宋"/>
          <w:kern w:val="0"/>
          <w:sz w:val="24"/>
          <w:szCs w:val="24"/>
          <w:shd w:val="clear" w:color="auto" w:fill="FFFFFF"/>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交货地点：</w:t>
      </w:r>
      <w:r>
        <w:rPr>
          <w:rFonts w:hint="eastAsia" w:ascii="仿宋" w:hAnsi="仿宋" w:eastAsia="仿宋" w:cs="仿宋"/>
          <w:sz w:val="24"/>
          <w:szCs w:val="24"/>
          <w:lang w:val="en-US" w:eastAsia="zh-CN"/>
        </w:rPr>
        <w:t>克拉玛依市中西医结合医院（克拉玛依市人民医院）信息科</w:t>
      </w:r>
      <w:bookmarkStart w:id="0" w:name="_GoBack"/>
      <w:bookmarkEnd w:id="0"/>
    </w:p>
    <w:p>
      <w:pPr>
        <w:keepNext w:val="0"/>
        <w:keepLines w:val="0"/>
        <w:widowControl/>
        <w:suppressLineNumbers w:val="0"/>
        <w:jc w:val="both"/>
        <w:textAlignment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lang w:eastAsia="zh-CN"/>
        </w:rPr>
        <w:t>（</w:t>
      </w:r>
      <w:r>
        <w:rPr>
          <w:rFonts w:hint="eastAsia" w:ascii="仿宋" w:hAnsi="仿宋" w:eastAsia="仿宋" w:cs="仿宋"/>
          <w:kern w:val="0"/>
          <w:sz w:val="24"/>
          <w:szCs w:val="24"/>
          <w:shd w:val="clear" w:color="auto" w:fill="FFFFFF"/>
          <w:lang w:val="en-US" w:eastAsia="zh-CN"/>
        </w:rPr>
        <w:t>三</w:t>
      </w:r>
      <w:r>
        <w:rPr>
          <w:rFonts w:hint="eastAsia" w:ascii="仿宋" w:hAnsi="仿宋" w:eastAsia="仿宋" w:cs="仿宋"/>
          <w:kern w:val="0"/>
          <w:sz w:val="24"/>
          <w:szCs w:val="24"/>
          <w:shd w:val="clear" w:color="auto" w:fill="FFFFFF"/>
          <w:lang w:eastAsia="zh-CN"/>
        </w:rPr>
        <w:t>）</w:t>
      </w:r>
      <w:r>
        <w:rPr>
          <w:rFonts w:hint="eastAsia" w:ascii="仿宋" w:hAnsi="仿宋" w:eastAsia="仿宋" w:cs="仿宋"/>
          <w:color w:val="auto"/>
          <w:kern w:val="0"/>
          <w:sz w:val="24"/>
          <w:szCs w:val="24"/>
          <w:shd w:val="clear" w:color="auto" w:fill="FFFFFF"/>
        </w:rPr>
        <w:t>验收方式</w:t>
      </w:r>
      <w:r>
        <w:rPr>
          <w:rFonts w:hint="eastAsia" w:ascii="仿宋" w:hAnsi="仿宋" w:eastAsia="仿宋" w:cs="仿宋"/>
          <w:kern w:val="0"/>
          <w:sz w:val="24"/>
          <w:szCs w:val="24"/>
          <w:shd w:val="clear" w:color="auto" w:fill="FFFFFF"/>
        </w:rPr>
        <w:t>：</w:t>
      </w:r>
      <w:r>
        <w:rPr>
          <w:rFonts w:hint="eastAsia" w:ascii="仿宋" w:hAnsi="仿宋" w:eastAsia="仿宋" w:cs="仿宋"/>
          <w:kern w:val="0"/>
          <w:sz w:val="24"/>
          <w:szCs w:val="24"/>
          <w:shd w:val="clear" w:color="auto" w:fill="FFFFFF"/>
          <w:lang w:val="en-US" w:eastAsia="zh-CN"/>
        </w:rPr>
        <w:t>1.</w:t>
      </w:r>
      <w:r>
        <w:rPr>
          <w:rFonts w:hint="eastAsia" w:ascii="仿宋" w:hAnsi="仿宋" w:eastAsia="仿宋" w:cs="仿宋"/>
          <w:b w:val="0"/>
          <w:bCs w:val="0"/>
          <w:color w:val="000000"/>
          <w:sz w:val="24"/>
          <w:szCs w:val="24"/>
        </w:rPr>
        <w:t>货物到达现场后，中标人应在使用单位人员在场情况下当面开箱，共同清点、检查外观，作出开箱记录，双方签字确认</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中标人应保证货物到达采购人所在地完好无损，如有 缺漏、损坏，由供应商负责调换、补齐或赔偿。</w:t>
      </w: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rPr>
        <w:t xml:space="preserve">中标人应提供完备的技术资料、装箱单和合格证等，并派遣专业技术人员进行现场安装调试。验收合格条件如下： </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设备技术参数与采购合同一致，性能指标达到规定的标准。</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 xml:space="preserve">货物技术资料、装箱单、合格证等资料齐全。 </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在系统试运行期间所出现的问题得到解决，并运行正常</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在规定时间内交</w:t>
      </w:r>
      <w:r>
        <w:rPr>
          <w:rFonts w:ascii="仿宋_GB2312" w:hAnsi="仿宋_GB2312" w:eastAsia="仿宋_GB2312" w:cs="仿宋_GB2312"/>
          <w:b w:val="0"/>
          <w:bCs w:val="0"/>
          <w:color w:val="000000"/>
          <w:sz w:val="24"/>
          <w:szCs w:val="24"/>
        </w:rPr>
        <w:t>交货和验收，并经采购人确认 4</w:t>
      </w:r>
      <w:r>
        <w:rPr>
          <w:rFonts w:hint="eastAsia" w:ascii="仿宋_GB2312" w:hAnsi="仿宋_GB2312" w:eastAsia="仿宋_GB2312" w:cs="仿宋_GB2312"/>
          <w:b w:val="0"/>
          <w:bCs w:val="0"/>
          <w:color w:val="000000"/>
          <w:sz w:val="24"/>
          <w:szCs w:val="24"/>
          <w:lang w:val="en-US" w:eastAsia="zh-CN"/>
        </w:rPr>
        <w:t>.</w:t>
      </w:r>
      <w:r>
        <w:rPr>
          <w:rFonts w:ascii="仿宋_GB2312" w:hAnsi="仿宋_GB2312" w:eastAsia="仿宋_GB2312" w:cs="仿宋_GB2312"/>
          <w:b w:val="0"/>
          <w:bCs w:val="0"/>
          <w:color w:val="000000"/>
          <w:sz w:val="24"/>
          <w:szCs w:val="24"/>
        </w:rPr>
        <w:t>产品在安装调试并试运行符合要求后，才作为最终验收。 5</w:t>
      </w:r>
      <w:r>
        <w:rPr>
          <w:rFonts w:hint="eastAsia" w:ascii="仿宋_GB2312" w:hAnsi="仿宋_GB2312" w:eastAsia="仿宋_GB2312" w:cs="仿宋_GB2312"/>
          <w:b w:val="0"/>
          <w:bCs w:val="0"/>
          <w:color w:val="000000"/>
          <w:sz w:val="24"/>
          <w:szCs w:val="24"/>
          <w:lang w:val="en-US" w:eastAsia="zh-CN"/>
        </w:rPr>
        <w:t>.</w:t>
      </w:r>
      <w:r>
        <w:rPr>
          <w:rFonts w:ascii="仿宋_GB2312" w:hAnsi="仿宋_GB2312" w:eastAsia="仿宋_GB2312" w:cs="仿宋_GB2312"/>
          <w:b w:val="0"/>
          <w:bCs w:val="0"/>
          <w:color w:val="000000"/>
          <w:sz w:val="24"/>
          <w:szCs w:val="24"/>
        </w:rPr>
        <w:t>供应商提供的货物未达到招标文件规定要求，且对采购人造成损失的，由供应商承担一切责任，并赔偿所造成的损失。</w:t>
      </w:r>
      <w:r>
        <w:rPr>
          <w:rFonts w:ascii="仿宋_GB2312" w:hAnsi="仿宋_GB2312" w:eastAsia="仿宋_GB2312" w:cs="仿宋_GB2312"/>
          <w:b w:val="0"/>
          <w:bCs w:val="0"/>
          <w:color w:val="000000"/>
          <w:sz w:val="31"/>
          <w:szCs w:val="31"/>
        </w:rPr>
        <w:t xml:space="preserve"> </w:t>
      </w:r>
    </w:p>
    <w:p>
      <w:pPr>
        <w:numPr>
          <w:ilvl w:val="0"/>
          <w:numId w:val="0"/>
        </w:numPr>
        <w:spacing w:line="500" w:lineRule="exact"/>
        <w:jc w:val="left"/>
        <w:rPr>
          <w:rFonts w:hint="default" w:ascii="仿宋" w:hAnsi="仿宋" w:eastAsia="仿宋" w:cs="仿宋"/>
          <w:color w:val="0000FF"/>
          <w:sz w:val="24"/>
          <w:szCs w:val="24"/>
          <w:highlight w:val="none"/>
          <w:lang w:val="en-US"/>
        </w:rPr>
      </w:pPr>
      <w:r>
        <w:rPr>
          <w:rFonts w:hint="eastAsia" w:ascii="仿宋" w:hAnsi="仿宋" w:eastAsia="仿宋" w:cs="仿宋"/>
          <w:b/>
          <w:bCs/>
          <w:color w:val="000000"/>
          <w:sz w:val="24"/>
          <w:szCs w:val="24"/>
          <w:lang w:val="en-US" w:eastAsia="zh-CN"/>
        </w:rPr>
        <w:t>五</w:t>
      </w:r>
      <w:r>
        <w:rPr>
          <w:rFonts w:hint="eastAsia" w:ascii="仿宋" w:hAnsi="仿宋" w:eastAsia="仿宋" w:cs="仿宋"/>
          <w:b/>
          <w:bCs/>
          <w:color w:val="000000"/>
          <w:sz w:val="24"/>
          <w:szCs w:val="24"/>
          <w:lang w:val="zh-CN"/>
        </w:rPr>
        <w:t>、付款方式</w:t>
      </w:r>
    </w:p>
    <w:p>
      <w:pPr>
        <w:numPr>
          <w:ilvl w:val="0"/>
          <w:numId w:val="0"/>
        </w:numPr>
        <w:spacing w:line="560" w:lineRule="exact"/>
        <w:rPr>
          <w:rFonts w:hint="eastAsia" w:ascii="仿宋" w:hAnsi="仿宋" w:eastAsia="仿宋" w:cs="仿宋"/>
          <w:b w:val="0"/>
          <w:bCs w:val="0"/>
          <w:color w:val="000000"/>
          <w:sz w:val="24"/>
          <w:szCs w:val="24"/>
          <w:lang w:val="en-US" w:eastAsia="zh-CN"/>
        </w:rPr>
      </w:pPr>
      <w:r>
        <w:rPr>
          <w:rFonts w:hint="eastAsia" w:ascii="仿宋" w:hAnsi="仿宋" w:eastAsia="仿宋" w:cs="仿宋"/>
          <w:sz w:val="24"/>
          <w:szCs w:val="24"/>
          <w:lang w:val="en-US" w:eastAsia="zh-CN"/>
        </w:rPr>
        <w:t>具体</w:t>
      </w:r>
      <w:r>
        <w:rPr>
          <w:rFonts w:hint="eastAsia" w:ascii="仿宋" w:hAnsi="仿宋" w:eastAsia="仿宋" w:cs="仿宋"/>
          <w:b w:val="0"/>
          <w:bCs w:val="0"/>
          <w:color w:val="000000"/>
          <w:sz w:val="24"/>
          <w:szCs w:val="24"/>
          <w:lang w:val="en-US" w:eastAsia="zh-CN"/>
        </w:rPr>
        <w:t>以合同约定为准。</w:t>
      </w:r>
    </w:p>
    <w:p>
      <w:pPr>
        <w:topLinePunct/>
        <w:autoSpaceDN w:val="0"/>
        <w:adjustRightInd w:val="0"/>
        <w:snapToGrid w:val="0"/>
        <w:spacing w:line="420" w:lineRule="exact"/>
        <w:rPr>
          <w:rFonts w:hint="eastAsia" w:ascii="仿宋" w:hAnsi="仿宋" w:eastAsia="仿宋" w:cs="仿宋"/>
          <w:b/>
          <w:bCs/>
          <w:color w:val="000000"/>
          <w:sz w:val="24"/>
          <w:szCs w:val="24"/>
          <w:lang w:val="zh-CN"/>
        </w:rPr>
      </w:pPr>
      <w:r>
        <w:rPr>
          <w:rFonts w:hint="eastAsia" w:ascii="仿宋" w:hAnsi="仿宋" w:eastAsia="仿宋" w:cs="仿宋"/>
          <w:b/>
          <w:bCs/>
          <w:color w:val="000000"/>
          <w:sz w:val="24"/>
          <w:szCs w:val="24"/>
          <w:lang w:val="en-US" w:eastAsia="zh-CN"/>
        </w:rPr>
        <w:t>六</w:t>
      </w:r>
      <w:r>
        <w:rPr>
          <w:rFonts w:hint="eastAsia" w:ascii="仿宋" w:hAnsi="仿宋" w:eastAsia="仿宋" w:cs="仿宋"/>
          <w:b/>
          <w:bCs/>
          <w:color w:val="000000"/>
          <w:sz w:val="24"/>
          <w:szCs w:val="24"/>
          <w:lang w:val="zh-CN"/>
        </w:rPr>
        <w:t>、违约责任</w:t>
      </w:r>
    </w:p>
    <w:p>
      <w:pPr>
        <w:snapToGrid w:val="0"/>
        <w:spacing w:line="420" w:lineRule="exact"/>
        <w:rPr>
          <w:rFonts w:hint="eastAsia" w:ascii="仿宋" w:hAnsi="仿宋" w:eastAsia="仿宋" w:cs="仿宋"/>
          <w:kern w:val="0"/>
          <w:sz w:val="24"/>
          <w:szCs w:val="24"/>
          <w:shd w:val="clear" w:color="auto" w:fill="FFFFFF"/>
          <w:lang w:val="zh-CN"/>
        </w:rPr>
      </w:pPr>
      <w:r>
        <w:rPr>
          <w:rFonts w:hint="eastAsia" w:ascii="仿宋" w:hAnsi="仿宋" w:eastAsia="仿宋" w:cs="仿宋"/>
          <w:kern w:val="0"/>
          <w:sz w:val="24"/>
          <w:szCs w:val="24"/>
          <w:shd w:val="clear" w:color="auto" w:fill="FFFFFF"/>
          <w:lang w:val="zh-CN"/>
        </w:rPr>
        <w:t>1.若非采购人原因，中标方不能按要求提供产品的，采购人有权解除合同。</w:t>
      </w:r>
    </w:p>
    <w:p>
      <w:pPr>
        <w:snapToGrid w:val="0"/>
        <w:spacing w:line="420" w:lineRule="exact"/>
        <w:rPr>
          <w:rFonts w:hint="eastAsia" w:ascii="仿宋" w:hAnsi="仿宋" w:eastAsia="仿宋" w:cs="仿宋"/>
          <w:kern w:val="0"/>
          <w:sz w:val="24"/>
          <w:szCs w:val="24"/>
          <w:shd w:val="clear" w:color="auto" w:fill="FFFFFF"/>
          <w:lang w:val="zh-CN"/>
        </w:rPr>
      </w:pPr>
      <w:r>
        <w:rPr>
          <w:rFonts w:hint="eastAsia" w:ascii="仿宋" w:hAnsi="仿宋" w:eastAsia="仿宋" w:cs="仿宋"/>
          <w:kern w:val="0"/>
          <w:sz w:val="24"/>
          <w:szCs w:val="24"/>
          <w:shd w:val="clear" w:color="auto" w:fill="FFFFFF"/>
          <w:lang w:val="zh-CN"/>
        </w:rPr>
        <w:t>2.中标方不按合同和采购文件技术标准提供产品，对质量问题和技术问题不进行整改的，采购人可以不予支付货款并有权解除合同。</w:t>
      </w:r>
    </w:p>
    <w:p>
      <w:pPr>
        <w:snapToGrid w:val="0"/>
        <w:spacing w:line="420" w:lineRule="exact"/>
        <w:rPr>
          <w:rFonts w:hint="eastAsia" w:ascii="仿宋" w:hAnsi="仿宋" w:eastAsia="仿宋" w:cs="仿宋"/>
          <w:kern w:val="0"/>
          <w:sz w:val="24"/>
          <w:szCs w:val="24"/>
          <w:shd w:val="clear" w:color="auto" w:fill="FFFFFF"/>
          <w:lang w:val="en-US" w:eastAsia="zh-CN"/>
        </w:rPr>
      </w:pPr>
      <w:r>
        <w:rPr>
          <w:rFonts w:hint="eastAsia" w:ascii="仿宋" w:hAnsi="仿宋" w:eastAsia="仿宋" w:cs="仿宋"/>
          <w:b/>
          <w:bCs/>
          <w:kern w:val="0"/>
          <w:sz w:val="24"/>
          <w:szCs w:val="24"/>
          <w:shd w:val="clear" w:color="auto" w:fill="FFFFFF"/>
          <w:lang w:val="en-US" w:eastAsia="zh-CN"/>
        </w:rPr>
        <w:t>七、拟签订的合同文本</w:t>
      </w:r>
    </w:p>
    <w:p>
      <w:pPr>
        <w:pStyle w:val="2"/>
        <w:ind w:left="0" w:leftChars="0" w:firstLine="0" w:firstLineChars="0"/>
        <w:rPr>
          <w:rFonts w:hint="default"/>
          <w:lang w:val="en-US" w:eastAsia="zh-CN"/>
        </w:rPr>
      </w:pPr>
      <w:r>
        <w:rPr>
          <w:rFonts w:hint="eastAsia" w:ascii="仿宋" w:hAnsi="仿宋" w:eastAsia="仿宋" w:cs="仿宋"/>
          <w:kern w:val="0"/>
          <w:sz w:val="24"/>
          <w:szCs w:val="24"/>
          <w:shd w:val="clear" w:color="auto" w:fill="FFFFFF"/>
          <w:lang w:val="en-US" w:eastAsia="zh-CN"/>
        </w:rPr>
        <w:t>执行克拉玛依市中西医结合医院（克拉玛依市人民医院）合同文本</w:t>
      </w:r>
    </w:p>
    <w:p>
      <w:pPr>
        <w:keepNext w:val="0"/>
        <w:keepLines w:val="0"/>
        <w:widowControl/>
        <w:suppressLineNumbers w:val="0"/>
        <w:jc w:val="both"/>
        <w:textAlignment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八、上传附件要求</w:t>
      </w:r>
      <w:r>
        <w:rPr>
          <w:rFonts w:hint="eastAsia" w:ascii="仿宋" w:hAnsi="仿宋" w:eastAsia="仿宋" w:cs="仿宋"/>
          <w:b w:val="0"/>
          <w:bCs w:val="0"/>
          <w:color w:val="000000"/>
          <w:sz w:val="24"/>
          <w:szCs w:val="24"/>
          <w:lang w:val="en-US" w:eastAsia="zh-CN"/>
        </w:rPr>
        <w:t>：</w:t>
      </w:r>
      <w:r>
        <w:rPr>
          <w:rFonts w:hint="eastAsia" w:ascii="仿宋" w:hAnsi="仿宋" w:eastAsia="仿宋" w:cs="仿宋"/>
          <w:b/>
          <w:bCs/>
          <w:color w:val="000000"/>
          <w:sz w:val="24"/>
          <w:szCs w:val="24"/>
          <w:lang w:val="en-US" w:eastAsia="zh-CN"/>
        </w:rPr>
        <w:t>（必须加盖公章）</w:t>
      </w:r>
    </w:p>
    <w:p>
      <w:pPr>
        <w:keepNext w:val="0"/>
        <w:keepLines w:val="0"/>
        <w:widowControl/>
        <w:suppressLineNumbers w:val="0"/>
        <w:jc w:val="both"/>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1.请参与本项目的投标人仔细阅读响应附件要求，按照要求上传相关资质及资料，未按照要求上传或漏项的视为无效报价。</w:t>
      </w:r>
    </w:p>
    <w:p>
      <w:pPr>
        <w:spacing w:line="460" w:lineRule="exact"/>
        <w:rPr>
          <w:rFonts w:hint="eastAsia" w:ascii="仿宋" w:hAnsi="仿宋" w:eastAsia="仿宋" w:cs="仿宋"/>
          <w:color w:val="404040"/>
          <w:kern w:val="0"/>
          <w:sz w:val="24"/>
          <w:szCs w:val="24"/>
          <w:lang w:val="en-US" w:eastAsia="zh-CN" w:bidi="ar"/>
        </w:rPr>
      </w:pPr>
      <w:r>
        <w:rPr>
          <w:rFonts w:hint="eastAsia" w:ascii="仿宋" w:hAnsi="仿宋" w:eastAsia="仿宋" w:cs="仿宋"/>
          <w:color w:val="404040"/>
          <w:kern w:val="0"/>
          <w:sz w:val="24"/>
          <w:szCs w:val="24"/>
          <w:lang w:val="en-US" w:eastAsia="zh-CN" w:bidi="ar"/>
        </w:rPr>
        <w:t>2.为了避免低价低质恶性竞争，请实事求是的报价，如有违反市场价格规律超低价恶意谋取中标后，又不能按招标人要求提供合格产品者，一律按无效标处理。 3.任何以没有看清楚竟价文件或将不符合询价要求的产品参与报价的供应商均视为恶意报价，并上报监管部门严肃处理。</w:t>
      </w:r>
    </w:p>
    <w:p>
      <w:pPr>
        <w:pStyle w:val="2"/>
        <w:ind w:left="0" w:leftChars="0" w:firstLine="0" w:firstLineChars="0"/>
        <w:rPr>
          <w:rFonts w:hint="eastAsia" w:ascii="仿宋" w:hAnsi="仿宋" w:eastAsia="仿宋" w:cs="仿宋"/>
          <w:b/>
          <w:bCs/>
          <w:color w:val="404040"/>
          <w:kern w:val="0"/>
          <w:sz w:val="24"/>
          <w:szCs w:val="24"/>
          <w:lang w:val="en-US" w:eastAsia="zh-CN" w:bidi="ar"/>
        </w:rPr>
      </w:pPr>
      <w:r>
        <w:rPr>
          <w:rFonts w:hint="eastAsia" w:ascii="仿宋" w:hAnsi="仿宋" w:eastAsia="仿宋" w:cs="仿宋"/>
          <w:b/>
          <w:bCs/>
          <w:color w:val="404040"/>
          <w:kern w:val="0"/>
          <w:sz w:val="24"/>
          <w:szCs w:val="24"/>
          <w:lang w:val="en-US" w:eastAsia="zh-CN" w:bidi="ar"/>
        </w:rPr>
        <w:t>九、联系方式：</w:t>
      </w:r>
    </w:p>
    <w:p>
      <w:pPr>
        <w:rPr>
          <w:rFonts w:hint="default" w:ascii="仿宋" w:hAnsi="仿宋" w:eastAsia="仿宋" w:cs="仿宋"/>
          <w:color w:val="404040"/>
          <w:kern w:val="0"/>
          <w:sz w:val="24"/>
          <w:szCs w:val="24"/>
          <w:lang w:val="en-US" w:eastAsia="zh-CN" w:bidi="ar"/>
        </w:rPr>
      </w:pPr>
      <w:r>
        <w:rPr>
          <w:rFonts w:hint="eastAsia" w:ascii="仿宋" w:hAnsi="仿宋" w:eastAsia="仿宋" w:cs="仿宋"/>
          <w:color w:val="404040"/>
          <w:kern w:val="0"/>
          <w:sz w:val="24"/>
          <w:szCs w:val="24"/>
          <w:lang w:val="en-US" w:eastAsia="zh-CN" w:bidi="ar"/>
        </w:rPr>
        <w:t>联系人：李晨光</w:t>
      </w:r>
    </w:p>
    <w:p>
      <w:pPr>
        <w:spacing w:line="460" w:lineRule="exact"/>
        <w:rPr>
          <w:rFonts w:hint="default" w:ascii="仿宋" w:hAnsi="仿宋" w:eastAsia="仿宋" w:cs="仿宋"/>
          <w:color w:val="404040"/>
          <w:kern w:val="0"/>
          <w:sz w:val="24"/>
          <w:szCs w:val="24"/>
          <w:lang w:val="en-US" w:eastAsia="zh-CN" w:bidi="ar"/>
        </w:rPr>
      </w:pPr>
      <w:r>
        <w:rPr>
          <w:rFonts w:hint="eastAsia" w:ascii="仿宋" w:hAnsi="仿宋" w:eastAsia="仿宋" w:cs="仿宋"/>
          <w:color w:val="404040"/>
          <w:kern w:val="0"/>
          <w:sz w:val="24"/>
          <w:szCs w:val="24"/>
          <w:lang w:val="en-US" w:eastAsia="zh-CN" w:bidi="ar"/>
        </w:rPr>
        <w:t>电话：18609904300</w:t>
      </w:r>
    </w:p>
    <w:p>
      <w:pPr>
        <w:spacing w:line="460" w:lineRule="exact"/>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地址：克拉玛依市风华路5号</w:t>
      </w:r>
    </w:p>
    <w:p>
      <w:pPr>
        <w:pStyle w:val="7"/>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C0922"/>
    <w:multiLevelType w:val="singleLevel"/>
    <w:tmpl w:val="9DEC0922"/>
    <w:lvl w:ilvl="0" w:tentative="0">
      <w:start w:val="3"/>
      <w:numFmt w:val="chineseCounting"/>
      <w:suff w:val="nothing"/>
      <w:lvlText w:val="（%1）"/>
      <w:lvlJc w:val="left"/>
      <w:rPr>
        <w:rFonts w:hint="eastAsia"/>
      </w:rPr>
    </w:lvl>
  </w:abstractNum>
  <w:abstractNum w:abstractNumId="1">
    <w:nsid w:val="24A01970"/>
    <w:multiLevelType w:val="singleLevel"/>
    <w:tmpl w:val="24A01970"/>
    <w:lvl w:ilvl="0" w:tentative="0">
      <w:start w:val="2"/>
      <w:numFmt w:val="chineseCounting"/>
      <w:suff w:val="nothing"/>
      <w:lvlText w:val="%1、"/>
      <w:lvlJc w:val="left"/>
      <w:rPr>
        <w:rFonts w:hint="eastAsia"/>
      </w:rPr>
    </w:lvl>
  </w:abstractNum>
  <w:abstractNum w:abstractNumId="2">
    <w:nsid w:val="301E2D86"/>
    <w:multiLevelType w:val="multilevel"/>
    <w:tmpl w:val="301E2D86"/>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BhNzc4MTI3MDJkNjAwY2JiZjllOGVmNzBmNzgifQ=="/>
  </w:docVars>
  <w:rsids>
    <w:rsidRoot w:val="2AF93CFA"/>
    <w:rsid w:val="00063750"/>
    <w:rsid w:val="00431F3B"/>
    <w:rsid w:val="00785DEA"/>
    <w:rsid w:val="011C646E"/>
    <w:rsid w:val="0124629A"/>
    <w:rsid w:val="01447951"/>
    <w:rsid w:val="01C12FE4"/>
    <w:rsid w:val="02017EF3"/>
    <w:rsid w:val="02157F39"/>
    <w:rsid w:val="02167F60"/>
    <w:rsid w:val="02A24B93"/>
    <w:rsid w:val="030975FB"/>
    <w:rsid w:val="033464AB"/>
    <w:rsid w:val="03EC2CE1"/>
    <w:rsid w:val="042F0E1C"/>
    <w:rsid w:val="04DA204D"/>
    <w:rsid w:val="04FC55F0"/>
    <w:rsid w:val="06647018"/>
    <w:rsid w:val="075B4D4E"/>
    <w:rsid w:val="07D01AAE"/>
    <w:rsid w:val="08361DE8"/>
    <w:rsid w:val="08E45589"/>
    <w:rsid w:val="0A2461D4"/>
    <w:rsid w:val="0AF63708"/>
    <w:rsid w:val="0B2E75A8"/>
    <w:rsid w:val="0C276679"/>
    <w:rsid w:val="0E032DD4"/>
    <w:rsid w:val="0F632F54"/>
    <w:rsid w:val="0FC2528D"/>
    <w:rsid w:val="0FE601F4"/>
    <w:rsid w:val="1077606F"/>
    <w:rsid w:val="10DA55E0"/>
    <w:rsid w:val="11D3411D"/>
    <w:rsid w:val="120D6539"/>
    <w:rsid w:val="121835D9"/>
    <w:rsid w:val="12340C3D"/>
    <w:rsid w:val="128F35F6"/>
    <w:rsid w:val="12A85546"/>
    <w:rsid w:val="130162FF"/>
    <w:rsid w:val="132148A7"/>
    <w:rsid w:val="1325608D"/>
    <w:rsid w:val="13995F17"/>
    <w:rsid w:val="142A11B6"/>
    <w:rsid w:val="147216B4"/>
    <w:rsid w:val="15283A33"/>
    <w:rsid w:val="162B0438"/>
    <w:rsid w:val="163E78F8"/>
    <w:rsid w:val="16DE066A"/>
    <w:rsid w:val="17156F1A"/>
    <w:rsid w:val="17DA3EDF"/>
    <w:rsid w:val="17FB4AB3"/>
    <w:rsid w:val="18496096"/>
    <w:rsid w:val="18B27029"/>
    <w:rsid w:val="18BD7801"/>
    <w:rsid w:val="196E210E"/>
    <w:rsid w:val="19A16A35"/>
    <w:rsid w:val="19C95B57"/>
    <w:rsid w:val="19E63F08"/>
    <w:rsid w:val="1A2925AC"/>
    <w:rsid w:val="1A393214"/>
    <w:rsid w:val="1AC12604"/>
    <w:rsid w:val="1B450BBA"/>
    <w:rsid w:val="1BA0514A"/>
    <w:rsid w:val="1CCB5AA3"/>
    <w:rsid w:val="1D002F60"/>
    <w:rsid w:val="1D4B581C"/>
    <w:rsid w:val="1DEE17DE"/>
    <w:rsid w:val="1E0E040E"/>
    <w:rsid w:val="1E605B71"/>
    <w:rsid w:val="1E611302"/>
    <w:rsid w:val="1EA0383C"/>
    <w:rsid w:val="20136825"/>
    <w:rsid w:val="216A1C7B"/>
    <w:rsid w:val="219563AB"/>
    <w:rsid w:val="22143813"/>
    <w:rsid w:val="22180126"/>
    <w:rsid w:val="224555F7"/>
    <w:rsid w:val="228E5A8B"/>
    <w:rsid w:val="22AA7086"/>
    <w:rsid w:val="232A38DE"/>
    <w:rsid w:val="23B57D5C"/>
    <w:rsid w:val="23EA7C5A"/>
    <w:rsid w:val="24E1756D"/>
    <w:rsid w:val="24ED40A4"/>
    <w:rsid w:val="2600103D"/>
    <w:rsid w:val="266E1CF5"/>
    <w:rsid w:val="275A0AF9"/>
    <w:rsid w:val="277C5FD5"/>
    <w:rsid w:val="2793000F"/>
    <w:rsid w:val="28283967"/>
    <w:rsid w:val="284B693D"/>
    <w:rsid w:val="28B80AF2"/>
    <w:rsid w:val="28E52769"/>
    <w:rsid w:val="2939514E"/>
    <w:rsid w:val="29B90621"/>
    <w:rsid w:val="29EA0022"/>
    <w:rsid w:val="29FB3BC8"/>
    <w:rsid w:val="2AF93CFA"/>
    <w:rsid w:val="2BD9642D"/>
    <w:rsid w:val="2C3948D4"/>
    <w:rsid w:val="2C4E123C"/>
    <w:rsid w:val="2CC861D6"/>
    <w:rsid w:val="2CF548DD"/>
    <w:rsid w:val="2D2C5AA5"/>
    <w:rsid w:val="2EDE7C1A"/>
    <w:rsid w:val="2F5C531E"/>
    <w:rsid w:val="2F5D3DDC"/>
    <w:rsid w:val="30B929B0"/>
    <w:rsid w:val="314C2651"/>
    <w:rsid w:val="31B829E5"/>
    <w:rsid w:val="31D7621B"/>
    <w:rsid w:val="323E3DFB"/>
    <w:rsid w:val="326B2C68"/>
    <w:rsid w:val="34573326"/>
    <w:rsid w:val="35085004"/>
    <w:rsid w:val="357D1875"/>
    <w:rsid w:val="3618481B"/>
    <w:rsid w:val="36B42AD1"/>
    <w:rsid w:val="36EB0497"/>
    <w:rsid w:val="36F71674"/>
    <w:rsid w:val="371B7647"/>
    <w:rsid w:val="37E21453"/>
    <w:rsid w:val="38750159"/>
    <w:rsid w:val="38783738"/>
    <w:rsid w:val="389947AD"/>
    <w:rsid w:val="38AA629E"/>
    <w:rsid w:val="38E36EC5"/>
    <w:rsid w:val="38EC3F2A"/>
    <w:rsid w:val="38F032B5"/>
    <w:rsid w:val="38FE3101"/>
    <w:rsid w:val="39080859"/>
    <w:rsid w:val="397B75CC"/>
    <w:rsid w:val="3A2F1A99"/>
    <w:rsid w:val="3A3B5588"/>
    <w:rsid w:val="3ACA7F00"/>
    <w:rsid w:val="3C4E0712"/>
    <w:rsid w:val="3C5C6791"/>
    <w:rsid w:val="3C93251E"/>
    <w:rsid w:val="3CDF04BF"/>
    <w:rsid w:val="3D5F41EB"/>
    <w:rsid w:val="3D8A4EFE"/>
    <w:rsid w:val="3D8C5E5B"/>
    <w:rsid w:val="3DFE0A6B"/>
    <w:rsid w:val="3E6F6229"/>
    <w:rsid w:val="3F670293"/>
    <w:rsid w:val="405F7320"/>
    <w:rsid w:val="407A344B"/>
    <w:rsid w:val="409317E7"/>
    <w:rsid w:val="409B4934"/>
    <w:rsid w:val="409D774A"/>
    <w:rsid w:val="40A17AF0"/>
    <w:rsid w:val="40A77567"/>
    <w:rsid w:val="40BF6A75"/>
    <w:rsid w:val="413B25EF"/>
    <w:rsid w:val="414A619C"/>
    <w:rsid w:val="41917639"/>
    <w:rsid w:val="419A7C27"/>
    <w:rsid w:val="41BC1A2B"/>
    <w:rsid w:val="42341833"/>
    <w:rsid w:val="42D31225"/>
    <w:rsid w:val="43370788"/>
    <w:rsid w:val="43F51007"/>
    <w:rsid w:val="445F7A36"/>
    <w:rsid w:val="44B41FD5"/>
    <w:rsid w:val="44DD2620"/>
    <w:rsid w:val="45686BD6"/>
    <w:rsid w:val="457E7C88"/>
    <w:rsid w:val="45AE00B2"/>
    <w:rsid w:val="46125BE0"/>
    <w:rsid w:val="46F37225"/>
    <w:rsid w:val="47976DDE"/>
    <w:rsid w:val="48810A74"/>
    <w:rsid w:val="48AD0D44"/>
    <w:rsid w:val="49130AE8"/>
    <w:rsid w:val="491311FA"/>
    <w:rsid w:val="49275123"/>
    <w:rsid w:val="49D83E25"/>
    <w:rsid w:val="4A072DCC"/>
    <w:rsid w:val="4A446B36"/>
    <w:rsid w:val="4A4D6330"/>
    <w:rsid w:val="4A5B0E78"/>
    <w:rsid w:val="4AB209CB"/>
    <w:rsid w:val="4B7C5D30"/>
    <w:rsid w:val="4BEF26C4"/>
    <w:rsid w:val="4C911713"/>
    <w:rsid w:val="4CA66D8D"/>
    <w:rsid w:val="4CAB718C"/>
    <w:rsid w:val="4F23420B"/>
    <w:rsid w:val="4FDC2842"/>
    <w:rsid w:val="500745AB"/>
    <w:rsid w:val="50432DEA"/>
    <w:rsid w:val="50DA6023"/>
    <w:rsid w:val="51347AAB"/>
    <w:rsid w:val="51713785"/>
    <w:rsid w:val="51736277"/>
    <w:rsid w:val="51B1386B"/>
    <w:rsid w:val="51EA1B46"/>
    <w:rsid w:val="532C639A"/>
    <w:rsid w:val="537A7A1B"/>
    <w:rsid w:val="53874BDE"/>
    <w:rsid w:val="53BD7E88"/>
    <w:rsid w:val="549B720C"/>
    <w:rsid w:val="54C55E70"/>
    <w:rsid w:val="54E073CB"/>
    <w:rsid w:val="556A3A84"/>
    <w:rsid w:val="55AF02F6"/>
    <w:rsid w:val="56781FF4"/>
    <w:rsid w:val="56A259A7"/>
    <w:rsid w:val="57670DA0"/>
    <w:rsid w:val="5794659F"/>
    <w:rsid w:val="58E371C8"/>
    <w:rsid w:val="595B4C4D"/>
    <w:rsid w:val="595B761D"/>
    <w:rsid w:val="598D3221"/>
    <w:rsid w:val="59E743EA"/>
    <w:rsid w:val="59EB236C"/>
    <w:rsid w:val="59FE28FA"/>
    <w:rsid w:val="5A9664EC"/>
    <w:rsid w:val="5B941E73"/>
    <w:rsid w:val="5C4F34FD"/>
    <w:rsid w:val="5D4D6DB0"/>
    <w:rsid w:val="5E36471B"/>
    <w:rsid w:val="5E5A24A3"/>
    <w:rsid w:val="605612B8"/>
    <w:rsid w:val="607047C4"/>
    <w:rsid w:val="610D4A49"/>
    <w:rsid w:val="61B93CA5"/>
    <w:rsid w:val="61F3336F"/>
    <w:rsid w:val="62820296"/>
    <w:rsid w:val="62966B79"/>
    <w:rsid w:val="63273EDD"/>
    <w:rsid w:val="636840B1"/>
    <w:rsid w:val="64874493"/>
    <w:rsid w:val="64A35C10"/>
    <w:rsid w:val="65676B79"/>
    <w:rsid w:val="658E168F"/>
    <w:rsid w:val="669362C2"/>
    <w:rsid w:val="66B37B93"/>
    <w:rsid w:val="66F0470E"/>
    <w:rsid w:val="675227BD"/>
    <w:rsid w:val="67D824C2"/>
    <w:rsid w:val="6811218C"/>
    <w:rsid w:val="68B7132C"/>
    <w:rsid w:val="69160C44"/>
    <w:rsid w:val="6971657B"/>
    <w:rsid w:val="6A4E734D"/>
    <w:rsid w:val="6AF01F5E"/>
    <w:rsid w:val="6B69333D"/>
    <w:rsid w:val="6BE20305"/>
    <w:rsid w:val="6C49719D"/>
    <w:rsid w:val="6CD001C6"/>
    <w:rsid w:val="6CF81D57"/>
    <w:rsid w:val="6DA31AF4"/>
    <w:rsid w:val="6E366D05"/>
    <w:rsid w:val="6E785B4D"/>
    <w:rsid w:val="6ECD3232"/>
    <w:rsid w:val="6F027524"/>
    <w:rsid w:val="6F3C613C"/>
    <w:rsid w:val="6FA015CB"/>
    <w:rsid w:val="70C46928"/>
    <w:rsid w:val="71240C38"/>
    <w:rsid w:val="714D038F"/>
    <w:rsid w:val="718E1726"/>
    <w:rsid w:val="71C1135E"/>
    <w:rsid w:val="729F2815"/>
    <w:rsid w:val="733D7D0A"/>
    <w:rsid w:val="73DB34F0"/>
    <w:rsid w:val="741A5093"/>
    <w:rsid w:val="74861501"/>
    <w:rsid w:val="74CA73EA"/>
    <w:rsid w:val="752351A9"/>
    <w:rsid w:val="7529681D"/>
    <w:rsid w:val="75A21AB9"/>
    <w:rsid w:val="75A57C13"/>
    <w:rsid w:val="75F67608"/>
    <w:rsid w:val="763A7634"/>
    <w:rsid w:val="76B451A1"/>
    <w:rsid w:val="76F271EF"/>
    <w:rsid w:val="76F940B5"/>
    <w:rsid w:val="77333CCE"/>
    <w:rsid w:val="77697C1F"/>
    <w:rsid w:val="77C04C93"/>
    <w:rsid w:val="79032A18"/>
    <w:rsid w:val="791112C8"/>
    <w:rsid w:val="79304051"/>
    <w:rsid w:val="798134F4"/>
    <w:rsid w:val="7B902D24"/>
    <w:rsid w:val="7C85414F"/>
    <w:rsid w:val="7CBF4049"/>
    <w:rsid w:val="7CF95DB1"/>
    <w:rsid w:val="7D7D5C78"/>
    <w:rsid w:val="7E864B7F"/>
    <w:rsid w:val="7EBB2695"/>
    <w:rsid w:val="7F1C255F"/>
    <w:rsid w:val="7F94609D"/>
    <w:rsid w:val="7FED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2"/>
    <w:qFormat/>
    <w:uiPriority w:val="0"/>
    <w:pPr>
      <w:keepNext/>
      <w:keepLines/>
      <w:spacing w:before="260" w:after="260" w:line="360" w:lineRule="auto"/>
      <w:jc w:val="center"/>
      <w:outlineLvl w:val="1"/>
    </w:pPr>
    <w:rPr>
      <w:rFonts w:ascii="Arial" w:hAnsi="Arial" w:eastAsia="宋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4"/>
    </w:rPr>
  </w:style>
  <w:style w:type="paragraph" w:styleId="4">
    <w:name w:val="Body Text"/>
    <w:basedOn w:val="1"/>
    <w:next w:val="1"/>
    <w:qFormat/>
    <w:uiPriority w:val="0"/>
    <w:rPr>
      <w:rFonts w:ascii="Arial" w:hAnsi="Arial"/>
      <w:sz w:val="24"/>
    </w:rPr>
  </w:style>
  <w:style w:type="paragraph" w:styleId="5">
    <w:name w:val="Body Text Indent"/>
    <w:basedOn w:val="1"/>
    <w:next w:val="6"/>
    <w:unhideWhenUsed/>
    <w:qFormat/>
    <w:uiPriority w:val="0"/>
    <w:pPr>
      <w:spacing w:after="120"/>
      <w:ind w:left="420" w:leftChars="200"/>
    </w:pPr>
  </w:style>
  <w:style w:type="paragraph" w:customStyle="1" w:styleId="6">
    <w:name w:val="Default"/>
    <w:next w:val="7"/>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
    <w:name w:val="大标题"/>
    <w:basedOn w:val="1"/>
    <w:next w:val="8"/>
    <w:qFormat/>
    <w:uiPriority w:val="0"/>
    <w:pPr>
      <w:jc w:val="center"/>
    </w:pPr>
    <w:rPr>
      <w:rFonts w:ascii="Arial" w:hAnsi="Arial" w:eastAsia="宋体"/>
      <w:b/>
      <w:sz w:val="28"/>
    </w:rPr>
  </w:style>
  <w:style w:type="paragraph" w:styleId="8">
    <w:name w:val="Body Text First Indent 2"/>
    <w:basedOn w:val="5"/>
    <w:next w:val="1"/>
    <w:qFormat/>
    <w:uiPriority w:val="0"/>
    <w:pPr>
      <w:ind w:firstLine="420" w:firstLineChars="200"/>
    </w:pPr>
    <w:rPr>
      <w:rFonts w:ascii="宋体" w:hAnsi="宋体" w:eastAsia="宋体"/>
      <w:sz w:val="28"/>
      <w:szCs w:val="2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NormalCharacter"/>
    <w:semiHidden/>
    <w:qFormat/>
    <w:uiPriority w:val="99"/>
  </w:style>
  <w:style w:type="paragraph" w:styleId="14">
    <w:name w:val="List Paragraph"/>
    <w:basedOn w:val="1"/>
    <w:qFormat/>
    <w:uiPriority w:val="34"/>
    <w:pPr>
      <w:ind w:firstLine="420" w:firstLineChars="200"/>
    </w:pPr>
  </w:style>
  <w:style w:type="paragraph" w:customStyle="1" w:styleId="15">
    <w:name w:val="Table Text"/>
    <w:basedOn w:val="1"/>
    <w:semiHidden/>
    <w:qFormat/>
    <w:uiPriority w:val="0"/>
    <w:pPr>
      <w:widowControl/>
      <w:jc w:val="left"/>
    </w:pPr>
    <w:rPr>
      <w:rFonts w:ascii="仿宋" w:hAnsi="仿宋" w:eastAsia="仿宋" w:cs="仿宋"/>
      <w:kern w:val="0"/>
      <w:sz w:val="24"/>
      <w:szCs w:val="24"/>
      <w:lang w:eastAsia="en-US"/>
    </w:rPr>
  </w:style>
  <w:style w:type="paragraph" w:customStyle="1" w:styleId="16">
    <w:name w:val="样式 正文缩进 + 首行缩进:  2 字符"/>
    <w:basedOn w:val="2"/>
    <w:qFormat/>
    <w:uiPriority w:val="0"/>
    <w:pPr>
      <w:spacing w:line="360" w:lineRule="auto"/>
      <w:ind w:firstLine="200"/>
    </w:pPr>
    <w:rPr>
      <w:rFonts w:ascii="Times New Roman" w:hAnsi="Times New Roman" w:eastAsia="宋体"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2023-08-24T09:00:00Z</dcterms:created>
  <dc:creator>糖糖藏在蔸蔸里</dc:creator>
  <cp:lastModifiedBy>Administrator</cp:lastModifiedBy>
  <dcterms:modified xsi:type="dcterms:W3CDTF">2025-07-12T07:53:57Z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6A0CB1A94B1E4094863CFCB177D39131_13</vt:lpwstr>
  </property>
</Properties>
</file>