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123C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color w:val="auto"/>
          <w:sz w:val="44"/>
          <w:szCs w:val="44"/>
          <w:lang w:val="en-US" w:eastAsia="zh-CN"/>
        </w:rPr>
        <w:t>克拉玛依市武警支队室外训练场地改扩建建设项目</w:t>
      </w:r>
      <w:r>
        <w:rPr>
          <w:rFonts w:hint="eastAsia"/>
          <w:sz w:val="44"/>
          <w:szCs w:val="44"/>
          <w:lang w:val="en-US" w:eastAsia="zh-CN"/>
        </w:rPr>
        <w:t>工程造价咨询机构招标说明</w:t>
      </w:r>
    </w:p>
    <w:p w14:paraId="2AC594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center"/>
        <w:textAlignment w:val="auto"/>
        <w:rPr>
          <w:rFonts w:hint="eastAsia"/>
          <w:sz w:val="32"/>
          <w:szCs w:val="32"/>
          <w:lang w:val="en-US" w:eastAsia="zh-CN"/>
        </w:rPr>
      </w:pPr>
    </w:p>
    <w:p w14:paraId="6214104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一、服务内容</w:t>
      </w:r>
    </w:p>
    <w:p w14:paraId="29F06D6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完成克拉玛依市武警支队室外训练场地改扩建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建设项目的工程结算审核。项目送审价为9597481.69元。</w:t>
      </w:r>
    </w:p>
    <w:p w14:paraId="314E73B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要审校内容包括：招投标文件、中标通知书、施工合同、工程结算书、工程量计算书、设计变更资料、签证资料、设备材料发票等。在核实工程价款的同时，重点揭示建设项目在建设程序、招标投标、承包发包、设备材料采购及管理使用、合同管理、概算执行、造价控制等方面存在的问题，分析产生的原因，形成证据性的资料，并出具规范的工程评审报告。</w:t>
      </w:r>
    </w:p>
    <w:p w14:paraId="022D229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二、审核相关要求</w:t>
      </w:r>
    </w:p>
    <w:p w14:paraId="7F201F0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1.审核期限为 30天。审核日期自接收审核资料后开始计算。审核超期需向市财政局提供说明文件，若无故超期，则超一天扣减审核费1%，直至扣完为止。</w:t>
      </w:r>
    </w:p>
    <w:p w14:paraId="481C9BA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2.结算审核误差率为</w:t>
      </w:r>
      <w:r>
        <w:rPr>
          <w:rFonts w:hint="eastAsia" w:ascii="微软雅黑" w:hAnsi="微软雅黑" w:eastAsia="微软雅黑" w:cs="微软雅黑"/>
          <w:sz w:val="32"/>
          <w:szCs w:val="32"/>
          <w:lang w:val="en-US" w:eastAsia="zh-CN"/>
        </w:rPr>
        <w:t>±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2%。服务期内，若中标人超出其所承诺的审核误差范国，则进行处罚。结算项目每高于所承诺的误差率1个百分点，扣20%的服务费，直至扣完为止。</w:t>
      </w:r>
    </w:p>
    <w:p w14:paraId="1917F05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3.投标机构自行报价，报价最低不低于控制价的20%，金额省略小数点，保留至“元”’。下浮率范围内，金额最低中标，若金额相同，按照时间先后确定中标单位。</w:t>
      </w:r>
    </w:p>
    <w:p w14:paraId="5832448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4.参与过控制价编制、概算审核、全过程跟踪审核的公司禁止参与本次投标。</w:t>
      </w:r>
    </w:p>
    <w:p w14:paraId="5CE2C1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40" w:lineRule="exact"/>
        <w:ind w:firstLine="643" w:firstLineChars="200"/>
        <w:jc w:val="both"/>
        <w:textAlignment w:val="auto"/>
        <w:rPr>
          <w:rFonts w:hint="eastAsia" w:ascii="仿宋_GB2312" w:hAnsi="仿宋" w:eastAsia="仿宋_GB2312" w:cs="Times New Roman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Times New Roman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</w:t>
      </w:r>
      <w:r>
        <w:rPr>
          <w:rFonts w:hint="eastAsia" w:ascii="仿宋_GB2312" w:hAnsi="仿宋" w:eastAsia="仿宋_GB2312" w:cs="Times New Roman"/>
          <w:b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服务付费标准</w:t>
      </w:r>
      <w:r>
        <w:rPr>
          <w:rFonts w:hint="eastAsia" w:ascii="仿宋_GB2312" w:hAnsi="仿宋" w:eastAsia="仿宋_GB2312" w:cs="Times New Roman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，具体计算方法见下:</w:t>
      </w:r>
    </w:p>
    <w:p w14:paraId="6824FA5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审核服务费用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=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基本收费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审核效果收费。</w:t>
      </w:r>
    </w:p>
    <w:p w14:paraId="72B0FD8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基本收费：收费执行新计价房〔2002〕866号文，报价最低下浮率80%，在此基础上自行考虑下浮率。</w:t>
      </w:r>
    </w:p>
    <w:p w14:paraId="1287BC5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审核效果收费：核减额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×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审计效果系数（3%）。</w:t>
      </w:r>
    </w:p>
    <w:p w14:paraId="1F25357B">
      <w:pPr>
        <w:pStyle w:val="2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最终审核服务费用不超过新计价房〔2002〕866号文规定的审核费用。</w:t>
      </w:r>
    </w:p>
    <w:p w14:paraId="5A25B9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40" w:lineRule="exact"/>
        <w:ind w:firstLine="643" w:firstLineChars="200"/>
        <w:jc w:val="both"/>
        <w:textAlignment w:val="auto"/>
        <w:rPr>
          <w:rFonts w:hint="eastAsia" w:ascii="仿宋_GB2312" w:hAnsi="仿宋" w:eastAsia="仿宋_GB2312" w:cs="Times New Roman"/>
          <w:b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Times New Roman"/>
          <w:b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注：本次报价仅基本收费参与竞价，审核效果收费（估算）不参与竞价。</w:t>
      </w:r>
      <w:r>
        <w:rPr>
          <w:rFonts w:hint="eastAsia" w:ascii="仿宋_GB2312" w:hAnsi="仿宋" w:eastAsia="仿宋_GB2312" w:cs="Times New Roman"/>
          <w:b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投标人根据基本收费下浮，</w:t>
      </w:r>
      <w:r>
        <w:rPr>
          <w:rFonts w:hint="eastAsia" w:ascii="仿宋_GB2312" w:hAnsi="仿宋" w:eastAsia="仿宋_GB2312" w:cs="Times New Roman"/>
          <w:b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金额省略小数点</w:t>
      </w:r>
      <w:r>
        <w:rPr>
          <w:rFonts w:hint="eastAsia" w:ascii="仿宋_GB2312" w:hAnsi="仿宋" w:eastAsia="仿宋_GB2312" w:cs="Times New Roman"/>
          <w:b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，保留至“元”，</w:t>
      </w:r>
      <w:r>
        <w:rPr>
          <w:rFonts w:hint="eastAsia" w:ascii="仿宋_GB2312" w:hAnsi="仿宋" w:eastAsia="仿宋_GB2312" w:cs="Times New Roman"/>
          <w:b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金额最低中标。</w:t>
      </w:r>
      <w:r>
        <w:rPr>
          <w:rFonts w:hint="eastAsia" w:ascii="仿宋_GB2312" w:hAnsi="仿宋" w:eastAsia="仿宋_GB2312" w:cs="Times New Roman"/>
          <w:b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投标人参与投标即响应审核效果系数。</w:t>
      </w:r>
    </w:p>
    <w:p w14:paraId="06FCD78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Q1NWZmMjAzYTVmNmEwN2Q1YWExODJmMjFhNWYwZGMifQ=="/>
  </w:docVars>
  <w:rsids>
    <w:rsidRoot w:val="00000000"/>
    <w:rsid w:val="00CA49BF"/>
    <w:rsid w:val="0A4958A2"/>
    <w:rsid w:val="113940E4"/>
    <w:rsid w:val="175632E1"/>
    <w:rsid w:val="1807780F"/>
    <w:rsid w:val="1BA260BB"/>
    <w:rsid w:val="1C7263D0"/>
    <w:rsid w:val="26FC5A54"/>
    <w:rsid w:val="279561D2"/>
    <w:rsid w:val="2D50486C"/>
    <w:rsid w:val="335C53FE"/>
    <w:rsid w:val="48BF7358"/>
    <w:rsid w:val="4B100CB1"/>
    <w:rsid w:val="4E0D3B41"/>
    <w:rsid w:val="53F66F40"/>
    <w:rsid w:val="5CEE378D"/>
    <w:rsid w:val="60747853"/>
    <w:rsid w:val="6229523A"/>
    <w:rsid w:val="6EFD5F75"/>
    <w:rsid w:val="715A30D5"/>
    <w:rsid w:val="747748BB"/>
    <w:rsid w:val="78DE3FE1"/>
    <w:rsid w:val="7C3527AB"/>
    <w:rsid w:val="DFB6A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729</Words>
  <Characters>762</Characters>
  <Lines>0</Lines>
  <Paragraphs>0</Paragraphs>
  <TotalTime>0</TotalTime>
  <ScaleCrop>false</ScaleCrop>
  <LinksUpToDate>false</LinksUpToDate>
  <CharactersWithSpaces>767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2024-03-12T16:50:00Z</dcterms:created>
  <dc:creator>cjjczj</dc:creator>
  <cp:lastModifiedBy>姣</cp:lastModifiedBy>
  <cp:lastPrinted>2024-03-12T17:07:00Z</cp:lastPrinted>
  <dcterms:modified xsi:type="dcterms:W3CDTF">2024-12-20T02:30:36Z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40901F7116DA42B6AC02CE953B411B0F_13</vt:lpwstr>
  </property>
</Properties>
</file>