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0"/>
          <w:szCs w:val="40"/>
        </w:rPr>
      </w:pPr>
      <w:r>
        <w:rPr>
          <w:rFonts w:hint="eastAsia" w:ascii="方正小标宋_GBK" w:eastAsia="方正小标宋_GBK"/>
          <w:sz w:val="40"/>
          <w:szCs w:val="40"/>
        </w:rPr>
        <w:t>克拉玛依市中心医院</w:t>
      </w:r>
    </w:p>
    <w:p>
      <w:pPr>
        <w:jc w:val="center"/>
        <w:rPr>
          <w:rFonts w:ascii="方正小标宋_GBK" w:eastAsia="方正小标宋_GBK"/>
          <w:sz w:val="40"/>
          <w:szCs w:val="40"/>
        </w:rPr>
      </w:pPr>
      <w:r>
        <w:rPr>
          <w:rFonts w:hint="eastAsia" w:ascii="方正小标宋_GBK" w:eastAsia="方正小标宋_GBK"/>
          <w:sz w:val="40"/>
          <w:szCs w:val="40"/>
        </w:rPr>
        <w:t>互联网医院系统运维及运营技术服务项目采购需求</w:t>
      </w:r>
    </w:p>
    <w:p>
      <w:pPr>
        <w:pStyle w:val="2"/>
        <w:spacing w:before="163" w:after="163"/>
        <w:jc w:val="both"/>
      </w:pPr>
      <w:r>
        <w:rPr>
          <w:rFonts w:hint="eastAsia"/>
        </w:rPr>
        <w:t>投标人资格条件</w:t>
      </w:r>
    </w:p>
    <w:p>
      <w:pPr>
        <w:pStyle w:val="4"/>
      </w:pPr>
      <w:r>
        <w:rPr>
          <w:rFonts w:hint="eastAsia"/>
        </w:rPr>
        <w:t>一般资格条件</w:t>
      </w:r>
    </w:p>
    <w:p>
      <w:pPr>
        <w:pStyle w:val="3"/>
      </w:pPr>
      <w:r>
        <w:rPr>
          <w:rFonts w:hint="eastAsia"/>
        </w:rPr>
        <w:t>1</w:t>
      </w:r>
      <w:r>
        <w:t>.具有独立承担刑事能力的责任</w:t>
      </w:r>
    </w:p>
    <w:p>
      <w:pPr>
        <w:pStyle w:val="3"/>
      </w:pPr>
      <w:r>
        <w:t>2.具有良好的商业信誉和健全的财务会计制度；</w:t>
      </w:r>
    </w:p>
    <w:p>
      <w:pPr>
        <w:pStyle w:val="3"/>
      </w:pPr>
      <w:r>
        <w:t>3.（信用查询：按照《财政部关于在政府采购活动中查询及使用信用记录有关问题的通知》（财库〔2016〕125号）的要求，根据开标当日“信用中国”（</w:t>
      </w:r>
      <w:r>
        <w:drawing>
          <wp:inline distT="0" distB="0" distL="0" distR="0">
            <wp:extent cx="180975" cy="138430"/>
            <wp:effectExtent l="19050" t="0" r="9525" b="0"/>
            <wp:docPr id="19126166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16616" name="图片 1"/>
                    <pic:cNvPicPr>
                      <a:picLocks noChangeAspect="1" noChangeArrowheads="1"/>
                    </pic:cNvPicPr>
                  </pic:nvPicPr>
                  <pic:blipFill>
                    <a:blip r:embed="rId7"/>
                    <a:srcRect/>
                    <a:stretch>
                      <a:fillRect/>
                    </a:stretch>
                  </pic:blipFill>
                  <pic:spPr>
                    <a:xfrm>
                      <a:off x="0" y="0"/>
                      <a:ext cx="180975" cy="138430"/>
                    </a:xfrm>
                    <a:prstGeom prst="rect">
                      <a:avLst/>
                    </a:prstGeom>
                    <a:noFill/>
                    <a:ln w="9525">
                      <a:noFill/>
                      <a:miter lim="800000"/>
                      <a:headEnd/>
                      <a:tailEnd/>
                    </a:ln>
                  </pic:spPr>
                </pic:pic>
              </a:graphicData>
            </a:graphic>
          </wp:inline>
        </w:drawing>
      </w:r>
      <w:r>
        <w:t>www.creditchina.gov.cn）、“中国政府采购网”（</w:t>
      </w:r>
      <w:r>
        <w:drawing>
          <wp:inline distT="0" distB="0" distL="0" distR="0">
            <wp:extent cx="180975" cy="138430"/>
            <wp:effectExtent l="19050" t="0" r="9525" b="0"/>
            <wp:docPr id="8910285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28562" name="图片 2"/>
                    <pic:cNvPicPr>
                      <a:picLocks noChangeAspect="1" noChangeArrowheads="1"/>
                    </pic:cNvPicPr>
                  </pic:nvPicPr>
                  <pic:blipFill>
                    <a:blip r:embed="rId7"/>
                    <a:srcRect/>
                    <a:stretch>
                      <a:fillRect/>
                    </a:stretch>
                  </pic:blipFill>
                  <pic:spPr>
                    <a:xfrm>
                      <a:off x="0" y="0"/>
                      <a:ext cx="180975" cy="138430"/>
                    </a:xfrm>
                    <a:prstGeom prst="rect">
                      <a:avLst/>
                    </a:prstGeom>
                    <a:noFill/>
                    <a:ln w="9525">
                      <a:noFill/>
                      <a:miter lim="800000"/>
                      <a:headEnd/>
                      <a:tailEnd/>
                    </a:ln>
                  </pic:spPr>
                </pic:pic>
              </a:graphicData>
            </a:graphic>
          </wp:inline>
        </w:drawing>
      </w:r>
      <w:r>
        <w:t>www.ccgp.gov.cn）、“中国执行信息公开网”（www.shixin.court.gov.cn）的查询结果，对列入失信被执行人、重大税收违法案件当事人名单、政府采购严重违法失信行为记录名单及其他不符合《中华人民共和国政府采购法》第二十二条规定条件的供应商，拒绝其参与政府采购活动。）</w:t>
      </w:r>
    </w:p>
    <w:p>
      <w:pPr>
        <w:pStyle w:val="3"/>
      </w:pPr>
      <w:r>
        <w:rPr>
          <w:rFonts w:hint="eastAsia"/>
        </w:rPr>
        <w:t>4</w:t>
      </w:r>
      <w:r>
        <w:t>.具有履行合同所必需的设备和专业技术能力；</w:t>
      </w:r>
    </w:p>
    <w:p>
      <w:pPr>
        <w:pStyle w:val="3"/>
      </w:pPr>
      <w:r>
        <w:rPr>
          <w:rFonts w:hint="eastAsia"/>
        </w:rPr>
        <w:t>5</w:t>
      </w:r>
      <w:r>
        <w:t>.有依法缴纳税收和社会保障资金的良好记录；</w:t>
      </w:r>
    </w:p>
    <w:p>
      <w:pPr>
        <w:pStyle w:val="3"/>
      </w:pPr>
      <w:r>
        <w:rPr>
          <w:rFonts w:hint="eastAsia"/>
        </w:rPr>
        <w:t>6</w:t>
      </w:r>
      <w:r>
        <w:t>.最近一年内，没有因违法经营受到过刑事处罚或者责令停产停业、吊销许可证或者执照、较大数额罚款等行政处罚。</w:t>
      </w:r>
    </w:p>
    <w:p>
      <w:pPr>
        <w:pStyle w:val="3"/>
      </w:pPr>
      <w:r>
        <w:rPr>
          <w:rFonts w:hint="eastAsia"/>
          <w:lang w:val="en-US" w:eastAsia="zh-CN"/>
        </w:rPr>
        <w:t>7</w:t>
      </w:r>
      <w:r>
        <w:t>.投标人企业注册成立时间不得少于一年；</w:t>
      </w:r>
    </w:p>
    <w:p>
      <w:pPr>
        <w:pStyle w:val="4"/>
      </w:pPr>
      <w:r>
        <w:rPr>
          <w:rFonts w:hint="eastAsia"/>
        </w:rPr>
        <w:t>具有履行合同所必需的设备和专业技术能力</w:t>
      </w:r>
    </w:p>
    <w:p>
      <w:pPr>
        <w:pStyle w:val="3"/>
        <w:ind w:firstLineChars="0"/>
      </w:pPr>
      <w:bookmarkStart w:id="1" w:name="_GoBack"/>
      <w:r>
        <w:rPr>
          <w:rFonts w:hint="eastAsia"/>
        </w:rPr>
        <w:t>1</w:t>
      </w:r>
      <w:r>
        <w:t>.投标人须提供相关</w:t>
      </w:r>
      <w:r>
        <w:rPr>
          <w:rFonts w:hint="eastAsia"/>
        </w:rPr>
        <w:t>互联网医院</w:t>
      </w:r>
      <w:r>
        <w:t>知识产权证明或软件著作权证书，</w:t>
      </w:r>
      <w:r>
        <w:rPr>
          <w:rFonts w:hint="eastAsia"/>
        </w:rPr>
        <w:t>做为具有履行合同所必需的设备和专业技术能力的证明，若无</w:t>
      </w:r>
      <w:r>
        <w:t>相关</w:t>
      </w:r>
      <w:r>
        <w:rPr>
          <w:rFonts w:hint="eastAsia"/>
        </w:rPr>
        <w:t>知识产权证明及软件著作权证书，需提供具有履行合同所必需的设备和专业技术能力的专项承诺函。</w:t>
      </w:r>
    </w:p>
    <w:bookmarkEnd w:id="1"/>
    <w:p>
      <w:pPr>
        <w:pStyle w:val="3"/>
      </w:pPr>
      <w:r>
        <w:rPr>
          <w:rFonts w:hint="eastAsia"/>
        </w:rPr>
        <w:t>2</w:t>
      </w:r>
      <w:r>
        <w:t>.投标人须在以往招标人的采购项目中没有欺骗、欺诈的行为或不良记录</w:t>
      </w:r>
      <w:r>
        <w:rPr>
          <w:rFonts w:hint="eastAsia"/>
        </w:rPr>
        <w:t>。</w:t>
      </w:r>
    </w:p>
    <w:p>
      <w:pPr>
        <w:pStyle w:val="4"/>
      </w:pPr>
      <w:r>
        <w:rPr>
          <w:rFonts w:hint="eastAsia"/>
        </w:rPr>
        <w:t>特定资格条件</w:t>
      </w:r>
    </w:p>
    <w:p>
      <w:pPr>
        <w:pStyle w:val="3"/>
      </w:pPr>
      <w:r>
        <w:rPr>
          <w:rFonts w:hint="eastAsia"/>
        </w:rPr>
        <w:t>无</w:t>
      </w:r>
    </w:p>
    <w:p>
      <w:pPr>
        <w:pStyle w:val="4"/>
      </w:pPr>
      <w:r>
        <w:rPr>
          <w:rFonts w:hint="eastAsia"/>
        </w:rPr>
        <w:t>联合体投标</w:t>
      </w:r>
    </w:p>
    <w:p>
      <w:pPr>
        <w:pStyle w:val="3"/>
      </w:pPr>
      <w:r>
        <w:rPr>
          <w:rFonts w:hint="eastAsia"/>
        </w:rPr>
        <w:t>不接受联合体投标</w:t>
      </w:r>
    </w:p>
    <w:p>
      <w:pPr>
        <w:pStyle w:val="3"/>
      </w:pPr>
    </w:p>
    <w:p>
      <w:pPr>
        <w:pStyle w:val="2"/>
        <w:spacing w:before="163" w:after="163"/>
        <w:jc w:val="both"/>
      </w:pPr>
      <w:r>
        <w:rPr>
          <w:rFonts w:hint="eastAsia"/>
        </w:rPr>
        <w:t>服务内容及要求</w:t>
      </w:r>
    </w:p>
    <w:p>
      <w:pPr>
        <w:pStyle w:val="4"/>
      </w:pPr>
      <w:bookmarkStart w:id="0" w:name="_Toc490672253"/>
      <w:r>
        <w:rPr>
          <w:rFonts w:hint="eastAsia"/>
        </w:rPr>
        <w:t>招标项目</w:t>
      </w:r>
      <w:bookmarkEnd w:id="0"/>
      <w:r>
        <w:rPr>
          <w:rFonts w:hint="eastAsia"/>
        </w:rPr>
        <w:t>名称、服务内容</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3028"/>
        <w:gridCol w:w="1366"/>
        <w:gridCol w:w="209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0"/>
                <w:szCs w:val="24"/>
              </w:rPr>
            </w:pPr>
            <w:r>
              <w:rPr>
                <w:rFonts w:hint="eastAsia" w:ascii="宋体" w:hAnsi="宋体"/>
                <w:b/>
                <w:szCs w:val="24"/>
              </w:rPr>
              <w:t>序号</w:t>
            </w:r>
          </w:p>
        </w:tc>
        <w:tc>
          <w:tcPr>
            <w:tcW w:w="1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4"/>
              </w:rPr>
            </w:pPr>
            <w:r>
              <w:rPr>
                <w:rFonts w:hint="eastAsia" w:ascii="宋体" w:hAnsi="宋体"/>
                <w:b/>
                <w:szCs w:val="24"/>
              </w:rPr>
              <w:t>货物名称</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4"/>
              </w:rPr>
            </w:pPr>
            <w:r>
              <w:rPr>
                <w:rFonts w:hint="eastAsia" w:ascii="宋体" w:hAnsi="宋体"/>
                <w:b/>
                <w:szCs w:val="24"/>
              </w:rPr>
              <w:t>服务期限</w:t>
            </w:r>
          </w:p>
        </w:tc>
        <w:tc>
          <w:tcPr>
            <w:tcW w:w="11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4"/>
              </w:rPr>
            </w:pPr>
            <w:r>
              <w:rPr>
                <w:rFonts w:hint="eastAsia" w:ascii="宋体" w:hAnsi="宋体"/>
                <w:b/>
                <w:szCs w:val="24"/>
              </w:rPr>
              <w:t>采购预算</w:t>
            </w:r>
          </w:p>
          <w:p>
            <w:pPr>
              <w:jc w:val="center"/>
              <w:rPr>
                <w:rFonts w:ascii="宋体" w:hAnsi="宋体"/>
                <w:b/>
                <w:szCs w:val="24"/>
              </w:rPr>
            </w:pPr>
            <w:r>
              <w:rPr>
                <w:rFonts w:hint="eastAsia" w:ascii="宋体" w:hAnsi="宋体"/>
                <w:b/>
                <w:szCs w:val="24"/>
              </w:rPr>
              <w:t>（万元）</w:t>
            </w:r>
          </w:p>
        </w:tc>
        <w:tc>
          <w:tcPr>
            <w:tcW w:w="7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4"/>
              </w:rPr>
            </w:pPr>
            <w:r>
              <w:rPr>
                <w:rFonts w:hint="eastAsia" w:ascii="宋体" w:hAnsi="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4"/>
              </w:rPr>
            </w:pPr>
            <w:r>
              <w:rPr>
                <w:rFonts w:ascii="宋体" w:hAnsi="宋体"/>
                <w:b/>
                <w:szCs w:val="24"/>
              </w:rPr>
              <w:t>1</w:t>
            </w:r>
          </w:p>
        </w:tc>
        <w:tc>
          <w:tcPr>
            <w:tcW w:w="16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互联网医院系统运维及运营技术服务</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ascii="宋体" w:hAnsi="宋体"/>
                <w:szCs w:val="24"/>
              </w:rPr>
              <w:t>一年</w:t>
            </w:r>
          </w:p>
        </w:tc>
        <w:tc>
          <w:tcPr>
            <w:tcW w:w="11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ascii="宋体" w:hAnsi="宋体"/>
                <w:szCs w:val="24"/>
              </w:rPr>
              <w:t>38</w:t>
            </w:r>
          </w:p>
        </w:tc>
        <w:tc>
          <w:tcPr>
            <w:tcW w:w="700" w:type="pct"/>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自合同签订之日起1年</w:t>
            </w:r>
          </w:p>
        </w:tc>
      </w:tr>
    </w:tbl>
    <w:p>
      <w:pPr>
        <w:pStyle w:val="5"/>
      </w:pPr>
      <w:r>
        <w:rPr>
          <w:rFonts w:hint="eastAsia"/>
        </w:rPr>
        <w:tab/>
      </w:r>
      <w:r>
        <w:rPr>
          <w:rFonts w:hint="eastAsia"/>
        </w:rPr>
        <w:t>互联网医院系统运维服务及运营技术服务内容</w:t>
      </w:r>
    </w:p>
    <w:p>
      <w:pPr>
        <w:pStyle w:val="6"/>
      </w:pPr>
      <w:r>
        <w:rPr>
          <w:rFonts w:hint="eastAsia"/>
        </w:rPr>
        <w:t>互联网医院系统运维服务</w:t>
      </w:r>
    </w:p>
    <w:p>
      <w:pPr>
        <w:pStyle w:val="3"/>
      </w:pPr>
      <w:r>
        <w:rPr>
          <w:rFonts w:hint="eastAsia"/>
        </w:rPr>
        <w:t>为保证</w:t>
      </w:r>
      <w:r>
        <w:rPr>
          <w:rFonts w:hint="eastAsia" w:ascii="宋体" w:hAnsi="宋体"/>
          <w:szCs w:val="24"/>
        </w:rPr>
        <w:t>互联网医院</w:t>
      </w:r>
      <w:r>
        <w:rPr>
          <w:rFonts w:hint="eastAsia"/>
        </w:rPr>
        <w:t>系统正常、可靠地运行，并能使系统不断得到改善和提髙，以充分发挥互联网医院平台作用，因此投标人需要根据采购人的需求和实施范围，提供本项目所需的互联网医院平台运营侧的软件技术维护、软件升级和支持服务，以保证系统中的各个要素随着互联网医院运行需求、环境等的变化始终处于稳定的工作状态。运维服务包含如下内容：</w:t>
      </w:r>
    </w:p>
    <w:p>
      <w:pPr>
        <w:pStyle w:val="7"/>
      </w:pPr>
      <w:r>
        <w:rPr>
          <w:rFonts w:hint="eastAsia"/>
        </w:rPr>
        <w:t>专职维护人员</w:t>
      </w:r>
    </w:p>
    <w:p>
      <w:pPr>
        <w:pStyle w:val="3"/>
      </w:pPr>
      <w:r>
        <w:rPr>
          <w:rFonts w:hint="eastAsia" w:cs="宋体"/>
          <w:kern w:val="0"/>
        </w:rPr>
        <w:t>▲</w:t>
      </w:r>
      <w:r>
        <w:rPr>
          <w:rFonts w:hint="eastAsia"/>
        </w:rPr>
        <w:t>中标人应安排工程师专职跟进和维护，负责协调对互联网医院平台相关功能的完善、优化和升级、定期对系统进行巡检，保证系统在最优化的状态下稳定运行。</w:t>
      </w:r>
    </w:p>
    <w:p>
      <w:pPr>
        <w:pStyle w:val="3"/>
      </w:pPr>
      <w:r>
        <w:rPr>
          <w:rFonts w:hint="eastAsia"/>
        </w:rPr>
        <w:t>为保障平台运维保障服务的稳定性和及时性，中标人需提供有技术能力和经验的人员驻场服务，中标人的驻点人员需结合实际，每周工作例会向医院互联网医院管理部门汇报系统运行及运维支撑情况。年故障时长（由于乙方系统故障导致的）不超过48小时。</w:t>
      </w:r>
    </w:p>
    <w:p>
      <w:pPr>
        <w:pStyle w:val="7"/>
      </w:pPr>
      <w:r>
        <w:rPr>
          <w:rFonts w:hint="eastAsia"/>
        </w:rPr>
        <w:t>稳定性维护服务</w:t>
      </w:r>
    </w:p>
    <w:p>
      <w:pPr>
        <w:pStyle w:val="3"/>
      </w:pPr>
      <w:r>
        <w:rPr>
          <w:rFonts w:hint="eastAsia"/>
        </w:rPr>
        <w:t>中标人需提供互联网医院平台的稳定性维护服务。根据医院互联网医院建设功能提供整体维护管理服务，提供互联网医院平台现有的公众端、医生端的推广和运行维护服务工作，包括配合管理后台系统巡检的维护管理等工作。</w:t>
      </w:r>
    </w:p>
    <w:p>
      <w:pPr>
        <w:pStyle w:val="7"/>
      </w:pPr>
      <w:r>
        <w:rPr>
          <w:rFonts w:hint="eastAsia"/>
        </w:rPr>
        <w:t>故障预警服务</w:t>
      </w:r>
    </w:p>
    <w:p>
      <w:pPr>
        <w:pStyle w:val="3"/>
      </w:pPr>
      <w:r>
        <w:rPr>
          <w:rFonts w:hint="eastAsia"/>
        </w:rPr>
        <w:t>中标人需根据系统运行效果，定期为互联网医院平台测算系统网络速度、数据流量，提前做好扩容等预警工作，以满足访问量、流量逐渐增大的需求。</w:t>
      </w:r>
    </w:p>
    <w:p>
      <w:pPr>
        <w:pStyle w:val="7"/>
      </w:pPr>
      <w:r>
        <w:rPr>
          <w:rFonts w:hint="eastAsia"/>
        </w:rPr>
        <w:t>远程技术维护</w:t>
      </w:r>
    </w:p>
    <w:p>
      <w:pPr>
        <w:pStyle w:val="3"/>
      </w:pPr>
      <w:r>
        <w:rPr>
          <w:rFonts w:hint="eastAsia"/>
        </w:rPr>
        <w:t>采购人提供远程维护的环境，维护需要时投标人可通过远程维护方式提供技术支持，1小时内提供甲方认可的解决方案；如遇特殊问题在1小时内无法解决，需及时安抚好患者或及时告知信息科原因；并在问题解决后，及时告知信息科，或告知对应的患者。</w:t>
      </w:r>
    </w:p>
    <w:p>
      <w:pPr>
        <w:pStyle w:val="7"/>
      </w:pPr>
      <w:r>
        <w:rPr>
          <w:rFonts w:hint="eastAsia"/>
        </w:rPr>
        <w:t>现场技术支持</w:t>
      </w:r>
    </w:p>
    <w:p>
      <w:pPr>
        <w:pStyle w:val="3"/>
      </w:pPr>
      <w:r>
        <w:rPr>
          <w:rFonts w:hint="eastAsia" w:cs="宋体"/>
          <w:kern w:val="0"/>
        </w:rPr>
        <w:t>▲</w:t>
      </w:r>
      <w:r>
        <w:rPr>
          <w:rFonts w:hint="eastAsia"/>
        </w:rPr>
        <w:t>投标人提供的驻场人员按业主方工作时间</w:t>
      </w:r>
      <w:r>
        <w:rPr>
          <w:rFonts w:hint="eastAsia"/>
          <w:lang w:val="en-US" w:eastAsia="zh-CN"/>
        </w:rPr>
        <w:t>工作</w:t>
      </w:r>
      <w:r>
        <w:rPr>
          <w:rFonts w:hint="eastAsia"/>
        </w:rPr>
        <w:t>，在收到问题反馈的10分钟内，将问题反馈技术人员，并且及时协调技术人员在1小时内解决问题；如遇特殊问题在1小时内无法解决，需及时安抚好患者，并在问题解决后，及时告知信息科和对应的患者。特殊情况下，不排除非工作时间外需要加班加点。对于驻场人员无法独立解决的重大技术问题，投标人根据需要指派专门的技术人员到甲方现场协助维护。</w:t>
      </w:r>
    </w:p>
    <w:p>
      <w:pPr>
        <w:pStyle w:val="6"/>
      </w:pPr>
      <w:r>
        <w:rPr>
          <w:rFonts w:hint="eastAsia"/>
        </w:rPr>
        <w:t>互联网医院运营技术服务</w:t>
      </w:r>
    </w:p>
    <w:p>
      <w:pPr>
        <w:pStyle w:val="7"/>
      </w:pPr>
      <w:r>
        <w:rPr>
          <w:rFonts w:hint="eastAsia"/>
        </w:rPr>
        <w:t>互联网医院人员驻场服务</w:t>
      </w:r>
    </w:p>
    <w:p>
      <w:pPr>
        <w:pStyle w:val="3"/>
      </w:pPr>
      <w:r>
        <w:rPr>
          <w:rFonts w:hint="eastAsia" w:cs="宋体"/>
          <w:kern w:val="0"/>
        </w:rPr>
        <w:t>▲</w:t>
      </w:r>
      <w:r>
        <w:rPr>
          <w:rFonts w:hint="eastAsia"/>
        </w:rPr>
        <w:t>投标人中标后应在本地配备驻点服务专员1人，需提供驻场人员工作简历)，负责保障互联网医院的系统安全和日常推广服务，保障系统运行和运维工作，开展互联网医院服务的质控管理，跟踪回访应用效果，及时调整服务方案，提髙平台使用率和服务质量，积极开展互联网诊疗工作。</w:t>
      </w:r>
    </w:p>
    <w:p>
      <w:pPr>
        <w:pStyle w:val="7"/>
      </w:pPr>
      <w:r>
        <w:rPr>
          <w:rFonts w:hint="eastAsia"/>
        </w:rPr>
        <w:t>线上运营技术服务</w:t>
      </w:r>
    </w:p>
    <w:p>
      <w:pPr>
        <w:pStyle w:val="3"/>
      </w:pPr>
      <w:r>
        <w:rPr>
          <w:rFonts w:hint="eastAsia" w:cs="宋体"/>
          <w:kern w:val="0"/>
        </w:rPr>
        <w:t>▲</w:t>
      </w:r>
      <w:r>
        <w:rPr>
          <w:rFonts w:hint="eastAsia"/>
        </w:rPr>
        <w:t>1</w:t>
      </w:r>
      <w:r>
        <w:t>.</w:t>
      </w:r>
      <w:r>
        <w:rPr>
          <w:rFonts w:hint="eastAsia"/>
        </w:rPr>
        <w:t>内容编辑：要求要有专业医学、科普内容采编能力，在互联网医院微信公众号/App平台上，每周定期推送健康科普文章、专家义诊/讲座、便民就医服务等健康医疗资讯，为患者健康宣教开辟新的路径，通过互联网化的方式更广泛、便捷的服务于患者，提高患者健康素养水平。</w:t>
      </w:r>
    </w:p>
    <w:p>
      <w:pPr>
        <w:pStyle w:val="3"/>
      </w:pPr>
      <w:r>
        <w:rPr>
          <w:rFonts w:hint="eastAsia" w:cs="宋体"/>
          <w:kern w:val="0"/>
        </w:rPr>
        <w:t>▲</w:t>
      </w:r>
      <w:r>
        <w:t>2.</w:t>
      </w:r>
      <w:r>
        <w:rPr>
          <w:rFonts w:hint="eastAsia"/>
        </w:rPr>
        <w:t>医生宣传：要求通过互联网医院平台，体系性的宣传推广科室、及医生个人品牌，言传身教式开展健康科普知识传播，提升医疗服务温度，构建和谐医患关系。</w:t>
      </w:r>
    </w:p>
    <w:p>
      <w:pPr>
        <w:pStyle w:val="3"/>
      </w:pPr>
      <w:r>
        <w:rPr>
          <w:rFonts w:hint="eastAsia" w:cs="宋体"/>
          <w:kern w:val="0"/>
        </w:rPr>
        <w:t>▲</w:t>
      </w:r>
      <w:r>
        <w:t>3.</w:t>
      </w:r>
      <w:r>
        <w:rPr>
          <w:rFonts w:hint="eastAsia"/>
        </w:rPr>
        <w:t>数据分析：支持对互联网医院的运行数据进行多维度分析，定期输出数据分析报表、报告，为互联网医院提供管理决策支持、方案优化、患者满意度提升等方面的数据分析支撑。</w:t>
      </w:r>
    </w:p>
    <w:p>
      <w:pPr>
        <w:pStyle w:val="7"/>
      </w:pPr>
      <w:r>
        <w:rPr>
          <w:rFonts w:hint="eastAsia"/>
        </w:rPr>
        <w:t>线下运营技术服务</w:t>
      </w:r>
    </w:p>
    <w:p>
      <w:pPr>
        <w:pStyle w:val="3"/>
      </w:pPr>
      <w:r>
        <w:rPr>
          <w:rFonts w:hint="eastAsia" w:cs="宋体"/>
          <w:kern w:val="0"/>
        </w:rPr>
        <w:t>▲</w:t>
      </w:r>
      <w:r>
        <w:rPr>
          <w:rFonts w:hint="eastAsia"/>
        </w:rPr>
        <w:t>1</w:t>
      </w:r>
      <w:r>
        <w:t>.</w:t>
      </w:r>
      <w:r>
        <w:rPr>
          <w:rFonts w:hint="eastAsia"/>
        </w:rPr>
        <w:t>医护培训：要求驻场人员负责医护人员使用互联网医院的系统操作、业务培训及日常服务，在推广活动期间，负责对参与活动的医护人员进行活动介绍及培训。</w:t>
      </w:r>
    </w:p>
    <w:p>
      <w:pPr>
        <w:pStyle w:val="3"/>
      </w:pPr>
      <w:r>
        <w:rPr>
          <w:rFonts w:hint="eastAsia" w:cs="宋体"/>
          <w:kern w:val="0"/>
        </w:rPr>
        <w:t>▲</w:t>
      </w:r>
      <w:r>
        <w:t>2.</w:t>
      </w:r>
      <w:r>
        <w:rPr>
          <w:rFonts w:hint="eastAsia"/>
        </w:rPr>
        <w:t>公众号宣传推广：投标人应协助医院开展互联网医院的宣传推广工作，包括线上开具处方、开具检验检测化验单；电子处方流转、药品配送等功能宣传推文，对相关业务科室进行一对一培训；在院内面向医生、面向患者提供服务。</w:t>
      </w:r>
    </w:p>
    <w:p>
      <w:pPr>
        <w:widowControl/>
        <w:spacing w:line="240" w:lineRule="auto"/>
        <w:jc w:val="left"/>
        <w:rPr>
          <w:rFonts w:ascii="宋体" w:hAnsi="宋体"/>
          <w:szCs w:val="20"/>
        </w:rPr>
      </w:pPr>
      <w:r>
        <w:br w:type="page"/>
      </w:r>
    </w:p>
    <w:p>
      <w:pPr>
        <w:pStyle w:val="4"/>
      </w:pPr>
      <w:r>
        <w:rPr>
          <w:rFonts w:hint="eastAsia"/>
        </w:rPr>
        <w:t>服务标准及考核验收要求</w:t>
      </w:r>
    </w:p>
    <w:p>
      <w:pPr>
        <w:pStyle w:val="3"/>
      </w:pPr>
      <w:r>
        <w:rPr>
          <w:rFonts w:hint="eastAsia"/>
        </w:rPr>
        <w:t>附件1</w:t>
      </w:r>
    </w:p>
    <w:p>
      <w:pPr>
        <w:jc w:val="center"/>
        <w:rPr>
          <w:b/>
          <w:bCs/>
        </w:rPr>
      </w:pPr>
      <w:r>
        <w:rPr>
          <w:rFonts w:hint="eastAsia"/>
          <w:b/>
          <w:bCs/>
        </w:rPr>
        <w:t>互联网医院系统运维及运营技术服务标准</w:t>
      </w:r>
    </w:p>
    <w:tbl>
      <w:tblPr>
        <w:tblStyle w:val="22"/>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580"/>
        <w:gridCol w:w="4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rPr>
                <w:b/>
                <w:bCs/>
              </w:rPr>
            </w:pPr>
            <w:r>
              <w:rPr>
                <w:rFonts w:hint="eastAsia"/>
                <w:b/>
                <w:bCs/>
              </w:rPr>
              <w:t>序号</w:t>
            </w:r>
          </w:p>
        </w:tc>
        <w:tc>
          <w:tcPr>
            <w:tcW w:w="1418" w:type="dxa"/>
            <w:noWrap/>
            <w:vAlign w:val="center"/>
          </w:tcPr>
          <w:p>
            <w:pPr>
              <w:jc w:val="center"/>
              <w:rPr>
                <w:b/>
                <w:bCs/>
              </w:rPr>
            </w:pPr>
            <w:r>
              <w:rPr>
                <w:rFonts w:hint="eastAsia"/>
                <w:b/>
                <w:bCs/>
              </w:rPr>
              <w:t>指标名称</w:t>
            </w:r>
          </w:p>
        </w:tc>
        <w:tc>
          <w:tcPr>
            <w:tcW w:w="2580" w:type="dxa"/>
            <w:noWrap/>
            <w:vAlign w:val="center"/>
          </w:tcPr>
          <w:p>
            <w:pPr>
              <w:jc w:val="center"/>
              <w:rPr>
                <w:b/>
                <w:bCs/>
              </w:rPr>
            </w:pPr>
            <w:r>
              <w:rPr>
                <w:rFonts w:hint="eastAsia"/>
                <w:b/>
                <w:bCs/>
              </w:rPr>
              <w:t>目标值</w:t>
            </w:r>
          </w:p>
        </w:tc>
        <w:tc>
          <w:tcPr>
            <w:tcW w:w="4326" w:type="dxa"/>
            <w:noWrap/>
            <w:vAlign w:val="center"/>
          </w:tcPr>
          <w:p>
            <w:pPr>
              <w:jc w:val="center"/>
              <w:rPr>
                <w:b/>
                <w:bCs/>
              </w:rPr>
            </w:pPr>
            <w:r>
              <w:rPr>
                <w:rFonts w:hint="eastAsia"/>
                <w:b/>
                <w:bCs/>
              </w:rPr>
              <w:t>考核办法及内容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1" w:type="dxa"/>
            <w:gridSpan w:val="4"/>
            <w:noWrap/>
            <w:vAlign w:val="center"/>
          </w:tcPr>
          <w:p>
            <w:pPr>
              <w:jc w:val="center"/>
              <w:rPr>
                <w:b/>
                <w:bCs/>
              </w:rPr>
            </w:pPr>
            <w:r>
              <w:rPr>
                <w:rFonts w:hint="eastAsia"/>
                <w:b/>
                <w:bCs/>
              </w:rPr>
              <w:t>互联网医院系统运维服务标准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pPr>
            <w:r>
              <w:rPr>
                <w:rFonts w:hint="eastAsia"/>
              </w:rPr>
              <w:t>1</w:t>
            </w:r>
          </w:p>
        </w:tc>
        <w:tc>
          <w:tcPr>
            <w:tcW w:w="1418" w:type="dxa"/>
            <w:noWrap/>
            <w:vAlign w:val="center"/>
          </w:tcPr>
          <w:p>
            <w:pPr>
              <w:jc w:val="center"/>
            </w:pPr>
            <w:r>
              <w:rPr>
                <w:rFonts w:hint="eastAsia"/>
              </w:rPr>
              <w:t>服务态度及质量</w:t>
            </w:r>
          </w:p>
        </w:tc>
        <w:tc>
          <w:tcPr>
            <w:tcW w:w="2580" w:type="dxa"/>
            <w:noWrap/>
            <w:vAlign w:val="center"/>
          </w:tcPr>
          <w:p>
            <w:pPr>
              <w:jc w:val="center"/>
            </w:pPr>
            <w:r>
              <w:rPr>
                <w:rFonts w:hint="eastAsia"/>
              </w:rPr>
              <w:t>无人投诉</w:t>
            </w:r>
          </w:p>
        </w:tc>
        <w:tc>
          <w:tcPr>
            <w:tcW w:w="4326" w:type="dxa"/>
            <w:noWrap/>
            <w:vAlign w:val="center"/>
          </w:tcPr>
          <w:p>
            <w:r>
              <w:rPr>
                <w:rFonts w:hint="eastAsia"/>
              </w:rPr>
              <w:t>无有效投拆，经调查真实有效。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pPr>
            <w:r>
              <w:rPr>
                <w:rFonts w:hint="eastAsia"/>
              </w:rPr>
              <w:t>2</w:t>
            </w:r>
          </w:p>
        </w:tc>
        <w:tc>
          <w:tcPr>
            <w:tcW w:w="1418" w:type="dxa"/>
            <w:noWrap/>
            <w:vAlign w:val="center"/>
          </w:tcPr>
          <w:p>
            <w:pPr>
              <w:jc w:val="center"/>
            </w:pPr>
            <w:r>
              <w:rPr>
                <w:rFonts w:hint="eastAsia"/>
              </w:rPr>
              <w:t>日常系统维护响应</w:t>
            </w:r>
          </w:p>
        </w:tc>
        <w:tc>
          <w:tcPr>
            <w:tcW w:w="2580" w:type="dxa"/>
            <w:noWrap/>
            <w:vAlign w:val="center"/>
          </w:tcPr>
          <w:p>
            <w:pPr>
              <w:jc w:val="center"/>
            </w:pPr>
            <w:r>
              <w:rPr>
                <w:rFonts w:hint="eastAsia"/>
              </w:rPr>
              <w:t>≤10分钟</w:t>
            </w:r>
          </w:p>
        </w:tc>
        <w:tc>
          <w:tcPr>
            <w:tcW w:w="4326" w:type="dxa"/>
            <w:noWrap/>
            <w:vAlign w:val="center"/>
          </w:tcPr>
          <w:p>
            <w:r>
              <w:rPr>
                <w:rFonts w:hint="eastAsia"/>
              </w:rPr>
              <w:t>服务运维群（QQ/微信）中发出问题，到服务人员第一回复时间，小于10钟。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pPr>
            <w:r>
              <w:t>3</w:t>
            </w:r>
          </w:p>
        </w:tc>
        <w:tc>
          <w:tcPr>
            <w:tcW w:w="1418" w:type="dxa"/>
            <w:noWrap/>
            <w:vAlign w:val="center"/>
          </w:tcPr>
          <w:p>
            <w:pPr>
              <w:jc w:val="center"/>
            </w:pPr>
            <w:r>
              <w:rPr>
                <w:rFonts w:hint="eastAsia"/>
              </w:rPr>
              <w:t>常规问题解决周期</w:t>
            </w:r>
          </w:p>
        </w:tc>
        <w:tc>
          <w:tcPr>
            <w:tcW w:w="2580" w:type="dxa"/>
            <w:noWrap/>
            <w:vAlign w:val="center"/>
          </w:tcPr>
          <w:p>
            <w:pPr>
              <w:jc w:val="center"/>
            </w:pPr>
            <w:r>
              <w:rPr>
                <w:rFonts w:hint="eastAsia"/>
              </w:rPr>
              <w:t>报表、模板：一周；常见问题：4小时内</w:t>
            </w:r>
          </w:p>
        </w:tc>
        <w:tc>
          <w:tcPr>
            <w:tcW w:w="4326" w:type="dxa"/>
            <w:noWrap/>
            <w:vAlign w:val="center"/>
          </w:tcPr>
          <w:p>
            <w:r>
              <w:rPr>
                <w:rFonts w:hint="eastAsia"/>
              </w:rPr>
              <w:t>报表、模板超过一周解决时间要求：常见问题4小时内解决，报表、模板类需求一周内解决。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pPr>
            <w:r>
              <w:t>4</w:t>
            </w:r>
          </w:p>
        </w:tc>
        <w:tc>
          <w:tcPr>
            <w:tcW w:w="1418" w:type="dxa"/>
            <w:noWrap/>
            <w:vAlign w:val="center"/>
          </w:tcPr>
          <w:p>
            <w:pPr>
              <w:jc w:val="center"/>
            </w:pPr>
            <w:r>
              <w:rPr>
                <w:rFonts w:hint="eastAsia"/>
              </w:rPr>
              <w:t>系统运行情况巡检</w:t>
            </w:r>
          </w:p>
        </w:tc>
        <w:tc>
          <w:tcPr>
            <w:tcW w:w="2580" w:type="dxa"/>
            <w:noWrap/>
            <w:vAlign w:val="center"/>
          </w:tcPr>
          <w:p>
            <w:pPr>
              <w:jc w:val="center"/>
            </w:pPr>
            <w:r>
              <w:rPr>
                <w:rFonts w:hint="eastAsia"/>
              </w:rPr>
              <w:t>每季度一次</w:t>
            </w:r>
          </w:p>
        </w:tc>
        <w:tc>
          <w:tcPr>
            <w:tcW w:w="4326" w:type="dxa"/>
            <w:noWrap/>
            <w:vAlign w:val="center"/>
          </w:tcPr>
          <w:p>
            <w:r>
              <w:rPr>
                <w:rFonts w:hint="eastAsia"/>
              </w:rPr>
              <w:t>每季度巡检和分析系统运行环境和状况出具巡检分析报告，给出问题解决方案。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jc w:val="center"/>
            </w:pPr>
            <w:r>
              <w:t>5</w:t>
            </w:r>
          </w:p>
        </w:tc>
        <w:tc>
          <w:tcPr>
            <w:tcW w:w="1418" w:type="dxa"/>
            <w:noWrap/>
            <w:vAlign w:val="center"/>
          </w:tcPr>
          <w:p>
            <w:pPr>
              <w:jc w:val="center"/>
            </w:pPr>
            <w:r>
              <w:rPr>
                <w:rFonts w:hint="eastAsia"/>
              </w:rPr>
              <w:t>数据库巡检</w:t>
            </w:r>
          </w:p>
        </w:tc>
        <w:tc>
          <w:tcPr>
            <w:tcW w:w="2580" w:type="dxa"/>
            <w:noWrap/>
            <w:vAlign w:val="center"/>
          </w:tcPr>
          <w:p>
            <w:pPr>
              <w:jc w:val="center"/>
            </w:pPr>
            <w:r>
              <w:rPr>
                <w:rFonts w:hint="eastAsia"/>
              </w:rPr>
              <w:t>每季度一次</w:t>
            </w:r>
          </w:p>
        </w:tc>
        <w:tc>
          <w:tcPr>
            <w:tcW w:w="4326" w:type="dxa"/>
            <w:noWrap/>
            <w:vAlign w:val="center"/>
          </w:tcPr>
          <w:p>
            <w:r>
              <w:rPr>
                <w:rFonts w:hint="eastAsia"/>
              </w:rPr>
              <w:t>每季度巡检和分析系统运行环境和状况出具巡检分析报告，给出问题解决方案。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817" w:type="dxa"/>
            <w:noWrap/>
            <w:vAlign w:val="center"/>
          </w:tcPr>
          <w:p>
            <w:pPr>
              <w:jc w:val="center"/>
            </w:pPr>
            <w:r>
              <w:t>6</w:t>
            </w:r>
          </w:p>
        </w:tc>
        <w:tc>
          <w:tcPr>
            <w:tcW w:w="1418" w:type="dxa"/>
            <w:noWrap/>
            <w:vAlign w:val="center"/>
          </w:tcPr>
          <w:p>
            <w:pPr>
              <w:jc w:val="center"/>
            </w:pPr>
            <w:r>
              <w:rPr>
                <w:rFonts w:hint="eastAsia"/>
              </w:rPr>
              <w:t>需求业务</w:t>
            </w:r>
          </w:p>
          <w:p>
            <w:pPr>
              <w:jc w:val="center"/>
            </w:pPr>
            <w:r>
              <w:rPr>
                <w:rFonts w:hint="eastAsia"/>
              </w:rPr>
              <w:t>管理</w:t>
            </w:r>
          </w:p>
        </w:tc>
        <w:tc>
          <w:tcPr>
            <w:tcW w:w="2580" w:type="dxa"/>
            <w:noWrap/>
            <w:vAlign w:val="center"/>
          </w:tcPr>
          <w:p>
            <w:pPr>
              <w:jc w:val="center"/>
            </w:pPr>
            <w:r>
              <w:rPr>
                <w:rFonts w:hint="eastAsia"/>
              </w:rPr>
              <w:t>每周上报一次</w:t>
            </w:r>
          </w:p>
        </w:tc>
        <w:tc>
          <w:tcPr>
            <w:tcW w:w="4326" w:type="dxa"/>
            <w:noWrap/>
            <w:vAlign w:val="center"/>
          </w:tcPr>
          <w:p>
            <w:r>
              <w:rPr>
                <w:rFonts w:hint="eastAsia"/>
              </w:rPr>
              <w:t>需求处理进度、情况每周上报。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9141" w:type="dxa"/>
            <w:gridSpan w:val="4"/>
            <w:noWrap/>
            <w:vAlign w:val="center"/>
          </w:tcPr>
          <w:p>
            <w:r>
              <w:rPr>
                <w:rFonts w:hint="eastAsia"/>
                <w:b/>
                <w:bCs/>
              </w:rPr>
              <w:t>互联网医院运营技术服务标准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817" w:type="dxa"/>
            <w:noWrap/>
            <w:vAlign w:val="center"/>
          </w:tcPr>
          <w:p>
            <w:pPr>
              <w:jc w:val="center"/>
            </w:pPr>
            <w:r>
              <w:rPr>
                <w:rFonts w:hint="eastAsia"/>
              </w:rPr>
              <w:t>7</w:t>
            </w:r>
          </w:p>
        </w:tc>
        <w:tc>
          <w:tcPr>
            <w:tcW w:w="8324" w:type="dxa"/>
            <w:gridSpan w:val="3"/>
            <w:noWrap/>
            <w:vAlign w:val="center"/>
          </w:tcPr>
          <w:p>
            <w:pPr>
              <w:pStyle w:val="14"/>
              <w:spacing w:line="360" w:lineRule="auto"/>
              <w:ind w:left="0" w:leftChars="0"/>
            </w:pPr>
            <w:r>
              <w:rPr>
                <w:rFonts w:hint="eastAsia"/>
              </w:rPr>
              <w:t>1、每月制作专项推广方案协助院内开展线下专项推广活动2次，每次现场服务人员不低于2人，协助院内开展互联网医院满意度调查。</w:t>
            </w:r>
          </w:p>
          <w:p>
            <w:pPr>
              <w:pStyle w:val="14"/>
              <w:spacing w:line="360" w:lineRule="auto"/>
              <w:ind w:left="0" w:leftChars="0"/>
            </w:pPr>
            <w:r>
              <w:rPr>
                <w:rFonts w:hint="eastAsia"/>
              </w:rPr>
              <w:t>2、协助院内建设3个特色门诊科室，每个特色门诊科室打造2名互联网医院明星医生，开展1项增值业务，每月结合医院重点业务场景更新2次线下宣传活动。通过线上宣传，转化患者至线下就诊。在药房及各科室的配合下推动医院代领代寄业务。</w:t>
            </w:r>
          </w:p>
          <w:p>
            <w:pPr>
              <w:pStyle w:val="14"/>
              <w:spacing w:line="360" w:lineRule="auto"/>
              <w:ind w:left="0" w:leftChars="0"/>
            </w:pPr>
            <w:r>
              <w:rPr>
                <w:rFonts w:hint="eastAsia"/>
              </w:rPr>
              <w:t>3、按周、月、季度、年度输出运营分析报告，按月制作配套工作计划，所有报告以纸质档案留存以待查阅。</w:t>
            </w:r>
          </w:p>
          <w:p>
            <w:pPr>
              <w:pStyle w:val="14"/>
              <w:spacing w:line="360" w:lineRule="auto"/>
              <w:ind w:left="0" w:leftChars="0"/>
            </w:pPr>
            <w:r>
              <w:rPr>
                <w:rFonts w:hint="eastAsia"/>
              </w:rPr>
              <w:t>4、提供互联网医院平台的稳定性维护服务，提供互联网医院平台现有的公众端、医生端推广的运行维护服务工作，包括配合各模块的系统维护、巡检的维护管理等工作。</w:t>
            </w:r>
          </w:p>
          <w:p>
            <w:pPr>
              <w:pStyle w:val="14"/>
              <w:spacing w:line="360" w:lineRule="auto"/>
              <w:ind w:left="0" w:leftChars="0"/>
            </w:pPr>
            <w:r>
              <w:rPr>
                <w:rFonts w:hint="eastAsia"/>
              </w:rPr>
              <w:t>5、协调互联网医院平台承建商解决系统运行中发生的故障和错误。</w:t>
            </w:r>
          </w:p>
        </w:tc>
      </w:tr>
    </w:tbl>
    <w:p>
      <w:pPr>
        <w:widowControl/>
        <w:spacing w:line="240" w:lineRule="auto"/>
        <w:jc w:val="left"/>
      </w:pPr>
    </w:p>
    <w:p>
      <w:r>
        <w:rPr>
          <w:rFonts w:hint="eastAsia"/>
        </w:rPr>
        <w:t>附件2：</w:t>
      </w:r>
    </w:p>
    <w:p>
      <w:pPr>
        <w:jc w:val="center"/>
        <w:rPr>
          <w:b/>
          <w:bCs/>
        </w:rPr>
      </w:pPr>
      <w:r>
        <w:rPr>
          <w:rFonts w:hint="eastAsia"/>
          <w:b/>
          <w:bCs/>
        </w:rPr>
        <w:t>互联网医院系统运维及运营技术服务考核验收单</w:t>
      </w:r>
    </w:p>
    <w:tbl>
      <w:tblPr>
        <w:tblStyle w:val="22"/>
        <w:tblW w:w="9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81"/>
        <w:gridCol w:w="2109"/>
        <w:gridCol w:w="2112"/>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Merge w:val="restart"/>
            <w:tcBorders>
              <w:right w:val="single" w:color="auto" w:sz="4" w:space="0"/>
            </w:tcBorders>
            <w:noWrap/>
            <w:vAlign w:val="center"/>
          </w:tcPr>
          <w:p>
            <w:pPr>
              <w:jc w:val="center"/>
            </w:pPr>
            <w:r>
              <w:rPr>
                <w:rFonts w:hint="eastAsia"/>
              </w:rPr>
              <w:t>服务项目信息</w:t>
            </w:r>
          </w:p>
        </w:tc>
        <w:tc>
          <w:tcPr>
            <w:tcW w:w="1381" w:type="dxa"/>
            <w:tcBorders>
              <w:left w:val="single" w:color="auto" w:sz="4" w:space="0"/>
            </w:tcBorders>
            <w:noWrap/>
            <w:vAlign w:val="center"/>
          </w:tcPr>
          <w:p>
            <w:pPr>
              <w:jc w:val="center"/>
            </w:pPr>
            <w:r>
              <w:rPr>
                <w:rFonts w:hint="eastAsia"/>
              </w:rPr>
              <w:t>公司名称</w:t>
            </w:r>
          </w:p>
        </w:tc>
        <w:tc>
          <w:tcPr>
            <w:tcW w:w="6937" w:type="dxa"/>
            <w:gridSpan w:val="3"/>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Merge w:val="continue"/>
            <w:tcBorders>
              <w:right w:val="single" w:color="auto" w:sz="4" w:space="0"/>
            </w:tcBorders>
            <w:noWrap/>
            <w:vAlign w:val="center"/>
          </w:tcPr>
          <w:p>
            <w:pPr>
              <w:jc w:val="center"/>
            </w:pPr>
          </w:p>
        </w:tc>
        <w:tc>
          <w:tcPr>
            <w:tcW w:w="1381" w:type="dxa"/>
            <w:tcBorders>
              <w:left w:val="single" w:color="auto" w:sz="4" w:space="0"/>
            </w:tcBorders>
            <w:noWrap/>
            <w:vAlign w:val="center"/>
          </w:tcPr>
          <w:p>
            <w:pPr>
              <w:jc w:val="center"/>
            </w:pPr>
            <w:r>
              <w:rPr>
                <w:rFonts w:hint="eastAsia"/>
              </w:rPr>
              <w:t>联系人</w:t>
            </w:r>
          </w:p>
        </w:tc>
        <w:tc>
          <w:tcPr>
            <w:tcW w:w="2109" w:type="dxa"/>
            <w:noWrap/>
            <w:vAlign w:val="center"/>
          </w:tcPr>
          <w:p>
            <w:pPr>
              <w:jc w:val="center"/>
            </w:pPr>
          </w:p>
        </w:tc>
        <w:tc>
          <w:tcPr>
            <w:tcW w:w="2112" w:type="dxa"/>
            <w:noWrap/>
            <w:vAlign w:val="center"/>
          </w:tcPr>
          <w:p>
            <w:pPr>
              <w:jc w:val="center"/>
            </w:pPr>
            <w:r>
              <w:rPr>
                <w:rFonts w:hint="eastAsia"/>
              </w:rPr>
              <w:t>联系电话</w:t>
            </w:r>
          </w:p>
        </w:tc>
        <w:tc>
          <w:tcPr>
            <w:tcW w:w="2716"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Merge w:val="continue"/>
            <w:tcBorders>
              <w:right w:val="single" w:color="auto" w:sz="4" w:space="0"/>
            </w:tcBorders>
            <w:noWrap/>
            <w:vAlign w:val="center"/>
          </w:tcPr>
          <w:p>
            <w:pPr>
              <w:jc w:val="center"/>
            </w:pPr>
          </w:p>
        </w:tc>
        <w:tc>
          <w:tcPr>
            <w:tcW w:w="1381" w:type="dxa"/>
            <w:tcBorders>
              <w:left w:val="single" w:color="auto" w:sz="4" w:space="0"/>
            </w:tcBorders>
            <w:noWrap/>
            <w:vAlign w:val="center"/>
          </w:tcPr>
          <w:p>
            <w:pPr>
              <w:jc w:val="center"/>
            </w:pPr>
            <w:r>
              <w:rPr>
                <w:rFonts w:hint="eastAsia"/>
              </w:rPr>
              <w:t>项目名称</w:t>
            </w:r>
          </w:p>
        </w:tc>
        <w:tc>
          <w:tcPr>
            <w:tcW w:w="6937" w:type="dxa"/>
            <w:gridSpan w:val="3"/>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8" w:type="dxa"/>
            <w:gridSpan w:val="2"/>
            <w:noWrap/>
            <w:vAlign w:val="center"/>
          </w:tcPr>
          <w:p>
            <w:pPr>
              <w:jc w:val="center"/>
            </w:pPr>
            <w:r>
              <w:rPr>
                <w:rFonts w:hint="eastAsia"/>
              </w:rPr>
              <w:t>运维及技术运营服务内容</w:t>
            </w:r>
          </w:p>
        </w:tc>
        <w:tc>
          <w:tcPr>
            <w:tcW w:w="6937" w:type="dxa"/>
            <w:gridSpan w:val="3"/>
            <w:noWrap/>
            <w:vAlign w:val="center"/>
          </w:tcPr>
          <w:p/>
          <w:p>
            <w:r>
              <w:rPr>
                <w:rFonts w:hint="eastAsia"/>
              </w:rPr>
              <w:t>服务人员确认：</w:t>
            </w:r>
          </w:p>
          <w:p/>
          <w:p>
            <w:r>
              <w:rPr>
                <w:rFonts w:hint="eastAsi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8" w:type="dxa"/>
            <w:gridSpan w:val="2"/>
            <w:vMerge w:val="restart"/>
            <w:noWrap/>
            <w:vAlign w:val="center"/>
          </w:tcPr>
          <w:p>
            <w:pPr>
              <w:jc w:val="center"/>
            </w:pPr>
            <w:r>
              <w:rPr>
                <w:rFonts w:hint="eastAsia"/>
              </w:rPr>
              <w:t>克拉玛依市中心医院意见及建议</w:t>
            </w:r>
          </w:p>
        </w:tc>
        <w:tc>
          <w:tcPr>
            <w:tcW w:w="6937" w:type="dxa"/>
            <w:gridSpan w:val="3"/>
            <w:noWrap/>
            <w:vAlign w:val="center"/>
          </w:tcPr>
          <w:p>
            <w:r>
              <w:rPr>
                <w:rFonts w:hint="eastAsia"/>
              </w:rPr>
              <w:t>项目负责人（或用户）意见及建议：</w:t>
            </w:r>
          </w:p>
          <w:p/>
          <w:p>
            <w:r>
              <w:rPr>
                <w:rFonts w:hint="eastAsia"/>
              </w:rPr>
              <w:t>项目负责人（或用户）签字：</w:t>
            </w:r>
          </w:p>
          <w:p/>
          <w:p>
            <w:r>
              <w:rPr>
                <w:rFonts w:hint="eastAsi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8" w:type="dxa"/>
            <w:gridSpan w:val="2"/>
            <w:vMerge w:val="continue"/>
            <w:noWrap/>
            <w:vAlign w:val="center"/>
          </w:tcPr>
          <w:p/>
        </w:tc>
        <w:tc>
          <w:tcPr>
            <w:tcW w:w="6937" w:type="dxa"/>
            <w:gridSpan w:val="3"/>
            <w:noWrap/>
            <w:vAlign w:val="center"/>
          </w:tcPr>
          <w:p>
            <w:r>
              <w:rPr>
                <w:rFonts w:hint="eastAsia"/>
              </w:rPr>
              <w:t>信息科意见及建议：</w:t>
            </w:r>
          </w:p>
          <w:p/>
          <w:p>
            <w:r>
              <w:rPr>
                <w:rFonts w:hint="eastAsia"/>
              </w:rPr>
              <w:t>信息科盖章</w:t>
            </w:r>
          </w:p>
          <w:p/>
          <w:p>
            <w:r>
              <w:rPr>
                <w:rFonts w:hint="eastAsia"/>
              </w:rPr>
              <w:t>年    月   日</w:t>
            </w:r>
          </w:p>
        </w:tc>
      </w:tr>
    </w:tbl>
    <w:p>
      <w:pPr>
        <w:widowControl/>
        <w:spacing w:line="240" w:lineRule="auto"/>
        <w:jc w:val="left"/>
      </w:pPr>
      <w:r>
        <w:br w:type="page"/>
      </w:r>
    </w:p>
    <w:p>
      <w:pPr>
        <w:pStyle w:val="5"/>
      </w:pPr>
      <w:r>
        <w:rPr>
          <w:rFonts w:hint="eastAsia"/>
        </w:rPr>
        <w:t>服务地点，服务期限时间</w:t>
      </w:r>
    </w:p>
    <w:p>
      <w:pPr>
        <w:pStyle w:val="3"/>
      </w:pPr>
      <w:r>
        <w:rPr>
          <w:rFonts w:hint="eastAsia"/>
        </w:rPr>
        <w:t>1</w:t>
      </w:r>
      <w:r>
        <w:t>.</w:t>
      </w:r>
      <w:r>
        <w:rPr>
          <w:rFonts w:hint="eastAsia"/>
        </w:rPr>
        <w:t>服务地点：克拉玛依市中心医院</w:t>
      </w:r>
    </w:p>
    <w:p>
      <w:pPr>
        <w:pStyle w:val="3"/>
      </w:pPr>
      <w:r>
        <w:t>2.</w:t>
      </w:r>
      <w:r>
        <w:rPr>
          <w:rFonts w:hint="eastAsia"/>
        </w:rPr>
        <w:t>服务期限时间：自合同签订起1年。</w:t>
      </w:r>
    </w:p>
    <w:p>
      <w:pPr>
        <w:pStyle w:val="5"/>
      </w:pPr>
      <w:r>
        <w:rPr>
          <w:rFonts w:hint="eastAsia"/>
        </w:rPr>
        <w:t>验收方式</w:t>
      </w:r>
    </w:p>
    <w:p>
      <w:pPr>
        <w:pStyle w:val="3"/>
      </w:pPr>
      <w:r>
        <w:rPr>
          <w:rFonts w:hint="eastAsia"/>
        </w:rPr>
        <w:t>1．服务验收：成交供应商根据项目要求完成服务后，由采购人进行服务考核方面的验收。由采购人签署《互联网医院系统运维及运营技术服务考核验收单》做为本项目的验收报告文件。</w:t>
      </w:r>
    </w:p>
    <w:p>
      <w:pPr>
        <w:pStyle w:val="3"/>
      </w:pPr>
      <w:r>
        <w:t>2.</w:t>
      </w:r>
      <w:r>
        <w:rPr>
          <w:rFonts w:hint="eastAsia"/>
        </w:rPr>
        <w:t>验收时成交供应商必须派代表参加。</w:t>
      </w:r>
    </w:p>
    <w:p>
      <w:pPr>
        <w:pStyle w:val="3"/>
      </w:pPr>
      <w:r>
        <w:t>3.</w:t>
      </w:r>
      <w:r>
        <w:rPr>
          <w:rFonts w:hint="eastAsia"/>
        </w:rPr>
        <w:t>验收过程所发生的一切费用由成交供应商承担。</w:t>
      </w:r>
    </w:p>
    <w:p>
      <w:pPr>
        <w:pStyle w:val="4"/>
      </w:pPr>
      <w:r>
        <w:rPr>
          <w:rFonts w:hint="eastAsia"/>
        </w:rPr>
        <w:t>项目付款方式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9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1" w:type="dxa"/>
            <w:vAlign w:val="center"/>
          </w:tcPr>
          <w:p>
            <w:pPr>
              <w:jc w:val="center"/>
            </w:pPr>
            <w:r>
              <w:rPr>
                <w:rFonts w:hint="eastAsia"/>
              </w:rPr>
              <w:t>支付期次</w:t>
            </w:r>
          </w:p>
        </w:tc>
        <w:tc>
          <w:tcPr>
            <w:tcW w:w="1276" w:type="dxa"/>
            <w:vAlign w:val="center"/>
          </w:tcPr>
          <w:p>
            <w:pPr>
              <w:jc w:val="center"/>
            </w:pPr>
            <w:r>
              <w:rPr>
                <w:rFonts w:hint="eastAsia"/>
              </w:rPr>
              <w:t>支付项目</w:t>
            </w:r>
          </w:p>
        </w:tc>
        <w:tc>
          <w:tcPr>
            <w:tcW w:w="1984" w:type="dxa"/>
            <w:vAlign w:val="center"/>
          </w:tcPr>
          <w:p>
            <w:pPr>
              <w:jc w:val="center"/>
            </w:pPr>
            <w:r>
              <w:rPr>
                <w:rFonts w:hint="eastAsia"/>
              </w:rPr>
              <w:t>支付比例（%）</w:t>
            </w:r>
          </w:p>
        </w:tc>
        <w:tc>
          <w:tcPr>
            <w:tcW w:w="4303" w:type="dxa"/>
            <w:vAlign w:val="center"/>
          </w:tcPr>
          <w:p>
            <w:pPr>
              <w:jc w:val="center"/>
            </w:pPr>
            <w:r>
              <w:rPr>
                <w:rFonts w:hint="eastAsia"/>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71" w:type="dxa"/>
            <w:vAlign w:val="center"/>
          </w:tcPr>
          <w:p>
            <w:pPr>
              <w:jc w:val="center"/>
            </w:pPr>
            <w:r>
              <w:rPr>
                <w:rFonts w:hint="eastAsia"/>
              </w:rPr>
              <w:t>1</w:t>
            </w:r>
          </w:p>
        </w:tc>
        <w:tc>
          <w:tcPr>
            <w:tcW w:w="1276" w:type="dxa"/>
            <w:vAlign w:val="center"/>
          </w:tcPr>
          <w:p>
            <w:pPr>
              <w:jc w:val="center"/>
            </w:pPr>
            <w:r>
              <w:rPr>
                <w:rFonts w:hint="eastAsia"/>
              </w:rPr>
              <w:t>首付款</w:t>
            </w:r>
          </w:p>
        </w:tc>
        <w:tc>
          <w:tcPr>
            <w:tcW w:w="1984" w:type="dxa"/>
            <w:vAlign w:val="center"/>
          </w:tcPr>
          <w:p>
            <w:pPr>
              <w:jc w:val="center"/>
            </w:pPr>
            <w:r>
              <w:t>3</w:t>
            </w:r>
            <w:r>
              <w:rPr>
                <w:rFonts w:hint="eastAsia"/>
              </w:rPr>
              <w:t>0%</w:t>
            </w:r>
          </w:p>
        </w:tc>
        <w:tc>
          <w:tcPr>
            <w:tcW w:w="4303" w:type="dxa"/>
            <w:vAlign w:val="center"/>
          </w:tcPr>
          <w:p>
            <w:r>
              <w:rPr>
                <w:rFonts w:hint="eastAsia"/>
              </w:rPr>
              <w:t>合同签订后，采购人收到成交供应商开具正式发票15个工作日内，支付合同款总额的</w:t>
            </w:r>
            <w:r>
              <w:t>3</w:t>
            </w:r>
            <w:r>
              <w:rPr>
                <w:rFonts w:hint="eastAsia"/>
              </w:rPr>
              <w:t>0%作为首付款。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71" w:type="dxa"/>
            <w:vAlign w:val="center"/>
          </w:tcPr>
          <w:p>
            <w:pPr>
              <w:jc w:val="center"/>
            </w:pPr>
            <w:r>
              <w:rPr>
                <w:rFonts w:hint="eastAsia"/>
              </w:rPr>
              <w:t>2</w:t>
            </w:r>
          </w:p>
        </w:tc>
        <w:tc>
          <w:tcPr>
            <w:tcW w:w="1276" w:type="dxa"/>
            <w:vAlign w:val="center"/>
          </w:tcPr>
          <w:p>
            <w:pPr>
              <w:jc w:val="center"/>
            </w:pPr>
            <w:r>
              <w:rPr>
                <w:rFonts w:hint="eastAsia"/>
              </w:rPr>
              <w:t>验收款</w:t>
            </w:r>
          </w:p>
        </w:tc>
        <w:tc>
          <w:tcPr>
            <w:tcW w:w="1984" w:type="dxa"/>
            <w:vAlign w:val="center"/>
          </w:tcPr>
          <w:p>
            <w:pPr>
              <w:jc w:val="center"/>
            </w:pPr>
            <w:r>
              <w:t>7</w:t>
            </w:r>
            <w:r>
              <w:rPr>
                <w:rFonts w:hint="eastAsia"/>
              </w:rPr>
              <w:t>0%</w:t>
            </w:r>
          </w:p>
        </w:tc>
        <w:tc>
          <w:tcPr>
            <w:tcW w:w="4303" w:type="dxa"/>
            <w:vAlign w:val="center"/>
          </w:tcPr>
          <w:p>
            <w:r>
              <w:rPr>
                <w:rFonts w:hint="eastAsia"/>
              </w:rPr>
              <w:t>项目取得验收报告后，采购人收到成交供应商开具正式发票15个工作日内，支付合同款总额的</w:t>
            </w:r>
            <w:r>
              <w:t>70</w:t>
            </w:r>
            <w:r>
              <w:rPr>
                <w:rFonts w:hint="eastAsia"/>
              </w:rPr>
              <w:t>%作为验收款。</w:t>
            </w:r>
          </w:p>
        </w:tc>
      </w:tr>
    </w:tbl>
    <w:p>
      <w:pPr>
        <w:pStyle w:val="3"/>
        <w:ind w:firstLine="0" w:firstLineChars="0"/>
      </w:pPr>
    </w:p>
    <w:sectPr>
      <w:footerReference r:id="rId5" w:type="default"/>
      <w:pgSz w:w="11906" w:h="16838"/>
      <w:pgMar w:top="1418" w:right="1474" w:bottom="1418" w:left="1588" w:header="907" w:footer="907" w:gutter="0"/>
      <w:pgNumType w:start="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72"/>
        <w:tab w:val="center" w:pos="4602"/>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8457F"/>
    <w:multiLevelType w:val="multilevel"/>
    <w:tmpl w:val="67B8457F"/>
    <w:lvl w:ilvl="0" w:tentative="0">
      <w:start w:val="1"/>
      <w:numFmt w:val="chineseCountingThousand"/>
      <w:pStyle w:val="2"/>
      <w:suff w:val="nothing"/>
      <w:lvlText w:val="%1、"/>
      <w:lvlJc w:val="left"/>
      <w:pPr>
        <w:ind w:left="432" w:hanging="432"/>
      </w:pPr>
      <w:rPr>
        <w:rFonts w:hint="eastAsia"/>
      </w:rPr>
    </w:lvl>
    <w:lvl w:ilvl="1" w:tentative="0">
      <w:start w:val="1"/>
      <w:numFmt w:val="decimal"/>
      <w:pStyle w:val="4"/>
      <w:isLgl/>
      <w:suff w:val="space"/>
      <w:lvlText w:val="%1.%2"/>
      <w:lvlJc w:val="left"/>
      <w:pPr>
        <w:ind w:left="576" w:hanging="576"/>
      </w:pPr>
      <w:rPr>
        <w:rFonts w:hint="eastAsia"/>
      </w:rPr>
    </w:lvl>
    <w:lvl w:ilvl="2" w:tentative="0">
      <w:start w:val="1"/>
      <w:numFmt w:val="decimal"/>
      <w:pStyle w:val="5"/>
      <w:isLgl/>
      <w:suff w:val="space"/>
      <w:lvlText w:val="%1.%2.%3"/>
      <w:lvlJc w:val="left"/>
      <w:pPr>
        <w:ind w:left="720" w:hanging="720"/>
      </w:pPr>
      <w:rPr>
        <w:rFonts w:hint="eastAsia"/>
      </w:rPr>
    </w:lvl>
    <w:lvl w:ilvl="3" w:tentative="0">
      <w:start w:val="1"/>
      <w:numFmt w:val="decimal"/>
      <w:pStyle w:val="6"/>
      <w:isLgl/>
      <w:suff w:val="space"/>
      <w:lvlText w:val="%1.%2.%3.%4"/>
      <w:lvlJc w:val="left"/>
      <w:pPr>
        <w:ind w:left="864" w:hanging="864"/>
      </w:pPr>
      <w:rPr>
        <w:rFonts w:hint="eastAsia"/>
      </w:rPr>
    </w:lvl>
    <w:lvl w:ilvl="4" w:tentative="0">
      <w:start w:val="1"/>
      <w:numFmt w:val="decimal"/>
      <w:pStyle w:val="7"/>
      <w:isLgl/>
      <w:suff w:val="space"/>
      <w:lvlText w:val="%1.%2.%3.%4.%5"/>
      <w:lvlJc w:val="left"/>
      <w:pPr>
        <w:ind w:left="1008" w:hanging="1008"/>
      </w:pPr>
      <w:rPr>
        <w:rFonts w:hint="eastAsia"/>
      </w:rPr>
    </w:lvl>
    <w:lvl w:ilvl="5" w:tentative="0">
      <w:start w:val="1"/>
      <w:numFmt w:val="decimal"/>
      <w:pStyle w:val="8"/>
      <w:isLgl/>
      <w:suff w:val="space"/>
      <w:lvlText w:val="%1.%2.%3.%4.%5.%6"/>
      <w:lvlJc w:val="left"/>
      <w:pPr>
        <w:ind w:left="1152" w:hanging="1152"/>
      </w:pPr>
      <w:rPr>
        <w:rFonts w:hint="eastAsia"/>
      </w:rPr>
    </w:lvl>
    <w:lvl w:ilvl="6" w:tentative="0">
      <w:start w:val="1"/>
      <w:numFmt w:val="decimal"/>
      <w:pStyle w:val="9"/>
      <w:isLgl/>
      <w:suff w:val="space"/>
      <w:lvlText w:val="%1.%2.%3.%4.%5.%6.%7"/>
      <w:lvlJc w:val="left"/>
      <w:pPr>
        <w:ind w:left="1296" w:hanging="1296"/>
      </w:pPr>
      <w:rPr>
        <w:rFonts w:hint="eastAsia"/>
      </w:rPr>
    </w:lvl>
    <w:lvl w:ilvl="7" w:tentative="0">
      <w:start w:val="1"/>
      <w:numFmt w:val="decimal"/>
      <w:pStyle w:val="10"/>
      <w:isLgl/>
      <w:suff w:val="space"/>
      <w:lvlText w:val="%1.%2.%3.%4.%5.%6.%7.%8"/>
      <w:lvlJc w:val="left"/>
      <w:pPr>
        <w:ind w:left="1440" w:hanging="1440"/>
      </w:pPr>
      <w:rPr>
        <w:rFonts w:hint="eastAsia"/>
        <w:b/>
        <w:i w:val="0"/>
      </w:rPr>
    </w:lvl>
    <w:lvl w:ilvl="8" w:tentative="0">
      <w:start w:val="1"/>
      <w:numFmt w:val="decimal"/>
      <w:pStyle w:val="11"/>
      <w:isLgl/>
      <w:suff w:val="space"/>
      <w:lvlText w:val="%1.%2.%3.%4.%5.%6.%7.%8.%9"/>
      <w:lvlJc w:val="left"/>
      <w:pPr>
        <w:ind w:left="1584" w:hanging="1584"/>
      </w:pPr>
      <w:rPr>
        <w:rFonts w:hint="eastAsia"/>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NmE2MTE0ODdiOTJiNGVmOWYxMGM3ZDI2NjUwMTYifQ=="/>
  </w:docVars>
  <w:rsids>
    <w:rsidRoot w:val="00473C77"/>
    <w:rsid w:val="001247C8"/>
    <w:rsid w:val="0012635E"/>
    <w:rsid w:val="001B0B30"/>
    <w:rsid w:val="00271F0E"/>
    <w:rsid w:val="002A4626"/>
    <w:rsid w:val="00332252"/>
    <w:rsid w:val="00390BBF"/>
    <w:rsid w:val="00473C77"/>
    <w:rsid w:val="00482EE8"/>
    <w:rsid w:val="00516877"/>
    <w:rsid w:val="005718CE"/>
    <w:rsid w:val="00581AC0"/>
    <w:rsid w:val="005C01E6"/>
    <w:rsid w:val="0067154F"/>
    <w:rsid w:val="007C519A"/>
    <w:rsid w:val="00887D47"/>
    <w:rsid w:val="0089634B"/>
    <w:rsid w:val="009229D7"/>
    <w:rsid w:val="00945C79"/>
    <w:rsid w:val="009B43B9"/>
    <w:rsid w:val="009D4B2B"/>
    <w:rsid w:val="00B35A74"/>
    <w:rsid w:val="00B90523"/>
    <w:rsid w:val="00B92ED4"/>
    <w:rsid w:val="00B97F8B"/>
    <w:rsid w:val="00BF4E3B"/>
    <w:rsid w:val="00C2235D"/>
    <w:rsid w:val="00C5630C"/>
    <w:rsid w:val="00C67421"/>
    <w:rsid w:val="00D31909"/>
    <w:rsid w:val="00DF1368"/>
    <w:rsid w:val="00EB3C30"/>
    <w:rsid w:val="00F132DE"/>
    <w:rsid w:val="00F4249D"/>
    <w:rsid w:val="00F468C3"/>
    <w:rsid w:val="00F90E31"/>
    <w:rsid w:val="04FB2326"/>
    <w:rsid w:val="0A475E63"/>
    <w:rsid w:val="28CA09CD"/>
    <w:rsid w:val="55933150"/>
    <w:rsid w:val="7262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3"/>
    <w:link w:val="28"/>
    <w:qFormat/>
    <w:uiPriority w:val="0"/>
    <w:pPr>
      <w:keepNext/>
      <w:keepLines/>
      <w:numPr>
        <w:ilvl w:val="0"/>
        <w:numId w:val="1"/>
      </w:numPr>
      <w:spacing w:before="50" w:beforeLines="50" w:after="50" w:afterLines="50"/>
      <w:ind w:left="431" w:hanging="431"/>
      <w:jc w:val="center"/>
      <w:outlineLvl w:val="0"/>
    </w:pPr>
    <w:rPr>
      <w:rFonts w:ascii="宋体" w:hAnsi="宋体"/>
      <w:b/>
      <w:bCs/>
      <w:kern w:val="44"/>
      <w:sz w:val="36"/>
      <w:szCs w:val="44"/>
    </w:rPr>
  </w:style>
  <w:style w:type="paragraph" w:styleId="4">
    <w:name w:val="heading 2"/>
    <w:basedOn w:val="1"/>
    <w:next w:val="3"/>
    <w:link w:val="29"/>
    <w:unhideWhenUsed/>
    <w:qFormat/>
    <w:uiPriority w:val="0"/>
    <w:pPr>
      <w:keepNext/>
      <w:keepLines/>
      <w:numPr>
        <w:ilvl w:val="1"/>
        <w:numId w:val="1"/>
      </w:numPr>
      <w:tabs>
        <w:tab w:val="left" w:pos="600"/>
      </w:tabs>
      <w:spacing w:before="120" w:after="120"/>
      <w:ind w:left="578" w:hanging="578"/>
      <w:jc w:val="left"/>
      <w:outlineLvl w:val="1"/>
    </w:pPr>
    <w:rPr>
      <w:rFonts w:ascii="宋体" w:hAnsi="宋体"/>
      <w:b/>
      <w:bCs/>
      <w:sz w:val="32"/>
      <w:szCs w:val="32"/>
    </w:rPr>
  </w:style>
  <w:style w:type="paragraph" w:styleId="5">
    <w:name w:val="heading 3"/>
    <w:basedOn w:val="1"/>
    <w:next w:val="3"/>
    <w:link w:val="30"/>
    <w:unhideWhenUsed/>
    <w:qFormat/>
    <w:uiPriority w:val="0"/>
    <w:pPr>
      <w:keepNext/>
      <w:keepLines/>
      <w:numPr>
        <w:ilvl w:val="2"/>
        <w:numId w:val="1"/>
      </w:numPr>
      <w:jc w:val="left"/>
      <w:outlineLvl w:val="2"/>
    </w:pPr>
    <w:rPr>
      <w:rFonts w:ascii="宋体" w:hAnsi="宋体"/>
      <w:b/>
      <w:bCs/>
      <w:sz w:val="32"/>
      <w:szCs w:val="32"/>
    </w:rPr>
  </w:style>
  <w:style w:type="paragraph" w:styleId="6">
    <w:name w:val="heading 4"/>
    <w:basedOn w:val="1"/>
    <w:next w:val="3"/>
    <w:link w:val="31"/>
    <w:unhideWhenUsed/>
    <w:qFormat/>
    <w:uiPriority w:val="0"/>
    <w:pPr>
      <w:keepNext/>
      <w:keepLines/>
      <w:numPr>
        <w:ilvl w:val="3"/>
        <w:numId w:val="1"/>
      </w:numPr>
      <w:tabs>
        <w:tab w:val="left" w:pos="60"/>
      </w:tabs>
      <w:ind w:left="862" w:hanging="862"/>
      <w:jc w:val="left"/>
      <w:outlineLvl w:val="3"/>
    </w:pPr>
    <w:rPr>
      <w:rFonts w:ascii="宋体" w:hAnsi="宋体"/>
      <w:b/>
      <w:bCs/>
      <w:sz w:val="30"/>
      <w:szCs w:val="28"/>
    </w:rPr>
  </w:style>
  <w:style w:type="paragraph" w:styleId="7">
    <w:name w:val="heading 5"/>
    <w:basedOn w:val="1"/>
    <w:next w:val="3"/>
    <w:link w:val="32"/>
    <w:unhideWhenUsed/>
    <w:qFormat/>
    <w:uiPriority w:val="0"/>
    <w:pPr>
      <w:keepNext/>
      <w:keepLines/>
      <w:numPr>
        <w:ilvl w:val="4"/>
        <w:numId w:val="1"/>
      </w:numPr>
      <w:ind w:left="1009" w:hanging="1009"/>
      <w:jc w:val="left"/>
      <w:outlineLvl w:val="4"/>
    </w:pPr>
    <w:rPr>
      <w:rFonts w:ascii="宋体" w:hAnsi="宋体"/>
      <w:b/>
      <w:bCs/>
      <w:sz w:val="28"/>
      <w:szCs w:val="28"/>
    </w:rPr>
  </w:style>
  <w:style w:type="paragraph" w:styleId="8">
    <w:name w:val="heading 6"/>
    <w:basedOn w:val="1"/>
    <w:next w:val="3"/>
    <w:link w:val="33"/>
    <w:unhideWhenUsed/>
    <w:qFormat/>
    <w:uiPriority w:val="0"/>
    <w:pPr>
      <w:keepNext/>
      <w:keepLines/>
      <w:numPr>
        <w:ilvl w:val="5"/>
        <w:numId w:val="1"/>
      </w:numPr>
      <w:ind w:left="1151" w:hanging="1151"/>
      <w:jc w:val="left"/>
      <w:outlineLvl w:val="5"/>
    </w:pPr>
    <w:rPr>
      <w:rFonts w:ascii="宋体" w:hAnsi="宋体"/>
      <w:b/>
      <w:bCs/>
      <w:szCs w:val="24"/>
    </w:rPr>
  </w:style>
  <w:style w:type="paragraph" w:styleId="9">
    <w:name w:val="heading 7"/>
    <w:basedOn w:val="1"/>
    <w:next w:val="3"/>
    <w:link w:val="34"/>
    <w:unhideWhenUsed/>
    <w:qFormat/>
    <w:uiPriority w:val="0"/>
    <w:pPr>
      <w:keepNext/>
      <w:keepLines/>
      <w:numPr>
        <w:ilvl w:val="6"/>
        <w:numId w:val="1"/>
      </w:numPr>
      <w:ind w:left="1298" w:hanging="1298"/>
      <w:jc w:val="left"/>
      <w:outlineLvl w:val="6"/>
    </w:pPr>
    <w:rPr>
      <w:rFonts w:ascii="宋体" w:hAnsi="宋体"/>
      <w:b/>
      <w:bCs/>
      <w:szCs w:val="24"/>
    </w:rPr>
  </w:style>
  <w:style w:type="paragraph" w:styleId="10">
    <w:name w:val="heading 8"/>
    <w:basedOn w:val="1"/>
    <w:next w:val="3"/>
    <w:link w:val="35"/>
    <w:unhideWhenUsed/>
    <w:qFormat/>
    <w:uiPriority w:val="0"/>
    <w:pPr>
      <w:keepNext/>
      <w:keepLines/>
      <w:numPr>
        <w:ilvl w:val="7"/>
        <w:numId w:val="1"/>
      </w:numPr>
      <w:jc w:val="left"/>
      <w:outlineLvl w:val="7"/>
    </w:pPr>
    <w:rPr>
      <w:rFonts w:ascii="宋体" w:hAnsi="宋体"/>
      <w:b/>
      <w:szCs w:val="24"/>
    </w:rPr>
  </w:style>
  <w:style w:type="paragraph" w:styleId="11">
    <w:name w:val="heading 9"/>
    <w:basedOn w:val="1"/>
    <w:next w:val="3"/>
    <w:link w:val="36"/>
    <w:unhideWhenUsed/>
    <w:qFormat/>
    <w:uiPriority w:val="0"/>
    <w:pPr>
      <w:keepNext/>
      <w:keepLines/>
      <w:numPr>
        <w:ilvl w:val="8"/>
        <w:numId w:val="1"/>
      </w:numPr>
      <w:ind w:left="1582" w:hanging="1582"/>
      <w:outlineLvl w:val="8"/>
    </w:pPr>
    <w:rPr>
      <w:rFonts w:ascii="宋体" w:hAnsi="宋体"/>
      <w:b/>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link w:val="37"/>
    <w:qFormat/>
    <w:uiPriority w:val="0"/>
    <w:pPr>
      <w:ind w:firstLine="480" w:firstLineChars="200"/>
    </w:pPr>
    <w:rPr>
      <w:rFonts w:ascii="宋体" w:hAnsi="宋体"/>
      <w:szCs w:val="20"/>
    </w:rPr>
  </w:style>
  <w:style w:type="paragraph" w:styleId="12">
    <w:name w:val="Normal Indent"/>
    <w:basedOn w:val="1"/>
    <w:semiHidden/>
    <w:unhideWhenUsed/>
    <w:qFormat/>
    <w:uiPriority w:val="99"/>
    <w:pPr>
      <w:ind w:firstLine="420" w:firstLineChars="200"/>
    </w:pPr>
  </w:style>
  <w:style w:type="paragraph" w:styleId="13">
    <w:name w:val="annotation text"/>
    <w:basedOn w:val="1"/>
    <w:link w:val="42"/>
    <w:semiHidden/>
    <w:unhideWhenUsed/>
    <w:qFormat/>
    <w:uiPriority w:val="99"/>
    <w:pPr>
      <w:jc w:val="left"/>
    </w:pPr>
  </w:style>
  <w:style w:type="paragraph" w:styleId="14">
    <w:name w:val="Body Text Indent"/>
    <w:basedOn w:val="1"/>
    <w:next w:val="12"/>
    <w:link w:val="44"/>
    <w:unhideWhenUsed/>
    <w:qFormat/>
    <w:uiPriority w:val="99"/>
    <w:pPr>
      <w:widowControl/>
      <w:spacing w:after="120" w:line="240" w:lineRule="auto"/>
      <w:ind w:left="420" w:leftChars="200"/>
      <w:jc w:val="left"/>
    </w:pPr>
    <w:rPr>
      <w:rFonts w:cs="宋体"/>
      <w:kern w:val="0"/>
    </w:rPr>
  </w:style>
  <w:style w:type="paragraph" w:styleId="15">
    <w:name w:val="toc 3"/>
    <w:basedOn w:val="1"/>
    <w:next w:val="1"/>
    <w:qFormat/>
    <w:uiPriority w:val="39"/>
    <w:pPr>
      <w:spacing w:line="300" w:lineRule="auto"/>
      <w:ind w:left="482"/>
      <w:jc w:val="left"/>
    </w:pPr>
    <w:rPr>
      <w:iCs/>
      <w:sz w:val="20"/>
      <w:szCs w:val="20"/>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0"/>
    <w:pPr>
      <w:tabs>
        <w:tab w:val="center" w:pos="4153"/>
        <w:tab w:val="right" w:pos="8306"/>
      </w:tabs>
      <w:snapToGrid w:val="0"/>
      <w:jc w:val="center"/>
    </w:pPr>
    <w:rPr>
      <w:sz w:val="18"/>
      <w:szCs w:val="18"/>
    </w:rPr>
  </w:style>
  <w:style w:type="paragraph" w:styleId="18">
    <w:name w:val="toc 1"/>
    <w:basedOn w:val="1"/>
    <w:next w:val="1"/>
    <w:qFormat/>
    <w:uiPriority w:val="39"/>
    <w:pPr>
      <w:tabs>
        <w:tab w:val="left" w:pos="720"/>
        <w:tab w:val="right" w:leader="dot" w:pos="8834"/>
      </w:tabs>
      <w:jc w:val="left"/>
    </w:pPr>
    <w:rPr>
      <w:b/>
      <w:bCs/>
      <w:sz w:val="21"/>
      <w:szCs w:val="20"/>
    </w:rPr>
  </w:style>
  <w:style w:type="paragraph" w:styleId="19">
    <w:name w:val="toc 2"/>
    <w:basedOn w:val="1"/>
    <w:next w:val="1"/>
    <w:qFormat/>
    <w:uiPriority w:val="39"/>
    <w:pPr>
      <w:spacing w:line="300" w:lineRule="auto"/>
      <w:ind w:left="238"/>
      <w:jc w:val="left"/>
    </w:pPr>
    <w:rPr>
      <w:b/>
      <w:sz w:val="21"/>
      <w:szCs w:val="20"/>
    </w:rPr>
  </w:style>
  <w:style w:type="paragraph" w:styleId="20">
    <w:name w:val="Title"/>
    <w:basedOn w:val="1"/>
    <w:next w:val="1"/>
    <w:link w:val="38"/>
    <w:qFormat/>
    <w:uiPriority w:val="0"/>
    <w:pPr>
      <w:spacing w:before="100" w:after="60"/>
      <w:jc w:val="center"/>
    </w:pPr>
    <w:rPr>
      <w:rFonts w:ascii="宋体" w:hAnsi="宋体" w:eastAsia="黑体" w:cs="Arial"/>
      <w:b/>
      <w:bCs/>
      <w:color w:val="7F7F7F" w:themeColor="background1" w:themeShade="80"/>
      <w:sz w:val="84"/>
      <w:szCs w:val="32"/>
    </w:rPr>
  </w:style>
  <w:style w:type="paragraph" w:styleId="21">
    <w:name w:val="annotation subject"/>
    <w:basedOn w:val="13"/>
    <w:next w:val="13"/>
    <w:link w:val="43"/>
    <w:semiHidden/>
    <w:unhideWhenUsed/>
    <w:qFormat/>
    <w:uiPriority w:val="99"/>
    <w:rPr>
      <w:b/>
      <w:bCs/>
    </w:rPr>
  </w:style>
  <w:style w:type="character" w:styleId="24">
    <w:name w:val="Hyperlink"/>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7"/>
    <w:qFormat/>
    <w:uiPriority w:val="99"/>
    <w:rPr>
      <w:sz w:val="18"/>
      <w:szCs w:val="18"/>
    </w:rPr>
  </w:style>
  <w:style w:type="character" w:customStyle="1" w:styleId="27">
    <w:name w:val="页脚 字符"/>
    <w:basedOn w:val="23"/>
    <w:link w:val="16"/>
    <w:qFormat/>
    <w:uiPriority w:val="99"/>
    <w:rPr>
      <w:sz w:val="18"/>
      <w:szCs w:val="18"/>
    </w:rPr>
  </w:style>
  <w:style w:type="character" w:customStyle="1" w:styleId="28">
    <w:name w:val="标题 1 字符"/>
    <w:basedOn w:val="23"/>
    <w:link w:val="2"/>
    <w:qFormat/>
    <w:uiPriority w:val="0"/>
    <w:rPr>
      <w:rFonts w:ascii="宋体" w:hAnsi="宋体" w:eastAsia="宋体" w:cs="Times New Roman"/>
      <w:b/>
      <w:bCs/>
      <w:kern w:val="44"/>
      <w:sz w:val="36"/>
      <w:szCs w:val="44"/>
      <w14:ligatures w14:val="none"/>
    </w:rPr>
  </w:style>
  <w:style w:type="character" w:customStyle="1" w:styleId="29">
    <w:name w:val="标题 2 字符"/>
    <w:basedOn w:val="23"/>
    <w:link w:val="4"/>
    <w:qFormat/>
    <w:uiPriority w:val="0"/>
    <w:rPr>
      <w:rFonts w:ascii="宋体" w:hAnsi="宋体" w:eastAsia="宋体" w:cs="Times New Roman"/>
      <w:b/>
      <w:bCs/>
      <w:sz w:val="32"/>
      <w:szCs w:val="32"/>
      <w14:ligatures w14:val="none"/>
    </w:rPr>
  </w:style>
  <w:style w:type="character" w:customStyle="1" w:styleId="30">
    <w:name w:val="标题 3 字符"/>
    <w:basedOn w:val="23"/>
    <w:link w:val="5"/>
    <w:qFormat/>
    <w:uiPriority w:val="0"/>
    <w:rPr>
      <w:rFonts w:ascii="宋体" w:hAnsi="宋体" w:eastAsia="宋体" w:cs="Times New Roman"/>
      <w:b/>
      <w:bCs/>
      <w:sz w:val="32"/>
      <w:szCs w:val="32"/>
      <w14:ligatures w14:val="none"/>
    </w:rPr>
  </w:style>
  <w:style w:type="character" w:customStyle="1" w:styleId="31">
    <w:name w:val="标题 4 字符"/>
    <w:basedOn w:val="23"/>
    <w:link w:val="6"/>
    <w:qFormat/>
    <w:uiPriority w:val="0"/>
    <w:rPr>
      <w:rFonts w:ascii="宋体" w:hAnsi="宋体" w:eastAsia="宋体" w:cs="Times New Roman"/>
      <w:b/>
      <w:bCs/>
      <w:sz w:val="30"/>
      <w:szCs w:val="28"/>
      <w14:ligatures w14:val="none"/>
    </w:rPr>
  </w:style>
  <w:style w:type="character" w:customStyle="1" w:styleId="32">
    <w:name w:val="标题 5 字符"/>
    <w:basedOn w:val="23"/>
    <w:link w:val="7"/>
    <w:qFormat/>
    <w:uiPriority w:val="0"/>
    <w:rPr>
      <w:rFonts w:ascii="宋体" w:hAnsi="宋体" w:eastAsia="宋体" w:cs="Times New Roman"/>
      <w:b/>
      <w:bCs/>
      <w:sz w:val="28"/>
      <w:szCs w:val="28"/>
      <w14:ligatures w14:val="none"/>
    </w:rPr>
  </w:style>
  <w:style w:type="character" w:customStyle="1" w:styleId="33">
    <w:name w:val="标题 6 字符"/>
    <w:basedOn w:val="23"/>
    <w:link w:val="8"/>
    <w:qFormat/>
    <w:uiPriority w:val="0"/>
    <w:rPr>
      <w:rFonts w:ascii="宋体" w:hAnsi="宋体" w:eastAsia="宋体" w:cs="Times New Roman"/>
      <w:b/>
      <w:bCs/>
      <w:sz w:val="24"/>
      <w:szCs w:val="24"/>
      <w14:ligatures w14:val="none"/>
    </w:rPr>
  </w:style>
  <w:style w:type="character" w:customStyle="1" w:styleId="34">
    <w:name w:val="标题 7 字符"/>
    <w:basedOn w:val="23"/>
    <w:link w:val="9"/>
    <w:qFormat/>
    <w:uiPriority w:val="0"/>
    <w:rPr>
      <w:rFonts w:ascii="宋体" w:hAnsi="宋体" w:eastAsia="宋体" w:cs="Times New Roman"/>
      <w:b/>
      <w:bCs/>
      <w:sz w:val="24"/>
      <w:szCs w:val="24"/>
      <w14:ligatures w14:val="none"/>
    </w:rPr>
  </w:style>
  <w:style w:type="character" w:customStyle="1" w:styleId="35">
    <w:name w:val="标题 8 字符"/>
    <w:basedOn w:val="23"/>
    <w:link w:val="10"/>
    <w:qFormat/>
    <w:uiPriority w:val="0"/>
    <w:rPr>
      <w:rFonts w:ascii="宋体" w:hAnsi="宋体" w:eastAsia="宋体" w:cs="Times New Roman"/>
      <w:b/>
      <w:sz w:val="24"/>
      <w:szCs w:val="24"/>
      <w14:ligatures w14:val="none"/>
    </w:rPr>
  </w:style>
  <w:style w:type="character" w:customStyle="1" w:styleId="36">
    <w:name w:val="标题 9 字符"/>
    <w:basedOn w:val="23"/>
    <w:link w:val="11"/>
    <w:qFormat/>
    <w:uiPriority w:val="0"/>
    <w:rPr>
      <w:rFonts w:ascii="宋体" w:hAnsi="宋体" w:eastAsia="宋体" w:cs="Times New Roman"/>
      <w:b/>
      <w:sz w:val="24"/>
      <w:szCs w:val="21"/>
      <w14:ligatures w14:val="none"/>
    </w:rPr>
  </w:style>
  <w:style w:type="character" w:customStyle="1" w:styleId="37">
    <w:name w:val="标准正文 字符"/>
    <w:link w:val="3"/>
    <w:qFormat/>
    <w:uiPriority w:val="0"/>
    <w:rPr>
      <w:rFonts w:ascii="宋体" w:hAnsi="宋体" w:eastAsia="宋体" w:cs="Times New Roman"/>
      <w:sz w:val="24"/>
      <w:szCs w:val="20"/>
      <w14:ligatures w14:val="none"/>
    </w:rPr>
  </w:style>
  <w:style w:type="character" w:customStyle="1" w:styleId="38">
    <w:name w:val="标题 字符"/>
    <w:basedOn w:val="23"/>
    <w:link w:val="20"/>
    <w:qFormat/>
    <w:uiPriority w:val="0"/>
    <w:rPr>
      <w:rFonts w:ascii="宋体" w:hAnsi="宋体" w:eastAsia="黑体" w:cs="Arial"/>
      <w:b/>
      <w:bCs/>
      <w:color w:val="7F7F7F" w:themeColor="background1" w:themeShade="80"/>
      <w:sz w:val="84"/>
      <w:szCs w:val="32"/>
      <w14:ligatures w14:val="none"/>
    </w:rPr>
  </w:style>
  <w:style w:type="paragraph" w:customStyle="1" w:styleId="39">
    <w:name w:val="表格"/>
    <w:link w:val="40"/>
    <w:qFormat/>
    <w:uiPriority w:val="0"/>
    <w:pPr>
      <w:spacing w:line="276" w:lineRule="auto"/>
    </w:pPr>
    <w:rPr>
      <w:rFonts w:ascii="Calibri" w:hAnsi="Calibri" w:eastAsia="宋体" w:cs="Times New Roman"/>
      <w:kern w:val="2"/>
      <w:sz w:val="21"/>
      <w:szCs w:val="21"/>
      <w:lang w:val="en-US" w:eastAsia="zh-CN" w:bidi="ar-SA"/>
    </w:rPr>
  </w:style>
  <w:style w:type="character" w:customStyle="1" w:styleId="40">
    <w:name w:val="表格 Char"/>
    <w:link w:val="39"/>
    <w:qFormat/>
    <w:uiPriority w:val="0"/>
    <w:rPr>
      <w:rFonts w:ascii="Calibri" w:hAnsi="Calibri" w:eastAsia="宋体" w:cs="Times New Roman"/>
      <w:szCs w:val="21"/>
      <w14:ligatures w14:val="none"/>
    </w:rPr>
  </w:style>
  <w:style w:type="paragraph" w:styleId="41">
    <w:name w:val="List Paragraph"/>
    <w:basedOn w:val="1"/>
    <w:qFormat/>
    <w:uiPriority w:val="0"/>
    <w:pPr>
      <w:tabs>
        <w:tab w:val="left" w:pos="993"/>
      </w:tabs>
      <w:jc w:val="center"/>
    </w:pPr>
    <w:rPr>
      <w:rFonts w:asciiTheme="minorHAnsi" w:hAnsiTheme="minorHAnsi" w:eastAsiaTheme="minorEastAsia" w:cstheme="minorBidi"/>
      <w:sz w:val="21"/>
    </w:rPr>
  </w:style>
  <w:style w:type="character" w:customStyle="1" w:styleId="42">
    <w:name w:val="批注文字 字符"/>
    <w:basedOn w:val="23"/>
    <w:link w:val="13"/>
    <w:semiHidden/>
    <w:qFormat/>
    <w:uiPriority w:val="99"/>
    <w:rPr>
      <w:rFonts w:ascii="Calibri" w:hAnsi="Calibri" w:eastAsia="宋体" w:cs="Times New Roman"/>
      <w:sz w:val="24"/>
      <w14:ligatures w14:val="none"/>
    </w:rPr>
  </w:style>
  <w:style w:type="character" w:customStyle="1" w:styleId="43">
    <w:name w:val="批注主题 字符"/>
    <w:basedOn w:val="42"/>
    <w:link w:val="21"/>
    <w:semiHidden/>
    <w:qFormat/>
    <w:uiPriority w:val="99"/>
    <w:rPr>
      <w:rFonts w:ascii="Calibri" w:hAnsi="Calibri" w:eastAsia="宋体" w:cs="Times New Roman"/>
      <w:b/>
      <w:bCs/>
      <w:sz w:val="24"/>
      <w14:ligatures w14:val="none"/>
    </w:rPr>
  </w:style>
  <w:style w:type="character" w:customStyle="1" w:styleId="44">
    <w:name w:val="正文文本缩进 字符"/>
    <w:basedOn w:val="23"/>
    <w:link w:val="14"/>
    <w:qFormat/>
    <w:uiPriority w:val="99"/>
    <w:rPr>
      <w:rFonts w:ascii="Calibri" w:hAnsi="Calibri" w:eastAsia="宋体" w:cs="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573EB-6821-4BBB-A840-BA9E559A8643}">
  <ds:schemaRefs/>
</ds:datastoreItem>
</file>

<file path=docProps/app.xml><?xml version="1.0" encoding="utf-8"?>
<Properties xmlns="http://schemas.openxmlformats.org/officeDocument/2006/extended-properties" xmlns:vt="http://schemas.openxmlformats.org/officeDocument/2006/docPropsVTypes">
  <Template>Normal</Template>
  <Pages>1</Pages>
  <Words>520</Words>
  <Characters>2965</Characters>
  <Lines>24</Lines>
  <Paragraphs>6</Paragraphs>
  <TotalTime>18</TotalTime>
  <ScaleCrop>false</ScaleCrop>
  <LinksUpToDate>false</LinksUpToDate>
  <CharactersWithSpaces>3479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2024-03-04T01:51:00Z</dcterms:created>
  <dc:creator>游啟炜</dc:creator>
  <cp:lastModifiedBy>Administrator</cp:lastModifiedBy>
  <dcterms:modified xsi:type="dcterms:W3CDTF">2024-03-20T10:25:30Z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912EF2E7C6864AF4A57005D80A504D15_12</vt:lpwstr>
  </property>
</Properties>
</file>