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_GBK" w:hAnsi="仿宋" w:eastAsia="方正小标宋_GBK" w:cs="Times New Roman"/>
          <w:color w:val="000000"/>
          <w:sz w:val="36"/>
          <w:szCs w:val="36"/>
        </w:rPr>
      </w:pPr>
      <w:r>
        <w:rPr>
          <w:rFonts w:hint="eastAsia" w:ascii="方正小标宋_GBK" w:hAnsi="仿宋" w:eastAsia="方正小标宋_GBK" w:cs="Times New Roman"/>
          <w:color w:val="000000"/>
          <w:sz w:val="36"/>
          <w:szCs w:val="36"/>
        </w:rPr>
        <w:t>克拉玛依市独山子人民医院激光治疗系统治疗手柄</w:t>
      </w:r>
    </w:p>
    <w:p>
      <w:pPr>
        <w:snapToGrid w:val="0"/>
        <w:jc w:val="center"/>
        <w:rPr>
          <w:rFonts w:ascii="方正小标宋_GBK" w:eastAsia="方正小标宋_GBK"/>
          <w:sz w:val="36"/>
          <w:szCs w:val="36"/>
        </w:rPr>
      </w:pPr>
      <w:r>
        <w:rPr>
          <w:rFonts w:hint="eastAsia" w:ascii="方正小标宋_GBK" w:hAnsi="仿宋" w:eastAsia="方正小标宋_GBK" w:cs="Times New Roman"/>
          <w:color w:val="000000"/>
          <w:sz w:val="36"/>
          <w:szCs w:val="36"/>
        </w:rPr>
        <w:t>项目</w:t>
      </w:r>
      <w:r>
        <w:rPr>
          <w:rFonts w:hint="eastAsia" w:ascii="方正小标宋_GBK" w:eastAsia="方正小标宋_GBK"/>
          <w:sz w:val="36"/>
          <w:szCs w:val="36"/>
        </w:rPr>
        <w:t>采购需求</w:t>
      </w:r>
    </w:p>
    <w:p>
      <w:pPr>
        <w:pStyle w:val="11"/>
        <w:numPr>
          <w:ilvl w:val="0"/>
          <w:numId w:val="1"/>
        </w:numPr>
        <w:spacing w:line="460" w:lineRule="exact"/>
        <w:ind w:firstLineChars="0"/>
        <w:rPr>
          <w:rFonts w:ascii="仿宋_GB2312" w:hAnsi="仿宋" w:eastAsia="仿宋_GB2312" w:cs="Times New Roman"/>
          <w:b/>
          <w:sz w:val="32"/>
          <w:szCs w:val="32"/>
        </w:rPr>
      </w:pPr>
      <w:r>
        <w:rPr>
          <w:rFonts w:hint="eastAsia" w:ascii="仿宋_GB2312" w:hAnsi="仿宋" w:eastAsia="仿宋_GB2312" w:cs="Times New Roman"/>
          <w:b/>
          <w:sz w:val="32"/>
          <w:szCs w:val="32"/>
        </w:rPr>
        <w:t>投标人资格条件</w:t>
      </w:r>
    </w:p>
    <w:p>
      <w:pPr>
        <w:spacing w:line="4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（一）</w:t>
      </w:r>
      <w:r>
        <w:rPr>
          <w:rFonts w:hint="eastAsia" w:ascii="仿宋_GB2312" w:hAnsi="仿宋" w:eastAsia="仿宋_GB2312"/>
          <w:sz w:val="32"/>
          <w:szCs w:val="32"/>
        </w:rPr>
        <w:t>一般资格条件</w:t>
      </w:r>
    </w:p>
    <w:p>
      <w:pPr>
        <w:numPr>
          <w:ilvl w:val="0"/>
          <w:numId w:val="2"/>
        </w:numPr>
        <w:tabs>
          <w:tab w:val="left" w:pos="1134"/>
        </w:tabs>
        <w:snapToGrid w:val="0"/>
        <w:spacing w:line="460" w:lineRule="exact"/>
        <w:ind w:left="0" w:firstLine="709"/>
        <w:rPr>
          <w:rFonts w:ascii="仿宋_GB2312" w:hAnsi="仿宋" w:eastAsia="仿宋_GB2312" w:cs="Times New Roman"/>
          <w:sz w:val="32"/>
          <w:szCs w:val="32"/>
        </w:rPr>
      </w:pPr>
      <w:r>
        <w:rPr>
          <w:rFonts w:hint="eastAsia" w:ascii="仿宋_GB2312" w:hAnsi="仿宋" w:eastAsia="仿宋_GB2312" w:cs="Times New Roman"/>
          <w:sz w:val="32"/>
          <w:szCs w:val="32"/>
        </w:rPr>
        <w:t>具有独立承担民事责任的能力；</w:t>
      </w:r>
    </w:p>
    <w:p>
      <w:pPr>
        <w:numPr>
          <w:ilvl w:val="0"/>
          <w:numId w:val="2"/>
        </w:numPr>
        <w:tabs>
          <w:tab w:val="left" w:pos="1134"/>
        </w:tabs>
        <w:snapToGrid w:val="0"/>
        <w:spacing w:line="460" w:lineRule="exact"/>
        <w:ind w:left="0" w:firstLine="709"/>
        <w:rPr>
          <w:rFonts w:ascii="仿宋_GB2312" w:hAnsi="仿宋" w:eastAsia="仿宋_GB2312" w:cs="Times New Roman"/>
          <w:sz w:val="32"/>
          <w:szCs w:val="32"/>
        </w:rPr>
      </w:pPr>
      <w:r>
        <w:rPr>
          <w:rFonts w:hint="eastAsia" w:ascii="仿宋_GB2312" w:hAnsi="仿宋" w:eastAsia="仿宋_GB2312" w:cs="Times New Roman"/>
          <w:sz w:val="32"/>
          <w:szCs w:val="32"/>
        </w:rPr>
        <w:t>具有良好的商业信誉和健全的财务会计制度；</w:t>
      </w:r>
    </w:p>
    <w:p>
      <w:pPr>
        <w:tabs>
          <w:tab w:val="left" w:pos="1134"/>
        </w:tabs>
        <w:snapToGrid w:val="0"/>
        <w:spacing w:line="460" w:lineRule="exact"/>
        <w:ind w:left="709"/>
        <w:rPr>
          <w:rFonts w:ascii="仿宋_GB2312" w:hAnsi="仿宋" w:eastAsia="仿宋_GB2312" w:cs="Times New Roman"/>
          <w:sz w:val="32"/>
          <w:szCs w:val="32"/>
        </w:rPr>
      </w:pPr>
      <w:r>
        <w:rPr>
          <w:rFonts w:hint="eastAsia" w:ascii="仿宋" w:hAnsi="仿宋" w:eastAsia="仿宋"/>
          <w:sz w:val="24"/>
          <w:szCs w:val="24"/>
        </w:rPr>
        <w:t>（信用查询：</w:t>
      </w:r>
      <w:r>
        <w:rPr>
          <w:rFonts w:ascii="仿宋" w:hAnsi="仿宋" w:eastAsia="仿宋"/>
          <w:sz w:val="24"/>
          <w:szCs w:val="24"/>
        </w:rPr>
        <w:t>按照《财政部关于在政府采购活动中查询及使用信用记录有关问题的通知》（财库〔2016〕125号）的要求，根据开标当日“信用中国”（</w:t>
      </w:r>
      <w:r>
        <w:rPr>
          <w:rFonts w:ascii="仿宋" w:hAnsi="仿宋" w:eastAsia="仿宋"/>
          <w:sz w:val="24"/>
          <w:szCs w:val="24"/>
        </w:rPr>
        <w:drawing>
          <wp:inline distT="0" distB="0" distL="0" distR="0">
            <wp:extent cx="190500" cy="142875"/>
            <wp:effectExtent l="19050" t="0" r="0" b="0"/>
            <wp:docPr id="1" name="图片 1" descr="C:\DOCUME~1\ADMINI~1\LOCALS~1\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1\ADMINI~1\LOCALS~1\Temp\%W@GJ$ACOF(TYDYECOKVDYB.png"/>
                    <pic:cNvPicPr>
                      <a:picLocks noChangeAspect="1" noChangeArrowheads="1"/>
                    </pic:cNvPicPr>
                  </pic:nvPicPr>
                  <pic:blipFill>
                    <a:blip r:embed="rId4"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仿宋" w:hAnsi="仿宋" w:eastAsia="仿宋"/>
          <w:sz w:val="24"/>
          <w:szCs w:val="24"/>
        </w:rPr>
        <w:t>www.creditchina.gov.cn）、</w:t>
      </w:r>
      <w:r>
        <w:rPr>
          <w:rFonts w:hint="eastAsia" w:ascii="仿宋" w:hAnsi="仿宋" w:eastAsia="仿宋"/>
          <w:sz w:val="24"/>
          <w:szCs w:val="24"/>
        </w:rPr>
        <w:t>“</w:t>
      </w:r>
      <w:r>
        <w:rPr>
          <w:rFonts w:ascii="仿宋" w:hAnsi="仿宋" w:eastAsia="仿宋"/>
          <w:sz w:val="24"/>
          <w:szCs w:val="24"/>
        </w:rPr>
        <w:t>中国政府采购网</w:t>
      </w:r>
      <w:r>
        <w:rPr>
          <w:rFonts w:hint="eastAsia" w:ascii="仿宋" w:hAnsi="仿宋" w:eastAsia="仿宋"/>
          <w:sz w:val="24"/>
          <w:szCs w:val="24"/>
        </w:rPr>
        <w:t>”</w:t>
      </w:r>
      <w:r>
        <w:rPr>
          <w:rFonts w:ascii="仿宋" w:hAnsi="仿宋" w:eastAsia="仿宋"/>
          <w:sz w:val="24"/>
          <w:szCs w:val="24"/>
        </w:rPr>
        <w:t>（</w:t>
      </w:r>
      <w:r>
        <w:rPr>
          <w:rFonts w:ascii="仿宋" w:hAnsi="仿宋" w:eastAsia="仿宋"/>
          <w:sz w:val="24"/>
          <w:szCs w:val="24"/>
        </w:rPr>
        <w:drawing>
          <wp:inline distT="0" distB="0" distL="0" distR="0">
            <wp:extent cx="190500" cy="142875"/>
            <wp:effectExtent l="19050" t="0" r="0" b="0"/>
            <wp:docPr id="2" name="图片 2" descr="C:\DOCUME~1\ADMINI~1\LOCALS~1\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DOCUME~1\ADMINI~1\LOCALS~1\Temp\%W@GJ$ACOF(TYDYECOKVDYB.png"/>
                    <pic:cNvPicPr>
                      <a:picLocks noChangeAspect="1" noChangeArrowheads="1"/>
                    </pic:cNvPicPr>
                  </pic:nvPicPr>
                  <pic:blipFill>
                    <a:blip r:embed="rId4"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仿宋" w:hAnsi="仿宋" w:eastAsia="仿宋"/>
          <w:sz w:val="24"/>
          <w:szCs w:val="24"/>
        </w:rPr>
        <w:t>www.ccgp.gov.cn）</w:t>
      </w:r>
      <w:r>
        <w:rPr>
          <w:rFonts w:hint="eastAsia" w:ascii="仿宋" w:hAnsi="仿宋" w:eastAsia="仿宋"/>
          <w:sz w:val="24"/>
          <w:szCs w:val="24"/>
        </w:rPr>
        <w:t>、“中国执行信息公开网”（www.</w:t>
      </w:r>
      <w:r>
        <w:rPr>
          <w:rFonts w:ascii="仿宋" w:hAnsi="仿宋" w:eastAsia="仿宋"/>
          <w:sz w:val="24"/>
          <w:szCs w:val="24"/>
        </w:rPr>
        <w:t>shixin.court.gov.cn</w:t>
      </w:r>
      <w:r>
        <w:rPr>
          <w:rFonts w:hint="eastAsia" w:ascii="仿宋" w:hAnsi="仿宋" w:eastAsia="仿宋"/>
          <w:sz w:val="24"/>
          <w:szCs w:val="24"/>
        </w:rPr>
        <w:t>）、“克拉玛依诚信网”（</w:t>
      </w:r>
      <w:r>
        <w:rPr>
          <w:rFonts w:ascii="仿宋" w:hAnsi="仿宋" w:eastAsia="仿宋"/>
          <w:sz w:val="24"/>
          <w:szCs w:val="24"/>
        </w:rPr>
        <w:t>http://cxw.klmy.gov.cn/Pages/default.aspx</w:t>
      </w:r>
      <w:r>
        <w:rPr>
          <w:rFonts w:hint="eastAsia" w:ascii="仿宋" w:hAnsi="仿宋" w:eastAsia="仿宋"/>
          <w:sz w:val="24"/>
          <w:szCs w:val="24"/>
        </w:rPr>
        <w:t>）</w:t>
      </w:r>
      <w:r>
        <w:rPr>
          <w:rFonts w:ascii="仿宋" w:hAnsi="仿宋" w:eastAsia="仿宋"/>
          <w:sz w:val="24"/>
          <w:szCs w:val="24"/>
        </w:rPr>
        <w:t>的</w:t>
      </w:r>
      <w:r>
        <w:rPr>
          <w:rFonts w:hint="eastAsia" w:ascii="仿宋" w:hAnsi="仿宋" w:eastAsia="仿宋"/>
          <w:sz w:val="24"/>
          <w:szCs w:val="24"/>
        </w:rPr>
        <w:t>查询结果</w:t>
      </w:r>
      <w:r>
        <w:rPr>
          <w:rFonts w:ascii="仿宋" w:hAnsi="仿宋" w:eastAsia="仿宋"/>
          <w:sz w:val="24"/>
          <w:szCs w:val="24"/>
        </w:rPr>
        <w:t>，对列入失信被执行人、重大税收违法案件当事人名单、政府采购严重违法失信行为记录名单及其他不符合《中华人民共和国政府采购法》第二十二条规定条件的供应商，拒绝</w:t>
      </w:r>
      <w:r>
        <w:rPr>
          <w:rFonts w:hint="eastAsia" w:ascii="仿宋" w:hAnsi="仿宋" w:eastAsia="仿宋"/>
          <w:sz w:val="24"/>
          <w:szCs w:val="24"/>
        </w:rPr>
        <w:t>其</w:t>
      </w:r>
      <w:r>
        <w:rPr>
          <w:rFonts w:ascii="仿宋" w:hAnsi="仿宋" w:eastAsia="仿宋"/>
          <w:sz w:val="24"/>
          <w:szCs w:val="24"/>
        </w:rPr>
        <w:t>参与政府采购活动。</w:t>
      </w:r>
      <w:r>
        <w:rPr>
          <w:rFonts w:hint="eastAsia" w:ascii="仿宋" w:hAnsi="仿宋" w:eastAsia="仿宋"/>
          <w:sz w:val="24"/>
          <w:szCs w:val="24"/>
        </w:rPr>
        <w:t>）</w:t>
      </w:r>
    </w:p>
    <w:p>
      <w:pPr>
        <w:numPr>
          <w:ilvl w:val="0"/>
          <w:numId w:val="2"/>
        </w:numPr>
        <w:tabs>
          <w:tab w:val="left" w:pos="1134"/>
        </w:tabs>
        <w:snapToGrid w:val="0"/>
        <w:spacing w:line="460" w:lineRule="exact"/>
        <w:ind w:left="0" w:firstLine="709"/>
        <w:rPr>
          <w:rFonts w:ascii="仿宋_GB2312" w:hAnsi="仿宋" w:eastAsia="仿宋_GB2312" w:cs="Times New Roman"/>
          <w:sz w:val="32"/>
          <w:szCs w:val="32"/>
        </w:rPr>
      </w:pPr>
      <w:r>
        <w:rPr>
          <w:rFonts w:hint="eastAsia" w:ascii="仿宋_GB2312" w:hAnsi="仿宋" w:eastAsia="仿宋_GB2312" w:cs="Times New Roman"/>
          <w:sz w:val="32"/>
          <w:szCs w:val="32"/>
        </w:rPr>
        <w:t>具有履行合同所必需的设备和专业技术能力；</w:t>
      </w:r>
    </w:p>
    <w:p>
      <w:pPr>
        <w:numPr>
          <w:ilvl w:val="0"/>
          <w:numId w:val="2"/>
        </w:numPr>
        <w:tabs>
          <w:tab w:val="left" w:pos="1134"/>
        </w:tabs>
        <w:snapToGrid w:val="0"/>
        <w:spacing w:line="460" w:lineRule="exact"/>
        <w:ind w:left="0" w:firstLine="709"/>
        <w:rPr>
          <w:rFonts w:ascii="仿宋_GB2312" w:hAnsi="仿宋" w:eastAsia="仿宋_GB2312" w:cs="Times New Roman"/>
          <w:sz w:val="32"/>
          <w:szCs w:val="32"/>
        </w:rPr>
      </w:pPr>
      <w:r>
        <w:rPr>
          <w:rFonts w:hint="eastAsia" w:ascii="仿宋_GB2312" w:hAnsi="仿宋" w:eastAsia="仿宋_GB2312" w:cs="Times New Roman"/>
          <w:sz w:val="32"/>
          <w:szCs w:val="32"/>
        </w:rPr>
        <w:t>有依法缴纳税收和社会保障资金的良好记录；</w:t>
      </w:r>
    </w:p>
    <w:p>
      <w:pPr>
        <w:numPr>
          <w:ilvl w:val="0"/>
          <w:numId w:val="2"/>
        </w:numPr>
        <w:tabs>
          <w:tab w:val="left" w:pos="1134"/>
        </w:tabs>
        <w:snapToGrid w:val="0"/>
        <w:spacing w:line="460" w:lineRule="exact"/>
        <w:ind w:left="0" w:firstLine="709"/>
        <w:rPr>
          <w:rFonts w:ascii="仿宋_GB2312" w:hAnsi="仿宋" w:eastAsia="仿宋_GB2312" w:cs="Times New Roman"/>
          <w:sz w:val="32"/>
          <w:szCs w:val="32"/>
        </w:rPr>
      </w:pPr>
      <w:r>
        <w:rPr>
          <w:rFonts w:hint="eastAsia" w:ascii="仿宋_GB2312" w:hAnsi="仿宋" w:eastAsia="仿宋_GB2312" w:cs="Times New Roman"/>
          <w:sz w:val="32"/>
          <w:szCs w:val="32"/>
        </w:rPr>
        <w:t>参加政府采购活动前三年内，未因违法经营受到刑事处罚或者责令停产停业、吊销许可证或者执照、较大数额罚款等行政处罚。</w:t>
      </w:r>
      <w:r>
        <w:rPr>
          <w:rFonts w:ascii="仿宋_GB2312" w:hAnsi="仿宋" w:eastAsia="仿宋_GB2312" w:cs="Times New Roman"/>
          <w:sz w:val="32"/>
          <w:szCs w:val="32"/>
        </w:rPr>
        <w:tab/>
      </w:r>
    </w:p>
    <w:p>
      <w:pPr>
        <w:tabs>
          <w:tab w:val="left" w:pos="1134"/>
        </w:tabs>
        <w:snapToGrid w:val="0"/>
        <w:spacing w:line="460" w:lineRule="exact"/>
        <w:ind w:left="480"/>
        <w:rPr>
          <w:rFonts w:ascii="仿宋_GB2312" w:hAnsi="仿宋" w:eastAsia="仿宋_GB2312"/>
          <w:sz w:val="32"/>
          <w:szCs w:val="32"/>
        </w:rPr>
      </w:pPr>
      <w:r>
        <w:rPr>
          <w:rFonts w:hint="eastAsia" w:ascii="仿宋_GB2312" w:hAnsi="仿宋" w:eastAsia="仿宋_GB2312"/>
          <w:sz w:val="32"/>
          <w:szCs w:val="32"/>
        </w:rPr>
        <w:t>（二）特定资格条件</w:t>
      </w:r>
    </w:p>
    <w:p>
      <w:pPr>
        <w:tabs>
          <w:tab w:val="left" w:pos="1134"/>
        </w:tabs>
        <w:snapToGrid w:val="0"/>
        <w:spacing w:line="460" w:lineRule="exact"/>
        <w:ind w:left="1" w:hanging="1"/>
        <w:rPr>
          <w:rFonts w:ascii="仿宋_GB2312" w:hAnsi="仿宋" w:eastAsia="仿宋_GB2312"/>
          <w:sz w:val="32"/>
          <w:szCs w:val="32"/>
        </w:rPr>
      </w:pPr>
      <w:r>
        <w:rPr>
          <w:rFonts w:hint="eastAsia" w:ascii="仿宋_GB2312" w:hAnsi="仿宋" w:eastAsia="仿宋_GB2312"/>
          <w:sz w:val="32"/>
          <w:szCs w:val="32"/>
        </w:rPr>
        <w:t xml:space="preserve">  所投产品属于第二类器械的，还需提供有效的行政主管部门颁发的器械经营备案凭证（或器械生产许可证或器械经营许可证，经营范围需包含本次项目的内容）；所投产品属于第三类器械的，还需提供有效的行政主管部门颁发的器械生产许可证（或器械经营许可证，经营范围需包含本次项目的内容）。</w:t>
      </w:r>
    </w:p>
    <w:p>
      <w:pPr>
        <w:spacing w:line="4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（三）联合体投标</w:t>
      </w:r>
    </w:p>
    <w:p>
      <w:pPr>
        <w:spacing w:line="4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本项目不接受联合体投标</w:t>
      </w:r>
    </w:p>
    <w:p>
      <w:pPr>
        <w:pStyle w:val="11"/>
        <w:numPr>
          <w:ilvl w:val="0"/>
          <w:numId w:val="1"/>
        </w:numPr>
        <w:spacing w:line="460" w:lineRule="exact"/>
        <w:ind w:firstLineChars="0"/>
        <w:rPr>
          <w:rFonts w:ascii="仿宋_GB2312" w:hAnsi="仿宋" w:eastAsia="仿宋_GB2312" w:cs="Times New Roman"/>
          <w:b/>
          <w:sz w:val="32"/>
          <w:szCs w:val="32"/>
        </w:rPr>
      </w:pPr>
      <w:r>
        <w:rPr>
          <w:rFonts w:hint="eastAsia" w:ascii="仿宋_GB2312" w:hAnsi="仿宋" w:eastAsia="仿宋_GB2312" w:cs="Times New Roman"/>
          <w:b/>
          <w:sz w:val="32"/>
          <w:szCs w:val="32"/>
        </w:rPr>
        <w:t>项目技术规格、数量及质量要求</w:t>
      </w:r>
    </w:p>
    <w:p>
      <w:pPr>
        <w:spacing w:line="460" w:lineRule="exact"/>
        <w:ind w:left="640"/>
        <w:rPr>
          <w:rFonts w:ascii="仿宋_GB2312" w:hAnsi="仿宋" w:eastAsia="仿宋_GB2312" w:cs="Times New Roman"/>
          <w:color w:val="000000"/>
          <w:sz w:val="32"/>
          <w:szCs w:val="32"/>
        </w:rPr>
      </w:pPr>
      <w:bookmarkStart w:id="0" w:name="_Toc438456195"/>
      <w:r>
        <w:rPr>
          <w:rFonts w:hint="eastAsia" w:ascii="仿宋_GB2312" w:hAnsi="仿宋" w:eastAsia="仿宋_GB2312" w:cs="Times New Roman"/>
          <w:color w:val="000000"/>
          <w:sz w:val="32"/>
          <w:szCs w:val="32"/>
        </w:rPr>
        <w:t>（一）采购项目一览表</w:t>
      </w:r>
      <w:bookmarkEnd w:id="0"/>
    </w:p>
    <w:tbl>
      <w:tblPr>
        <w:tblStyle w:val="6"/>
        <w:tblW w:w="8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835"/>
        <w:gridCol w:w="1134"/>
        <w:gridCol w:w="850"/>
        <w:gridCol w:w="2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51" w:type="dxa"/>
            <w:vAlign w:val="center"/>
          </w:tcPr>
          <w:p>
            <w:pPr>
              <w:overflowPunct w:val="0"/>
              <w:spacing w:line="500" w:lineRule="exact"/>
              <w:jc w:val="center"/>
              <w:rPr>
                <w:rFonts w:ascii="仿宋" w:hAnsi="仿宋" w:eastAsia="仿宋"/>
                <w:b/>
              </w:rPr>
            </w:pPr>
            <w:r>
              <w:rPr>
                <w:rFonts w:hint="eastAsia" w:ascii="仿宋" w:hAnsi="仿宋" w:eastAsia="仿宋"/>
                <w:b/>
              </w:rPr>
              <w:t>序号</w:t>
            </w:r>
          </w:p>
        </w:tc>
        <w:tc>
          <w:tcPr>
            <w:tcW w:w="2835" w:type="dxa"/>
            <w:vAlign w:val="center"/>
          </w:tcPr>
          <w:p>
            <w:pPr>
              <w:overflowPunct w:val="0"/>
              <w:spacing w:line="500" w:lineRule="exact"/>
              <w:jc w:val="center"/>
              <w:rPr>
                <w:rFonts w:ascii="仿宋" w:hAnsi="仿宋" w:eastAsia="仿宋"/>
                <w:b/>
              </w:rPr>
            </w:pPr>
            <w:r>
              <w:rPr>
                <w:rFonts w:hint="eastAsia" w:ascii="仿宋" w:hAnsi="仿宋" w:eastAsia="仿宋"/>
                <w:b/>
              </w:rPr>
              <w:t>设备名称</w:t>
            </w:r>
          </w:p>
        </w:tc>
        <w:tc>
          <w:tcPr>
            <w:tcW w:w="1134" w:type="dxa"/>
            <w:vAlign w:val="center"/>
          </w:tcPr>
          <w:p>
            <w:pPr>
              <w:overflowPunct w:val="0"/>
              <w:spacing w:line="500" w:lineRule="exact"/>
              <w:jc w:val="center"/>
              <w:rPr>
                <w:rFonts w:ascii="仿宋" w:hAnsi="仿宋" w:eastAsia="仿宋"/>
                <w:b/>
              </w:rPr>
            </w:pPr>
            <w:r>
              <w:rPr>
                <w:rFonts w:hint="eastAsia" w:ascii="仿宋" w:hAnsi="仿宋" w:eastAsia="仿宋"/>
                <w:b/>
              </w:rPr>
              <w:t>单位</w:t>
            </w:r>
          </w:p>
        </w:tc>
        <w:tc>
          <w:tcPr>
            <w:tcW w:w="850" w:type="dxa"/>
            <w:vAlign w:val="center"/>
          </w:tcPr>
          <w:p>
            <w:pPr>
              <w:overflowPunct w:val="0"/>
              <w:spacing w:line="500" w:lineRule="exact"/>
              <w:jc w:val="center"/>
              <w:rPr>
                <w:rFonts w:ascii="仿宋" w:hAnsi="仿宋" w:eastAsia="仿宋"/>
                <w:b/>
              </w:rPr>
            </w:pPr>
            <w:r>
              <w:rPr>
                <w:rFonts w:hint="eastAsia" w:ascii="仿宋" w:hAnsi="仿宋" w:eastAsia="仿宋"/>
                <w:b/>
              </w:rPr>
              <w:t>数量</w:t>
            </w:r>
          </w:p>
        </w:tc>
        <w:tc>
          <w:tcPr>
            <w:tcW w:w="2403" w:type="dxa"/>
            <w:vAlign w:val="center"/>
          </w:tcPr>
          <w:p>
            <w:pPr>
              <w:overflowPunct w:val="0"/>
              <w:spacing w:line="500" w:lineRule="exact"/>
              <w:jc w:val="center"/>
              <w:rPr>
                <w:rFonts w:ascii="仿宋" w:hAnsi="仿宋" w:eastAsia="仿宋"/>
                <w:b/>
              </w:rPr>
            </w:pPr>
            <w:r>
              <w:rPr>
                <w:rFonts w:hint="eastAsia" w:ascii="仿宋" w:hAnsi="仿宋" w:eastAsia="仿宋"/>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51" w:type="dxa"/>
            <w:vAlign w:val="center"/>
          </w:tcPr>
          <w:p>
            <w:pPr>
              <w:overflowPunct w:val="0"/>
              <w:spacing w:line="500" w:lineRule="exact"/>
              <w:jc w:val="center"/>
              <w:rPr>
                <w:rFonts w:asciiTheme="minorEastAsia" w:hAnsiTheme="minorEastAsia"/>
                <w:szCs w:val="21"/>
              </w:rPr>
            </w:pPr>
            <w:r>
              <w:rPr>
                <w:rFonts w:hint="eastAsia" w:asciiTheme="minorEastAsia" w:hAnsiTheme="minorEastAsia"/>
                <w:szCs w:val="21"/>
              </w:rPr>
              <w:t>1</w:t>
            </w:r>
          </w:p>
        </w:tc>
        <w:tc>
          <w:tcPr>
            <w:tcW w:w="2835" w:type="dxa"/>
            <w:vAlign w:val="center"/>
          </w:tcPr>
          <w:p>
            <w:pPr>
              <w:overflowPunct w:val="0"/>
              <w:spacing w:line="500" w:lineRule="exact"/>
              <w:jc w:val="center"/>
              <w:rPr>
                <w:rFonts w:asciiTheme="minorEastAsia" w:hAnsiTheme="minorEastAsia"/>
                <w:szCs w:val="21"/>
              </w:rPr>
            </w:pPr>
            <w:r>
              <w:rPr>
                <w:rFonts w:hint="eastAsia" w:asciiTheme="minorEastAsia" w:hAnsiTheme="minorEastAsia"/>
                <w:szCs w:val="21"/>
              </w:rPr>
              <w:t>激光治疗系统治疗手柄</w:t>
            </w:r>
          </w:p>
        </w:tc>
        <w:tc>
          <w:tcPr>
            <w:tcW w:w="1134" w:type="dxa"/>
            <w:vAlign w:val="center"/>
          </w:tcPr>
          <w:p>
            <w:pPr>
              <w:overflowPunct w:val="0"/>
              <w:spacing w:line="500" w:lineRule="exact"/>
              <w:ind w:firstLine="210" w:firstLineChars="100"/>
              <w:jc w:val="center"/>
              <w:rPr>
                <w:rFonts w:asciiTheme="minorEastAsia" w:hAnsiTheme="minorEastAsia"/>
                <w:szCs w:val="21"/>
              </w:rPr>
            </w:pPr>
            <w:r>
              <w:rPr>
                <w:rFonts w:hint="eastAsia" w:asciiTheme="minorEastAsia" w:hAnsiTheme="minorEastAsia"/>
                <w:szCs w:val="21"/>
              </w:rPr>
              <w:t>把</w:t>
            </w:r>
          </w:p>
        </w:tc>
        <w:tc>
          <w:tcPr>
            <w:tcW w:w="850" w:type="dxa"/>
            <w:vAlign w:val="center"/>
          </w:tcPr>
          <w:p>
            <w:pPr>
              <w:overflowPunct w:val="0"/>
              <w:spacing w:line="500" w:lineRule="exact"/>
              <w:jc w:val="center"/>
              <w:rPr>
                <w:rFonts w:asciiTheme="minorEastAsia" w:hAnsiTheme="minorEastAsia"/>
                <w:szCs w:val="21"/>
              </w:rPr>
            </w:pPr>
            <w:r>
              <w:rPr>
                <w:rFonts w:hint="eastAsia" w:asciiTheme="minorEastAsia" w:hAnsiTheme="minorEastAsia"/>
                <w:szCs w:val="21"/>
              </w:rPr>
              <w:t>1</w:t>
            </w:r>
          </w:p>
        </w:tc>
        <w:tc>
          <w:tcPr>
            <w:tcW w:w="2403" w:type="dxa"/>
            <w:vAlign w:val="center"/>
          </w:tcPr>
          <w:p>
            <w:pPr>
              <w:overflowPunct w:val="0"/>
              <w:spacing w:line="500" w:lineRule="exact"/>
              <w:jc w:val="center"/>
              <w:rPr>
                <w:rFonts w:asciiTheme="minorEastAsia" w:hAnsiTheme="minorEastAsia"/>
                <w:szCs w:val="21"/>
              </w:rPr>
            </w:pPr>
            <w:r>
              <w:rPr>
                <w:rFonts w:hint="eastAsia" w:asciiTheme="minorEastAsia" w:hAnsiTheme="minorEastAsia"/>
                <w:szCs w:val="21"/>
              </w:rPr>
              <w:t>面向中小微企业</w:t>
            </w:r>
          </w:p>
        </w:tc>
      </w:tr>
    </w:tbl>
    <w:p>
      <w:pPr>
        <w:spacing w:line="4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（二）是否接受进口产品投标</w:t>
      </w:r>
    </w:p>
    <w:p>
      <w:pPr>
        <w:spacing w:line="4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本项目接受进口产品投标。</w:t>
      </w:r>
    </w:p>
    <w:p>
      <w:pPr>
        <w:spacing w:line="4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（三）项目基本情况和采购标的需实现的功能或目标</w:t>
      </w:r>
    </w:p>
    <w:p>
      <w:pPr>
        <w:snapToGrid w:val="0"/>
        <w:spacing w:line="460" w:lineRule="exact"/>
        <w:ind w:left="281" w:leftChars="134" w:firstLine="480" w:firstLineChars="15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本次采购的治疗</w:t>
      </w:r>
      <w:r>
        <w:rPr>
          <w:rFonts w:ascii="仿宋_GB2312" w:hAnsi="仿宋" w:eastAsia="仿宋_GB2312" w:cs="Times New Roman"/>
          <w:color w:val="000000"/>
          <w:sz w:val="32"/>
          <w:szCs w:val="32"/>
        </w:rPr>
        <w:t>手柄</w:t>
      </w:r>
      <w:r>
        <w:rPr>
          <w:rFonts w:hint="eastAsia" w:ascii="仿宋_GB2312" w:hAnsi="仿宋" w:eastAsia="仿宋_GB2312" w:cs="Times New Roman"/>
          <w:color w:val="000000"/>
          <w:sz w:val="32"/>
          <w:szCs w:val="32"/>
        </w:rPr>
        <w:t>在</w:t>
      </w:r>
      <w:r>
        <w:rPr>
          <w:rFonts w:ascii="仿宋_GB2312" w:hAnsi="仿宋" w:eastAsia="仿宋_GB2312" w:cs="Times New Roman"/>
          <w:color w:val="000000"/>
          <w:sz w:val="32"/>
          <w:szCs w:val="32"/>
        </w:rPr>
        <w:t>欧洲之星激光治疗系统</w:t>
      </w:r>
      <w:r>
        <w:rPr>
          <w:rFonts w:hint="eastAsia" w:ascii="仿宋_GB2312" w:hAnsi="仿宋" w:eastAsia="仿宋_GB2312" w:cs="Times New Roman"/>
          <w:color w:val="000000"/>
          <w:sz w:val="32"/>
          <w:szCs w:val="32"/>
        </w:rPr>
        <w:t>上使用</w:t>
      </w:r>
      <w:r>
        <w:rPr>
          <w:rFonts w:ascii="仿宋_GB2312" w:hAnsi="仿宋" w:eastAsia="仿宋_GB2312" w:cs="Times New Roman"/>
          <w:color w:val="000000"/>
          <w:sz w:val="32"/>
          <w:szCs w:val="32"/>
        </w:rPr>
        <w:t>，用于皮肤科治疗色素性疾病。</w:t>
      </w:r>
    </w:p>
    <w:p>
      <w:pPr>
        <w:spacing w:line="4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color w:val="000000"/>
          <w:sz w:val="32"/>
          <w:szCs w:val="32"/>
        </w:rPr>
        <w:t>（四）</w:t>
      </w:r>
      <w:r>
        <w:rPr>
          <w:rFonts w:hint="eastAsia" w:ascii="仿宋_GB2312" w:hAnsi="仿宋" w:eastAsia="仿宋_GB2312" w:cs="Times New Roman"/>
          <w:sz w:val="32"/>
          <w:szCs w:val="32"/>
        </w:rPr>
        <w:t>货物技术及服务标准</w:t>
      </w:r>
    </w:p>
    <w:p>
      <w:pPr>
        <w:spacing w:line="4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1、必须满足的技术及服务标准</w:t>
      </w:r>
    </w:p>
    <w:p>
      <w:pPr>
        <w:pStyle w:val="11"/>
        <w:numPr>
          <w:ilvl w:val="0"/>
          <w:numId w:val="3"/>
        </w:numPr>
        <w:tabs>
          <w:tab w:val="left" w:pos="993"/>
        </w:tabs>
        <w:snapToGrid w:val="0"/>
        <w:spacing w:line="460" w:lineRule="exact"/>
        <w:ind w:left="567" w:firstLine="0" w:firstLineChars="0"/>
        <w:jc w:val="left"/>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治疗手柄在欧洲之星有限公司制造的</w:t>
      </w:r>
      <w:r>
        <w:rPr>
          <w:rFonts w:ascii="仿宋_GB2312" w:hAnsi="仿宋" w:eastAsia="仿宋_GB2312" w:cs="Times New Roman"/>
          <w:color w:val="000000"/>
          <w:sz w:val="32"/>
          <w:szCs w:val="32"/>
        </w:rPr>
        <w:t>M031-3A/2</w:t>
      </w:r>
      <w:r>
        <w:rPr>
          <w:rFonts w:hint="eastAsia" w:ascii="仿宋_GB2312" w:hAnsi="仿宋" w:eastAsia="仿宋_GB2312" w:cs="Times New Roman"/>
          <w:color w:val="000000"/>
          <w:sz w:val="32"/>
          <w:szCs w:val="32"/>
        </w:rPr>
        <w:t>型激光治疗系统上使用，用于治疗各类色素性疾病:雀斑、黄褐斑、纹身等；</w:t>
      </w:r>
    </w:p>
    <w:p>
      <w:pPr>
        <w:pStyle w:val="11"/>
        <w:numPr>
          <w:ilvl w:val="0"/>
          <w:numId w:val="3"/>
        </w:numPr>
        <w:tabs>
          <w:tab w:val="left" w:pos="993"/>
        </w:tabs>
        <w:snapToGrid w:val="0"/>
        <w:spacing w:line="460" w:lineRule="exact"/>
        <w:ind w:firstLine="207" w:firstLineChars="0"/>
        <w:jc w:val="left"/>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点阵光斑要求:5X5分布；</w:t>
      </w:r>
    </w:p>
    <w:p>
      <w:pPr>
        <w:pStyle w:val="11"/>
        <w:numPr>
          <w:ilvl w:val="0"/>
          <w:numId w:val="3"/>
        </w:numPr>
        <w:tabs>
          <w:tab w:val="left" w:pos="993"/>
        </w:tabs>
        <w:snapToGrid w:val="0"/>
        <w:spacing w:line="460" w:lineRule="exact"/>
        <w:ind w:firstLine="207" w:firstLineChars="0"/>
        <w:jc w:val="left"/>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激光类型:调Q开关+长脉冲激光；</w:t>
      </w:r>
    </w:p>
    <w:p>
      <w:pPr>
        <w:pStyle w:val="11"/>
        <w:numPr>
          <w:ilvl w:val="0"/>
          <w:numId w:val="3"/>
        </w:numPr>
        <w:tabs>
          <w:tab w:val="left" w:pos="993"/>
        </w:tabs>
        <w:snapToGrid w:val="0"/>
        <w:spacing w:line="460" w:lineRule="exact"/>
        <w:ind w:firstLine="207" w:firstLineChars="0"/>
        <w:jc w:val="left"/>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适用激光波长:1064nm；</w:t>
      </w:r>
    </w:p>
    <w:p>
      <w:pPr>
        <w:pStyle w:val="11"/>
        <w:numPr>
          <w:ilvl w:val="0"/>
          <w:numId w:val="4"/>
        </w:numPr>
        <w:tabs>
          <w:tab w:val="left" w:pos="993"/>
        </w:tabs>
        <w:snapToGrid w:val="0"/>
        <w:spacing w:line="460" w:lineRule="exact"/>
        <w:ind w:firstLine="207" w:firstLineChars="0"/>
        <w:jc w:val="left"/>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单点光斑直径:200um；</w:t>
      </w:r>
    </w:p>
    <w:p>
      <w:pPr>
        <w:pStyle w:val="11"/>
        <w:numPr>
          <w:ilvl w:val="0"/>
          <w:numId w:val="4"/>
        </w:numPr>
        <w:tabs>
          <w:tab w:val="left" w:pos="993"/>
        </w:tabs>
        <w:snapToGrid w:val="0"/>
        <w:spacing w:line="460" w:lineRule="exact"/>
        <w:ind w:firstLine="207" w:firstLineChars="0"/>
        <w:jc w:val="left"/>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适用激光能量密度范围:0-150J/cm2；</w:t>
      </w:r>
    </w:p>
    <w:p>
      <w:pPr>
        <w:pStyle w:val="11"/>
        <w:numPr>
          <w:ilvl w:val="0"/>
          <w:numId w:val="4"/>
        </w:numPr>
        <w:tabs>
          <w:tab w:val="left" w:pos="993"/>
        </w:tabs>
        <w:snapToGrid w:val="0"/>
        <w:spacing w:line="460" w:lineRule="exact"/>
        <w:ind w:firstLine="207" w:firstLineChars="0"/>
        <w:jc w:val="left"/>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适用激光器脉宽范围:5-20ns；</w:t>
      </w:r>
    </w:p>
    <w:p>
      <w:pPr>
        <w:pStyle w:val="11"/>
        <w:numPr>
          <w:ilvl w:val="0"/>
          <w:numId w:val="4"/>
        </w:numPr>
        <w:tabs>
          <w:tab w:val="left" w:pos="993"/>
        </w:tabs>
        <w:snapToGrid w:val="0"/>
        <w:spacing w:line="460" w:lineRule="exact"/>
        <w:ind w:firstLine="207" w:firstLineChars="0"/>
        <w:jc w:val="left"/>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激光发射频率:0.5-10Hz，连续可调；</w:t>
      </w:r>
    </w:p>
    <w:p>
      <w:pPr>
        <w:pStyle w:val="11"/>
        <w:numPr>
          <w:ilvl w:val="0"/>
          <w:numId w:val="4"/>
        </w:numPr>
        <w:tabs>
          <w:tab w:val="left" w:pos="993"/>
        </w:tabs>
        <w:snapToGrid w:val="0"/>
        <w:spacing w:line="460" w:lineRule="exact"/>
        <w:ind w:firstLine="207" w:firstLineChars="0"/>
        <w:jc w:val="left"/>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即插即用，安装后设备自动识别；</w:t>
      </w:r>
    </w:p>
    <w:p>
      <w:pPr>
        <w:pStyle w:val="11"/>
        <w:numPr>
          <w:ilvl w:val="0"/>
          <w:numId w:val="4"/>
        </w:numPr>
        <w:tabs>
          <w:tab w:val="left" w:pos="1134"/>
        </w:tabs>
        <w:snapToGrid w:val="0"/>
        <w:spacing w:line="460" w:lineRule="exact"/>
        <w:ind w:firstLine="207" w:firstLineChars="0"/>
        <w:jc w:val="left"/>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质保期：1年；</w:t>
      </w:r>
    </w:p>
    <w:p>
      <w:pPr>
        <w:snapToGrid w:val="0"/>
        <w:spacing w:line="460" w:lineRule="exact"/>
        <w:ind w:firstLine="800" w:firstLineChars="250"/>
        <w:rPr>
          <w:rFonts w:ascii="仿宋_GB2312" w:hAnsi="仿宋" w:eastAsia="仿宋_GB2312" w:cs="Times New Roman"/>
          <w:color w:val="000000"/>
          <w:sz w:val="32"/>
          <w:szCs w:val="32"/>
        </w:rPr>
      </w:pPr>
      <w:r>
        <w:rPr>
          <w:rFonts w:hint="eastAsia" w:ascii="仿宋_GB2312" w:hAnsi="仿宋" w:eastAsia="仿宋_GB2312" w:cs="宋体"/>
          <w:kern w:val="0"/>
          <w:sz w:val="32"/>
          <w:szCs w:val="32"/>
        </w:rPr>
        <w:t>2、一般性</w:t>
      </w:r>
      <w:r>
        <w:rPr>
          <w:rFonts w:hint="eastAsia" w:ascii="仿宋_GB2312" w:hAnsi="仿宋" w:eastAsia="仿宋_GB2312" w:cs="Times New Roman"/>
          <w:color w:val="000000"/>
          <w:sz w:val="32"/>
          <w:szCs w:val="32"/>
        </w:rPr>
        <w:t>技术及服务标准</w:t>
      </w:r>
    </w:p>
    <w:p>
      <w:pPr>
        <w:snapToGrid w:val="0"/>
        <w:spacing w:line="460" w:lineRule="exact"/>
        <w:ind w:firstLine="800" w:firstLineChars="250"/>
        <w:rPr>
          <w:rFonts w:ascii="仿宋_GB2312" w:hAnsi="仿宋" w:eastAsia="仿宋_GB2312" w:cs="宋体"/>
          <w:kern w:val="0"/>
          <w:sz w:val="32"/>
          <w:szCs w:val="32"/>
        </w:rPr>
      </w:pPr>
      <w:r>
        <w:rPr>
          <w:rFonts w:hint="eastAsia" w:ascii="仿宋_GB2312" w:hAnsi="仿宋" w:eastAsia="仿宋_GB2312" w:cs="Times New Roman"/>
          <w:color w:val="000000"/>
          <w:sz w:val="32"/>
          <w:szCs w:val="32"/>
        </w:rPr>
        <w:t>无</w:t>
      </w:r>
    </w:p>
    <w:p>
      <w:pPr>
        <w:pStyle w:val="11"/>
        <w:numPr>
          <w:ilvl w:val="0"/>
          <w:numId w:val="1"/>
        </w:numPr>
        <w:spacing w:line="460" w:lineRule="exact"/>
        <w:ind w:firstLineChars="0"/>
        <w:rPr>
          <w:rFonts w:ascii="仿宋_GB2312" w:hAnsi="仿宋" w:eastAsia="仿宋_GB2312" w:cs="Times New Roman"/>
          <w:b/>
          <w:sz w:val="32"/>
          <w:szCs w:val="32"/>
        </w:rPr>
      </w:pPr>
      <w:r>
        <w:rPr>
          <w:rFonts w:hint="eastAsia" w:ascii="仿宋_GB2312" w:hAnsi="仿宋" w:eastAsia="仿宋_GB2312" w:cs="Times New Roman"/>
          <w:b/>
          <w:sz w:val="32"/>
          <w:szCs w:val="32"/>
        </w:rPr>
        <w:t>交货期</w:t>
      </w:r>
    </w:p>
    <w:p>
      <w:pPr>
        <w:spacing w:line="460" w:lineRule="exact"/>
        <w:ind w:firstLine="566" w:firstLineChars="177"/>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中标人应在采购合同签订后10日内交货并完成安装调试。</w:t>
      </w:r>
    </w:p>
    <w:p>
      <w:pPr>
        <w:pStyle w:val="11"/>
        <w:numPr>
          <w:ilvl w:val="0"/>
          <w:numId w:val="1"/>
        </w:numPr>
        <w:spacing w:line="460" w:lineRule="exact"/>
        <w:ind w:firstLineChars="0"/>
        <w:rPr>
          <w:rFonts w:ascii="仿宋_GB2312" w:hAnsi="仿宋" w:eastAsia="仿宋_GB2312" w:cs="Times New Roman"/>
          <w:b/>
          <w:sz w:val="32"/>
          <w:szCs w:val="32"/>
        </w:rPr>
      </w:pPr>
      <w:r>
        <w:rPr>
          <w:rFonts w:hint="eastAsia" w:ascii="仿宋_GB2312" w:hAnsi="仿宋" w:eastAsia="仿宋_GB2312" w:cs="Times New Roman"/>
          <w:b/>
          <w:sz w:val="32"/>
          <w:szCs w:val="32"/>
        </w:rPr>
        <w:t>交货地点</w:t>
      </w:r>
    </w:p>
    <w:p>
      <w:pPr>
        <w:spacing w:line="460" w:lineRule="exact"/>
        <w:ind w:left="640"/>
        <w:rPr>
          <w:rFonts w:cs="Times New Roman" w:asciiTheme="minorEastAsia" w:hAnsiTheme="minorEastAsia"/>
          <w:sz w:val="32"/>
          <w:szCs w:val="32"/>
        </w:rPr>
      </w:pPr>
      <w:r>
        <w:rPr>
          <w:rFonts w:hint="eastAsia" w:cs="Times New Roman" w:asciiTheme="minorEastAsia" w:hAnsiTheme="minorEastAsia"/>
          <w:sz w:val="32"/>
          <w:szCs w:val="32"/>
        </w:rPr>
        <w:t>克拉玛依市独山子人民医院皮肤科</w:t>
      </w:r>
    </w:p>
    <w:p>
      <w:pPr>
        <w:pStyle w:val="11"/>
        <w:numPr>
          <w:ilvl w:val="0"/>
          <w:numId w:val="1"/>
        </w:numPr>
        <w:spacing w:line="460" w:lineRule="exact"/>
        <w:ind w:firstLineChars="0"/>
        <w:rPr>
          <w:rFonts w:ascii="仿宋_GB2312" w:hAnsi="仿宋" w:eastAsia="仿宋_GB2312" w:cs="Times New Roman"/>
          <w:b/>
          <w:sz w:val="32"/>
          <w:szCs w:val="32"/>
        </w:rPr>
      </w:pPr>
      <w:r>
        <w:rPr>
          <w:rFonts w:hint="eastAsia" w:ascii="仿宋_GB2312" w:hAnsi="仿宋" w:eastAsia="仿宋_GB2312" w:cs="Times New Roman"/>
          <w:b/>
          <w:sz w:val="32"/>
          <w:szCs w:val="32"/>
        </w:rPr>
        <w:t>验收方式</w:t>
      </w:r>
    </w:p>
    <w:p>
      <w:pPr>
        <w:spacing w:line="460" w:lineRule="exact"/>
        <w:ind w:firstLine="566" w:firstLineChars="177"/>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1、货物到达现场后，中标人应在使用单位人员在场情况下当面开箱，共同清点、检查外观，作出开箱记录，双方签字确认。</w:t>
      </w:r>
    </w:p>
    <w:p>
      <w:pPr>
        <w:spacing w:line="460" w:lineRule="exact"/>
        <w:ind w:firstLine="566" w:firstLineChars="177"/>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2、中标人应保证货物到达采购人所在地完好无损，如有缺漏、损坏，由供应商负责调换、补齐或赔偿。</w:t>
      </w:r>
    </w:p>
    <w:p>
      <w:pPr>
        <w:spacing w:line="460" w:lineRule="exact"/>
        <w:ind w:firstLine="566" w:firstLineChars="177"/>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3、中标人应提供完备的技术资料、装箱单和合格证等，并派遣专业技术人员进行现场安装调试。验收合格条件如下：</w:t>
      </w:r>
    </w:p>
    <w:p>
      <w:pPr>
        <w:spacing w:line="460" w:lineRule="exact"/>
        <w:ind w:firstLine="566" w:firstLineChars="177"/>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3.1货物技术参数与采购合同一致，性能指标达到规定的标准。</w:t>
      </w:r>
    </w:p>
    <w:p>
      <w:pPr>
        <w:spacing w:line="460" w:lineRule="exact"/>
        <w:ind w:firstLine="566" w:firstLineChars="177"/>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3.2货物技术资料、装箱单、合格证等资料齐全。</w:t>
      </w:r>
    </w:p>
    <w:p>
      <w:pPr>
        <w:spacing w:line="460" w:lineRule="exact"/>
        <w:ind w:firstLine="566" w:firstLineChars="177"/>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3.3在系统试运行期间所出现的问题得到解决，并运行正常。</w:t>
      </w:r>
    </w:p>
    <w:p>
      <w:pPr>
        <w:spacing w:line="460" w:lineRule="exact"/>
        <w:ind w:firstLine="566" w:firstLineChars="177"/>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3.4在规定时间内交货和验收，并经采购人确认。</w:t>
      </w:r>
    </w:p>
    <w:p>
      <w:pPr>
        <w:spacing w:line="460" w:lineRule="exact"/>
        <w:ind w:firstLine="566" w:firstLineChars="177"/>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4、产品在安装调试并试运行符合要求后，才作为最终验收。</w:t>
      </w:r>
    </w:p>
    <w:p>
      <w:pPr>
        <w:spacing w:line="460" w:lineRule="exact"/>
        <w:ind w:firstLine="566" w:firstLineChars="177"/>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5、供应商提供的货物未达到采购文件规定要求，且对采购人造成损失的，由供应商承担一切责任，并赔偿所造成的损失。</w:t>
      </w:r>
    </w:p>
    <w:p>
      <w:pPr>
        <w:spacing w:line="460" w:lineRule="exact"/>
        <w:ind w:firstLine="566" w:firstLineChars="177"/>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6、采购人需要制造商对中标人交付的产品（包括质量、技术参数等）进行确认的，制造商应予以配合，并出具书面意见。</w:t>
      </w:r>
    </w:p>
    <w:p>
      <w:pPr>
        <w:spacing w:line="460" w:lineRule="exact"/>
        <w:ind w:firstLine="566" w:firstLineChars="177"/>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8、产品包装材料归采购人所有。</w:t>
      </w:r>
    </w:p>
    <w:p>
      <w:pPr>
        <w:pStyle w:val="11"/>
        <w:numPr>
          <w:ilvl w:val="0"/>
          <w:numId w:val="1"/>
        </w:numPr>
        <w:spacing w:line="460" w:lineRule="exact"/>
        <w:ind w:firstLineChars="0"/>
        <w:rPr>
          <w:rFonts w:ascii="仿宋_GB2312" w:hAnsi="仿宋" w:eastAsia="仿宋_GB2312" w:cs="Times New Roman"/>
          <w:b/>
          <w:sz w:val="32"/>
          <w:szCs w:val="32"/>
        </w:rPr>
      </w:pPr>
      <w:r>
        <w:rPr>
          <w:rFonts w:hint="eastAsia" w:ascii="仿宋_GB2312" w:hAnsi="仿宋" w:eastAsia="仿宋_GB2312" w:cs="Times New Roman"/>
          <w:b/>
          <w:sz w:val="32"/>
          <w:szCs w:val="32"/>
        </w:rPr>
        <w:t>产品质量保证期</w:t>
      </w:r>
    </w:p>
    <w:p>
      <w:pPr>
        <w:spacing w:line="460" w:lineRule="exact"/>
        <w:ind w:firstLine="566" w:firstLineChars="177"/>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1、投标产品质量保证期</w:t>
      </w:r>
      <w:r>
        <w:rPr>
          <w:rFonts w:hint="eastAsia" w:ascii="仿宋" w:hAnsi="仿宋" w:eastAsia="仿宋" w:cs="Times New Roman"/>
          <w:color w:val="000000"/>
          <w:sz w:val="32"/>
          <w:szCs w:val="32"/>
        </w:rPr>
        <w:t>1</w:t>
      </w:r>
      <w:r>
        <w:rPr>
          <w:rFonts w:hint="eastAsia" w:ascii="仿宋_GB2312" w:hAnsi="仿宋" w:eastAsia="仿宋_GB2312" w:cs="Times New Roman"/>
          <w:color w:val="000000"/>
          <w:sz w:val="32"/>
          <w:szCs w:val="32"/>
        </w:rPr>
        <w:t>年。</w:t>
      </w:r>
    </w:p>
    <w:p>
      <w:pPr>
        <w:spacing w:line="460" w:lineRule="exact"/>
        <w:ind w:firstLine="566" w:firstLineChars="177"/>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2、投标产品属于国家规定“三包”范围的，其产品质量保证期不得低于“三包”规定。</w:t>
      </w:r>
    </w:p>
    <w:p>
      <w:pPr>
        <w:spacing w:line="460" w:lineRule="exact"/>
        <w:ind w:firstLine="566" w:firstLineChars="177"/>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3、投标人的质量保证期承诺优于国家“三包”规定的，按投标人实际承诺执行。</w:t>
      </w:r>
    </w:p>
    <w:p>
      <w:pPr>
        <w:spacing w:line="460" w:lineRule="exact"/>
        <w:ind w:firstLine="566" w:firstLineChars="177"/>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4、投标产品由制造商（指产品生产制造商，或其负责销售、售后服务机构，以下同）负责标准售后服务的，应当在投标文件中予以明确说明，并附制造商售后服务承诺。</w:t>
      </w:r>
    </w:p>
    <w:p>
      <w:pPr>
        <w:pStyle w:val="11"/>
        <w:numPr>
          <w:ilvl w:val="0"/>
          <w:numId w:val="1"/>
        </w:numPr>
        <w:spacing w:line="460" w:lineRule="exact"/>
        <w:ind w:firstLineChars="0"/>
        <w:rPr>
          <w:rFonts w:ascii="仿宋_GB2312" w:hAnsi="仿宋" w:eastAsia="仿宋_GB2312" w:cs="Times New Roman"/>
          <w:b/>
          <w:sz w:val="32"/>
          <w:szCs w:val="32"/>
        </w:rPr>
      </w:pPr>
      <w:r>
        <w:rPr>
          <w:rFonts w:hint="eastAsia" w:ascii="仿宋_GB2312" w:hAnsi="仿宋" w:eastAsia="仿宋_GB2312" w:cs="Times New Roman"/>
          <w:b/>
          <w:sz w:val="32"/>
          <w:szCs w:val="32"/>
        </w:rPr>
        <w:t>售后服务内容</w:t>
      </w:r>
    </w:p>
    <w:p>
      <w:pPr>
        <w:spacing w:line="460" w:lineRule="exact"/>
        <w:ind w:firstLine="566" w:firstLineChars="177"/>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1、投标人和制造商在质量保证期内应当为采购人提供以下技术支持和服务：</w:t>
      </w:r>
    </w:p>
    <w:p>
      <w:pPr>
        <w:spacing w:line="460" w:lineRule="exact"/>
        <w:ind w:firstLine="566" w:firstLineChars="177"/>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1.1电话咨询</w:t>
      </w:r>
    </w:p>
    <w:p>
      <w:pPr>
        <w:spacing w:line="460" w:lineRule="exact"/>
        <w:ind w:firstLine="566" w:firstLineChars="177"/>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中标人和制造商应当为采购人提供技术援助电话，解答采购人在使用中遇到的问题，及时为采购人提出解决问题的建议。</w:t>
      </w:r>
    </w:p>
    <w:p>
      <w:pPr>
        <w:spacing w:line="460" w:lineRule="exact"/>
        <w:ind w:firstLine="566" w:firstLineChars="177"/>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1.2现场响应</w:t>
      </w:r>
    </w:p>
    <w:p>
      <w:pPr>
        <w:spacing w:line="460" w:lineRule="exact"/>
        <w:ind w:firstLine="566" w:firstLineChars="177"/>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采购人遇到使用及技术问题，电话咨询不能解决的，中标人和制造商应在4小时内到达现场进行处理，确保产品正常工作。</w:t>
      </w:r>
    </w:p>
    <w:p>
      <w:pPr>
        <w:spacing w:line="460" w:lineRule="exact"/>
        <w:ind w:firstLine="566" w:firstLineChars="177"/>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1.3技术升级</w:t>
      </w:r>
    </w:p>
    <w:p>
      <w:pPr>
        <w:spacing w:line="460" w:lineRule="exact"/>
        <w:ind w:firstLine="566" w:firstLineChars="177"/>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在质保期内，如果中标人和制造商的产品技术升级，供应商应及时通知采购人，如采购人有相应要求，中标人和制造商应对采购人购买的产品进行升级服务。</w:t>
      </w:r>
    </w:p>
    <w:p>
      <w:pPr>
        <w:spacing w:line="460" w:lineRule="exact"/>
        <w:ind w:firstLine="566" w:firstLineChars="177"/>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2、质保期外服务要求</w:t>
      </w:r>
    </w:p>
    <w:p>
      <w:pPr>
        <w:spacing w:line="460" w:lineRule="exact"/>
        <w:ind w:firstLine="566" w:firstLineChars="177"/>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2.1质量保证期过后，供应商和制造商应同样提供免费电话咨询服务，并应承诺提供产品上门维护服务。</w:t>
      </w:r>
    </w:p>
    <w:p>
      <w:pPr>
        <w:spacing w:line="460" w:lineRule="exact"/>
        <w:ind w:firstLine="566" w:firstLineChars="177"/>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2.2质量保证期过后，采购人需要继续由原供应商和制造商提供售后服务的，该供应商和制造商应以优惠价格提供售后服务。</w:t>
      </w:r>
    </w:p>
    <w:p>
      <w:pPr>
        <w:spacing w:line="460" w:lineRule="exact"/>
        <w:ind w:firstLine="566" w:firstLineChars="177"/>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3、备品备件及易损件</w:t>
      </w:r>
    </w:p>
    <w:p>
      <w:pPr>
        <w:spacing w:line="460" w:lineRule="exact"/>
        <w:ind w:firstLine="566" w:firstLineChars="177"/>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中标人和制造商售后服务中，维修使用的备品备件及易损件应为原厂配件，未经采购人同意不得使用非原厂配件，常用的、容易损坏的备品备件及易损件的价格清单须在投标文件中列出。</w:t>
      </w:r>
    </w:p>
    <w:p>
      <w:pPr>
        <w:pStyle w:val="11"/>
        <w:numPr>
          <w:ilvl w:val="0"/>
          <w:numId w:val="1"/>
        </w:numPr>
        <w:spacing w:line="460" w:lineRule="exact"/>
        <w:ind w:firstLineChars="0"/>
        <w:rPr>
          <w:rFonts w:ascii="仿宋_GB2312" w:hAnsi="仿宋" w:eastAsia="仿宋_GB2312" w:cs="Times New Roman"/>
          <w:b/>
          <w:sz w:val="32"/>
          <w:szCs w:val="32"/>
        </w:rPr>
      </w:pPr>
      <w:r>
        <w:rPr>
          <w:rFonts w:hint="eastAsia" w:ascii="仿宋_GB2312" w:hAnsi="仿宋" w:eastAsia="仿宋_GB2312" w:cs="Times New Roman"/>
          <w:b/>
          <w:sz w:val="32"/>
          <w:szCs w:val="32"/>
        </w:rPr>
        <w:t>付款方式</w:t>
      </w:r>
    </w:p>
    <w:p>
      <w:pPr>
        <w:spacing w:line="460" w:lineRule="exact"/>
        <w:ind w:firstLine="566" w:firstLineChars="177"/>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（一）中标人按采购合同交货，完成安装调试，经验收合格后，采购人向中标人支付合同总价100%的货款。</w:t>
      </w:r>
    </w:p>
    <w:p>
      <w:pPr>
        <w:spacing w:line="460" w:lineRule="exact"/>
        <w:ind w:firstLine="566" w:firstLineChars="177"/>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（二）中标人提交采购合同、发票等材料，向采购人申请付款。</w:t>
      </w:r>
    </w:p>
    <w:p>
      <w:pPr>
        <w:spacing w:line="460" w:lineRule="exact"/>
        <w:ind w:firstLine="566" w:firstLineChars="177"/>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（三）采购人对中标人提交的付款资料审核通过后，以转账方式向中标人付款。</w:t>
      </w:r>
    </w:p>
    <w:p>
      <w:pPr>
        <w:pStyle w:val="11"/>
        <w:numPr>
          <w:ilvl w:val="0"/>
          <w:numId w:val="1"/>
        </w:numPr>
        <w:spacing w:line="460" w:lineRule="exact"/>
        <w:ind w:firstLineChars="0"/>
        <w:rPr>
          <w:rFonts w:ascii="仿宋_GB2312" w:hAnsi="仿宋" w:eastAsia="仿宋_GB2312" w:cs="Times New Roman"/>
          <w:b/>
          <w:sz w:val="32"/>
          <w:szCs w:val="32"/>
        </w:rPr>
      </w:pPr>
      <w:r>
        <w:rPr>
          <w:rFonts w:hint="eastAsia" w:ascii="仿宋_GB2312" w:hAnsi="仿宋" w:eastAsia="仿宋_GB2312" w:cs="Times New Roman"/>
          <w:b/>
          <w:sz w:val="32"/>
          <w:szCs w:val="32"/>
        </w:rPr>
        <w:t>履约保证金</w:t>
      </w:r>
    </w:p>
    <w:p>
      <w:pPr>
        <w:snapToGrid w:val="0"/>
        <w:spacing w:line="460" w:lineRule="exact"/>
        <w:ind w:firstLine="800" w:firstLineChars="250"/>
        <w:rPr>
          <w:rFonts w:ascii="仿宋_GB2312" w:hAnsi="仿宋" w:eastAsia="仿宋_GB2312" w:cs="宋体"/>
          <w:kern w:val="0"/>
          <w:sz w:val="32"/>
          <w:szCs w:val="32"/>
        </w:rPr>
      </w:pPr>
      <w:r>
        <w:rPr>
          <w:rFonts w:hint="eastAsia" w:ascii="仿宋_GB2312" w:hAnsi="仿宋" w:eastAsia="仿宋_GB2312" w:cs="宋体"/>
          <w:kern w:val="0"/>
          <w:sz w:val="32"/>
          <w:szCs w:val="32"/>
        </w:rPr>
        <w:t>不收取履约保证</w:t>
      </w:r>
    </w:p>
    <w:p>
      <w:pPr>
        <w:pStyle w:val="11"/>
        <w:numPr>
          <w:ilvl w:val="0"/>
          <w:numId w:val="1"/>
        </w:numPr>
        <w:spacing w:line="460" w:lineRule="exact"/>
        <w:ind w:firstLineChars="0"/>
        <w:rPr>
          <w:rFonts w:ascii="仿宋_GB2312" w:hAnsi="仿宋" w:eastAsia="仿宋_GB2312" w:cs="Times New Roman"/>
          <w:b/>
          <w:sz w:val="32"/>
          <w:szCs w:val="32"/>
        </w:rPr>
      </w:pPr>
      <w:r>
        <w:rPr>
          <w:rFonts w:hint="eastAsia" w:ascii="仿宋_GB2312" w:hAnsi="仿宋" w:eastAsia="仿宋_GB2312" w:cs="Times New Roman"/>
          <w:b/>
          <w:sz w:val="32"/>
          <w:szCs w:val="32"/>
        </w:rPr>
        <w:t>培训</w:t>
      </w:r>
    </w:p>
    <w:p>
      <w:pPr>
        <w:snapToGrid w:val="0"/>
        <w:spacing w:line="460" w:lineRule="exact"/>
        <w:ind w:firstLine="800" w:firstLineChars="250"/>
        <w:rPr>
          <w:rFonts w:ascii="仿宋_GB2312" w:hAnsi="仿宋" w:eastAsia="仿宋_GB2312" w:cs="宋体"/>
          <w:kern w:val="0"/>
          <w:sz w:val="32"/>
          <w:szCs w:val="32"/>
        </w:rPr>
      </w:pPr>
      <w:r>
        <w:rPr>
          <w:rFonts w:hint="eastAsia" w:ascii="仿宋_GB2312" w:hAnsi="仿宋" w:eastAsia="仿宋_GB2312" w:cs="宋体"/>
          <w:kern w:val="0"/>
          <w:sz w:val="32"/>
          <w:szCs w:val="32"/>
        </w:rPr>
        <w:t>（一）培训内容</w:t>
      </w:r>
    </w:p>
    <w:p>
      <w:pPr>
        <w:snapToGrid w:val="0"/>
        <w:spacing w:line="460" w:lineRule="exact"/>
        <w:ind w:firstLine="800" w:firstLineChars="250"/>
        <w:rPr>
          <w:rFonts w:ascii="仿宋_GB2312" w:hAnsi="仿宋" w:eastAsia="仿宋_GB2312" w:cs="宋体"/>
          <w:kern w:val="0"/>
          <w:sz w:val="32"/>
          <w:szCs w:val="32"/>
        </w:rPr>
      </w:pPr>
      <w:r>
        <w:rPr>
          <w:rFonts w:hint="eastAsia" w:ascii="仿宋_GB2312" w:hAnsi="仿宋" w:eastAsia="仿宋_GB2312" w:cs="宋体"/>
          <w:kern w:val="0"/>
          <w:sz w:val="32"/>
          <w:szCs w:val="32"/>
        </w:rPr>
        <w:t>使用操作、临床应用培训、日常维护保养、常见故障排除</w:t>
      </w:r>
    </w:p>
    <w:p>
      <w:pPr>
        <w:snapToGrid w:val="0"/>
        <w:spacing w:line="460" w:lineRule="exact"/>
        <w:ind w:firstLine="800" w:firstLineChars="250"/>
        <w:rPr>
          <w:rFonts w:ascii="仿宋_GB2312" w:hAnsi="仿宋" w:eastAsia="仿宋_GB2312" w:cs="宋体"/>
          <w:kern w:val="0"/>
          <w:sz w:val="32"/>
          <w:szCs w:val="32"/>
        </w:rPr>
      </w:pPr>
      <w:r>
        <w:rPr>
          <w:rFonts w:hint="eastAsia" w:ascii="仿宋_GB2312" w:hAnsi="仿宋" w:eastAsia="仿宋_GB2312" w:cs="宋体"/>
          <w:kern w:val="0"/>
          <w:sz w:val="32"/>
          <w:szCs w:val="32"/>
        </w:rPr>
        <w:t>（二）培训要求</w:t>
      </w:r>
    </w:p>
    <w:p>
      <w:pPr>
        <w:snapToGrid w:val="0"/>
        <w:spacing w:line="460" w:lineRule="exact"/>
        <w:ind w:firstLine="800" w:firstLineChars="250"/>
        <w:rPr>
          <w:rFonts w:ascii="仿宋_GB2312" w:hAnsi="仿宋" w:eastAsia="仿宋_GB2312" w:cs="宋体"/>
          <w:kern w:val="0"/>
          <w:sz w:val="32"/>
          <w:szCs w:val="32"/>
        </w:rPr>
      </w:pPr>
      <w:r>
        <w:rPr>
          <w:rFonts w:hint="eastAsia" w:ascii="仿宋_GB2312" w:hAnsi="仿宋" w:eastAsia="仿宋_GB2312" w:cs="宋体"/>
          <w:kern w:val="0"/>
          <w:sz w:val="32"/>
          <w:szCs w:val="32"/>
        </w:rPr>
        <w:t>根据科室人员时间组织设备使用人员培训，直至操作使用和技术人员独立熟练掌握；</w:t>
      </w:r>
    </w:p>
    <w:p>
      <w:pPr>
        <w:snapToGrid w:val="0"/>
        <w:spacing w:line="460" w:lineRule="exact"/>
        <w:ind w:firstLine="800" w:firstLineChars="250"/>
        <w:rPr>
          <w:rFonts w:ascii="仿宋_GB2312" w:hAnsi="仿宋" w:eastAsia="仿宋_GB2312" w:cs="宋体"/>
          <w:kern w:val="0"/>
          <w:sz w:val="32"/>
          <w:szCs w:val="32"/>
        </w:rPr>
      </w:pPr>
      <w:r>
        <w:rPr>
          <w:rFonts w:hint="eastAsia" w:ascii="仿宋_GB2312" w:hAnsi="仿宋" w:eastAsia="仿宋_GB2312" w:cs="宋体"/>
          <w:kern w:val="0"/>
          <w:sz w:val="32"/>
          <w:szCs w:val="32"/>
        </w:rPr>
        <w:t>（三）培训方式</w:t>
      </w:r>
    </w:p>
    <w:p>
      <w:pPr>
        <w:snapToGrid w:val="0"/>
        <w:spacing w:line="460" w:lineRule="exact"/>
        <w:ind w:left="800"/>
        <w:rPr>
          <w:rFonts w:ascii="仿宋_GB2312" w:hAnsi="仿宋" w:eastAsia="仿宋_GB2312" w:cs="宋体"/>
          <w:kern w:val="0"/>
          <w:sz w:val="32"/>
          <w:szCs w:val="32"/>
        </w:rPr>
      </w:pPr>
      <w:r>
        <w:rPr>
          <w:rFonts w:hint="eastAsia" w:ascii="仿宋_GB2312" w:hAnsi="仿宋" w:eastAsia="仿宋_GB2312" w:cs="宋体"/>
          <w:kern w:val="0"/>
          <w:sz w:val="32"/>
          <w:szCs w:val="32"/>
        </w:rPr>
        <w:t>现场培训</w:t>
      </w:r>
    </w:p>
    <w:p>
      <w:pPr>
        <w:pStyle w:val="11"/>
        <w:numPr>
          <w:ilvl w:val="0"/>
          <w:numId w:val="1"/>
        </w:numPr>
        <w:spacing w:line="460" w:lineRule="exact"/>
        <w:ind w:firstLineChars="0"/>
        <w:rPr>
          <w:rFonts w:ascii="仿宋_GB2312" w:hAnsi="仿宋" w:eastAsia="仿宋_GB2312" w:cs="Times New Roman"/>
          <w:b/>
          <w:sz w:val="32"/>
          <w:szCs w:val="32"/>
        </w:rPr>
      </w:pPr>
      <w:r>
        <w:rPr>
          <w:rFonts w:hint="eastAsia" w:ascii="仿宋_GB2312" w:hAnsi="仿宋" w:eastAsia="仿宋_GB2312" w:cs="Times New Roman"/>
          <w:b/>
          <w:sz w:val="32"/>
          <w:szCs w:val="32"/>
        </w:rPr>
        <w:t>采购单位咨询电话</w:t>
      </w:r>
    </w:p>
    <w:p>
      <w:pPr>
        <w:snapToGrid w:val="0"/>
        <w:spacing w:line="460" w:lineRule="exact"/>
        <w:ind w:firstLine="800" w:firstLineChars="250"/>
        <w:rPr>
          <w:rFonts w:ascii="仿宋_GB2312" w:hAnsi="仿宋" w:eastAsia="仿宋_GB2312" w:cs="宋体"/>
          <w:kern w:val="0"/>
          <w:sz w:val="32"/>
          <w:szCs w:val="32"/>
        </w:rPr>
      </w:pPr>
      <w:r>
        <w:rPr>
          <w:rFonts w:hint="eastAsia" w:ascii="仿宋_GB2312" w:hAnsi="仿宋" w:eastAsia="仿宋_GB2312" w:cs="宋体"/>
          <w:kern w:val="0"/>
          <w:sz w:val="32"/>
          <w:szCs w:val="32"/>
        </w:rPr>
        <w:t>联系人：李长春</w:t>
      </w:r>
    </w:p>
    <w:p>
      <w:pPr>
        <w:snapToGrid w:val="0"/>
        <w:spacing w:line="460" w:lineRule="exact"/>
        <w:ind w:firstLine="800" w:firstLineChars="250"/>
        <w:rPr>
          <w:rFonts w:ascii="仿宋_GB2312" w:hAnsi="仿宋" w:eastAsia="仿宋_GB2312" w:cs="宋体"/>
          <w:kern w:val="0"/>
          <w:sz w:val="32"/>
          <w:szCs w:val="32"/>
        </w:rPr>
      </w:pPr>
      <w:r>
        <w:rPr>
          <w:rFonts w:hint="eastAsia" w:ascii="仿宋_GB2312" w:hAnsi="仿宋" w:eastAsia="仿宋_GB2312" w:cs="宋体"/>
          <w:kern w:val="0"/>
          <w:sz w:val="32"/>
          <w:szCs w:val="32"/>
        </w:rPr>
        <w:t>联系电话： 0992-3651933</w:t>
      </w:r>
    </w:p>
    <w:p>
      <w:pPr>
        <w:snapToGrid w:val="0"/>
        <w:spacing w:line="460" w:lineRule="exact"/>
        <w:ind w:firstLine="800" w:firstLineChars="250"/>
        <w:rPr>
          <w:rFonts w:ascii="仿宋_GB2312" w:hAnsi="仿宋" w:eastAsia="仿宋_GB2312" w:cs="宋体"/>
          <w:kern w:val="0"/>
          <w:sz w:val="32"/>
          <w:szCs w:val="32"/>
        </w:rPr>
      </w:pPr>
      <w:r>
        <w:rPr>
          <w:rFonts w:hint="eastAsia" w:ascii="仿宋_GB2312" w:hAnsi="仿宋" w:eastAsia="仿宋_GB2312" w:cs="宋体"/>
          <w:kern w:val="0"/>
          <w:sz w:val="32"/>
          <w:szCs w:val="32"/>
        </w:rPr>
        <w:t>手机号：19990277006</w:t>
      </w:r>
    </w:p>
    <w:p>
      <w:pPr>
        <w:snapToGrid w:val="0"/>
        <w:spacing w:line="460" w:lineRule="exact"/>
        <w:ind w:firstLine="800" w:firstLineChars="250"/>
        <w:rPr>
          <w:rFonts w:ascii="仿宋_GB2312" w:hAnsi="仿宋" w:eastAsia="仿宋_GB2312" w:cs="宋体"/>
          <w:kern w:val="0"/>
          <w:sz w:val="32"/>
          <w:szCs w:val="32"/>
        </w:rPr>
      </w:pPr>
      <w:r>
        <w:rPr>
          <w:rFonts w:hint="eastAsia" w:ascii="仿宋_GB2312" w:hAnsi="仿宋" w:eastAsia="仿宋_GB2312" w:cs="宋体"/>
          <w:kern w:val="0"/>
          <w:sz w:val="32"/>
          <w:szCs w:val="32"/>
        </w:rPr>
        <w:t>地址：克拉玛依市独山子区长庆路1号</w:t>
      </w:r>
    </w:p>
    <w:p>
      <w:pPr>
        <w:snapToGrid w:val="0"/>
        <w:spacing w:line="460" w:lineRule="exact"/>
        <w:ind w:firstLine="800" w:firstLineChars="250"/>
        <w:rPr>
          <w:rFonts w:ascii="仿宋_GB2312" w:hAnsi="仿宋" w:eastAsia="仿宋_GB2312" w:cs="宋体"/>
          <w:kern w:val="0"/>
          <w:sz w:val="32"/>
          <w:szCs w:val="32"/>
        </w:rPr>
      </w:pPr>
    </w:p>
    <w:p>
      <w:pPr>
        <w:snapToGrid w:val="0"/>
        <w:spacing w:line="460" w:lineRule="exact"/>
        <w:ind w:firstLine="2240" w:firstLineChars="700"/>
        <w:rPr>
          <w:rFonts w:ascii="仿宋_GB2312" w:hAnsi="仿宋" w:eastAsia="仿宋_GB2312" w:cs="宋体"/>
          <w:kern w:val="0"/>
          <w:sz w:val="32"/>
          <w:szCs w:val="32"/>
        </w:rPr>
      </w:pPr>
      <w:r>
        <w:rPr>
          <w:rFonts w:hint="eastAsia" w:ascii="仿宋_GB2312" w:hAnsi="仿宋" w:eastAsia="仿宋_GB2312" w:cs="Times New Roman"/>
          <w:color w:val="000000"/>
          <w:sz w:val="32"/>
          <w:szCs w:val="32"/>
        </w:rPr>
        <w:t>采购人名称：克拉玛依市独山子人民医院</w:t>
      </w:r>
    </w:p>
    <w:p>
      <w:pPr>
        <w:snapToGrid w:val="0"/>
        <w:spacing w:before="240" w:line="460" w:lineRule="exact"/>
        <w:ind w:firstLine="4640" w:firstLineChars="1450"/>
        <w:rPr>
          <w:rFonts w:ascii="仿宋_GB2312" w:hAnsi="仿宋" w:eastAsia="仿宋_GB2312" w:cs="宋体"/>
          <w:kern w:val="0"/>
          <w:sz w:val="32"/>
          <w:szCs w:val="32"/>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30056"/>
    <w:multiLevelType w:val="multilevel"/>
    <w:tmpl w:val="08F30056"/>
    <w:lvl w:ilvl="0" w:tentative="0">
      <w:start w:val="1"/>
      <w:numFmt w:val="japaneseCounting"/>
      <w:lvlText w:val="%1、"/>
      <w:lvlJc w:val="left"/>
      <w:pPr>
        <w:ind w:left="1360" w:hanging="720"/>
      </w:pPr>
      <w:rPr>
        <w:rFonts w:hint="default" w:cstheme="minorBidi"/>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12BA1934"/>
    <w:multiLevelType w:val="multilevel"/>
    <w:tmpl w:val="12BA1934"/>
    <w:lvl w:ilvl="0" w:tentative="0">
      <w:start w:val="5"/>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85F50F6"/>
    <w:multiLevelType w:val="multilevel"/>
    <w:tmpl w:val="385F50F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69DB507E"/>
    <w:multiLevelType w:val="multilevel"/>
    <w:tmpl w:val="69DB507E"/>
    <w:lvl w:ilvl="0" w:tentative="0">
      <w:start w:val="1"/>
      <w:numFmt w:val="decimal"/>
      <w:lvlText w:val="%1."/>
      <w:lvlJc w:val="left"/>
      <w:pPr>
        <w:ind w:left="360" w:hanging="360"/>
      </w:pPr>
      <w:rPr>
        <w:rFonts w:ascii="宋体" w:hAnsi="宋体" w:eastAsia="宋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hmMTYxNDVjMDM0MDQ2ZDM0NTZlYjFhMTFkZDMzYzcifQ=="/>
  </w:docVars>
  <w:rsids>
    <w:rsidRoot w:val="0067571C"/>
    <w:rsid w:val="00032CBD"/>
    <w:rsid w:val="0003745D"/>
    <w:rsid w:val="000E0B9D"/>
    <w:rsid w:val="000F2204"/>
    <w:rsid w:val="001E1434"/>
    <w:rsid w:val="00202987"/>
    <w:rsid w:val="00247809"/>
    <w:rsid w:val="002D117C"/>
    <w:rsid w:val="0030407D"/>
    <w:rsid w:val="00326628"/>
    <w:rsid w:val="003E7C3E"/>
    <w:rsid w:val="00404CBC"/>
    <w:rsid w:val="0042477A"/>
    <w:rsid w:val="00433B95"/>
    <w:rsid w:val="00472066"/>
    <w:rsid w:val="0047490D"/>
    <w:rsid w:val="00484D5F"/>
    <w:rsid w:val="00522223"/>
    <w:rsid w:val="00526749"/>
    <w:rsid w:val="00567918"/>
    <w:rsid w:val="006535D4"/>
    <w:rsid w:val="00654BB2"/>
    <w:rsid w:val="0067571C"/>
    <w:rsid w:val="006876C8"/>
    <w:rsid w:val="006C4A26"/>
    <w:rsid w:val="006F35E0"/>
    <w:rsid w:val="007A14D7"/>
    <w:rsid w:val="007C56A0"/>
    <w:rsid w:val="008B42DA"/>
    <w:rsid w:val="009D140B"/>
    <w:rsid w:val="00A17ACD"/>
    <w:rsid w:val="00A203BF"/>
    <w:rsid w:val="00A374EC"/>
    <w:rsid w:val="00A41A5D"/>
    <w:rsid w:val="00A47C4C"/>
    <w:rsid w:val="00A55CBF"/>
    <w:rsid w:val="00A844FE"/>
    <w:rsid w:val="00AD14E3"/>
    <w:rsid w:val="00B31479"/>
    <w:rsid w:val="00B33114"/>
    <w:rsid w:val="00B84994"/>
    <w:rsid w:val="00B91127"/>
    <w:rsid w:val="00BB1669"/>
    <w:rsid w:val="00BB21E2"/>
    <w:rsid w:val="00C41C29"/>
    <w:rsid w:val="00D85448"/>
    <w:rsid w:val="00DB70B6"/>
    <w:rsid w:val="00DD3E75"/>
    <w:rsid w:val="00DD61DF"/>
    <w:rsid w:val="00E04B6D"/>
    <w:rsid w:val="00E23F95"/>
    <w:rsid w:val="00E51C3B"/>
    <w:rsid w:val="00EB4551"/>
    <w:rsid w:val="46C4382F"/>
    <w:rsid w:val="57787143"/>
    <w:rsid w:val="5C9A7191"/>
    <w:rsid w:val="6FB14D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4"/>
    <w:semiHidden/>
    <w:uiPriority w:val="99"/>
    <w:rPr>
      <w:sz w:val="18"/>
      <w:szCs w:val="18"/>
    </w:rPr>
  </w:style>
  <w:style w:type="character" w:customStyle="1" w:styleId="10">
    <w:name w:val="页脚 Char"/>
    <w:basedOn w:val="8"/>
    <w:link w:val="3"/>
    <w:semiHidden/>
    <w:uiPriority w:val="99"/>
    <w:rPr>
      <w:sz w:val="18"/>
      <w:szCs w:val="18"/>
    </w:rPr>
  </w:style>
  <w:style w:type="paragraph" w:styleId="11">
    <w:name w:val="List Paragraph"/>
    <w:basedOn w:val="1"/>
    <w:qFormat/>
    <w:uiPriority w:val="99"/>
    <w:pPr>
      <w:ind w:firstLine="420" w:firstLineChars="200"/>
    </w:pPr>
  </w:style>
  <w:style w:type="character" w:customStyle="1" w:styleId="12">
    <w:name w:val="批注框文本 Char"/>
    <w:basedOn w:val="8"/>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388</Words>
  <Characters>2213</Characters>
  <Lines>18</Lines>
  <Paragraphs>5</Paragraphs>
  <TotalTime>409</TotalTime>
  <ScaleCrop>false</ScaleCrop>
  <LinksUpToDate>false</LinksUpToDate>
  <CharactersWithSpaces>2596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2018-05-28T04:33:00Z</dcterms:created>
  <dc:creator>Admin</dc:creator>
  <cp:lastModifiedBy>Administrator</cp:lastModifiedBy>
  <dcterms:modified xsi:type="dcterms:W3CDTF">2023-12-28T10:33:48Z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F644F41B4F7E4AA69406C247EA5AFADA</vt:lpwstr>
  </property>
</Properties>
</file>