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克拉玛依市中心医院净化空调机房高温水降温排放工程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投标人资格条件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一般资格条件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-79" w:leftChars="0" w:firstLine="709" w:firstLine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具有独立承担民事责任的能力；</w:t>
      </w:r>
    </w:p>
    <w:p>
      <w:pPr>
        <w:tabs>
          <w:tab w:val="left" w:pos="1134"/>
        </w:tabs>
        <w:snapToGrid w:val="0"/>
        <w:spacing w:line="460" w:lineRule="exact"/>
        <w:ind w:left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-79" w:leftChars="0" w:firstLine="709" w:firstLine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具有履行合同所必需的设备和专业技术能力；</w:t>
      </w:r>
    </w:p>
    <w:p>
      <w:pPr>
        <w:tabs>
          <w:tab w:val="left" w:pos="1134"/>
        </w:tabs>
        <w:snapToGrid w:val="0"/>
        <w:spacing w:line="460" w:lineRule="exact"/>
        <w:ind w:left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sz w:val="32"/>
          <w:szCs w:val="32"/>
        </w:rPr>
        <w:t>须在本地有固定的售后维修机构及人员（提供证明材料）。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-79" w:leftChars="0" w:firstLine="709" w:firstLine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有依法缴纳税收和社会保障资金的良好记录；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-79" w:leftChars="0" w:firstLine="709" w:firstLine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参加政府采购活动前三年内，未因违法经营受到刑事处罚或者责令停产停业、吊销许可证或者执照、较大数额罚款等行政处罚。</w:t>
      </w:r>
    </w:p>
    <w:p>
      <w:pPr>
        <w:numPr>
          <w:ilvl w:val="0"/>
          <w:numId w:val="4"/>
        </w:numPr>
        <w:tabs>
          <w:tab w:val="left" w:pos="1134"/>
        </w:tabs>
        <w:snapToGrid w:val="0"/>
        <w:spacing w:line="460" w:lineRule="exact"/>
        <w:ind w:left="48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特定资格条件</w:t>
      </w:r>
    </w:p>
    <w:p>
      <w:pPr>
        <w:tabs>
          <w:tab w:val="left" w:pos="1134"/>
        </w:tabs>
        <w:snapToGrid w:val="0"/>
        <w:spacing w:line="460" w:lineRule="exact"/>
        <w:ind w:left="70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具备建筑工程施工总承包三级资质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bookmarkStart w:id="2" w:name="_GoBack"/>
      <w:bookmarkEnd w:id="2"/>
    </w:p>
    <w:p>
      <w:pPr>
        <w:numPr>
          <w:ilvl w:val="0"/>
          <w:numId w:val="4"/>
        </w:numPr>
        <w:tabs>
          <w:tab w:val="left" w:pos="1134"/>
        </w:tabs>
        <w:snapToGrid w:val="0"/>
        <w:spacing w:line="460" w:lineRule="exact"/>
        <w:ind w:left="48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联合体投标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本项目不接受联合体投标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服务内容及要求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bookmarkStart w:id="0" w:name="_Toc438456195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（一）</w:t>
      </w:r>
      <w:bookmarkEnd w:id="0"/>
      <w:bookmarkStart w:id="1" w:name="_Toc490672253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招标项目</w:t>
      </w:r>
      <w:bookmarkEnd w:id="1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名称、预算、服务期限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tbl>
      <w:tblPr>
        <w:tblStyle w:val="7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383"/>
        <w:gridCol w:w="1401"/>
        <w:gridCol w:w="1482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62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序号</w:t>
            </w:r>
          </w:p>
        </w:tc>
        <w:tc>
          <w:tcPr>
            <w:tcW w:w="2383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项目名称</w:t>
            </w:r>
          </w:p>
        </w:tc>
        <w:tc>
          <w:tcPr>
            <w:tcW w:w="1401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采购预算</w:t>
            </w:r>
          </w:p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（万元）</w:t>
            </w:r>
          </w:p>
        </w:tc>
        <w:tc>
          <w:tcPr>
            <w:tcW w:w="1482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工期</w:t>
            </w:r>
          </w:p>
        </w:tc>
        <w:tc>
          <w:tcPr>
            <w:tcW w:w="2787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62" w:type="dxa"/>
            <w:vAlign w:val="center"/>
          </w:tcPr>
          <w:p>
            <w:pPr>
              <w:pStyle w:val="3"/>
              <w:ind w:left="0" w:firstLine="240" w:firstLineChars="100"/>
              <w:jc w:val="left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1</w:t>
            </w:r>
          </w:p>
        </w:tc>
        <w:tc>
          <w:tcPr>
            <w:tcW w:w="2383" w:type="dxa"/>
            <w:vAlign w:val="center"/>
          </w:tcPr>
          <w:p>
            <w:pPr>
              <w:spacing w:line="460" w:lineRule="exact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  <w:t>净化空调机房高温水降温排放工程</w:t>
            </w:r>
          </w:p>
        </w:tc>
        <w:tc>
          <w:tcPr>
            <w:tcW w:w="1401" w:type="dxa"/>
            <w:vAlign w:val="center"/>
          </w:tcPr>
          <w:p>
            <w:pPr>
              <w:pStyle w:val="3"/>
              <w:ind w:left="0" w:firstLine="480" w:firstLineChars="200"/>
              <w:jc w:val="left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20</w:t>
            </w:r>
          </w:p>
        </w:tc>
        <w:tc>
          <w:tcPr>
            <w:tcW w:w="1482" w:type="dxa"/>
            <w:vAlign w:val="center"/>
          </w:tcPr>
          <w:p>
            <w:pPr>
              <w:pStyle w:val="3"/>
              <w:ind w:left="0" w:firstLine="240" w:firstLineChars="100"/>
              <w:jc w:val="center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10天</w:t>
            </w:r>
          </w:p>
        </w:tc>
        <w:tc>
          <w:tcPr>
            <w:tcW w:w="2787" w:type="dxa"/>
            <w:vAlign w:val="center"/>
          </w:tcPr>
          <w:p>
            <w:pPr>
              <w:pStyle w:val="3"/>
              <w:ind w:left="0"/>
              <w:jc w:val="left"/>
              <w:rPr>
                <w:rFonts w:hint="default" w:ascii="仿宋" w:hAnsi="仿宋" w:eastAsia="仿宋"/>
                <w:szCs w:val="24"/>
                <w:lang w:val="en-US" w:eastAsia="zh-CN"/>
              </w:rPr>
            </w:pPr>
          </w:p>
        </w:tc>
      </w:tr>
    </w:tbl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（二）项目基本情况及服务内容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项目地点：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中心医院新院区</w:t>
      </w:r>
    </w:p>
    <w:p>
      <w:pPr>
        <w:spacing w:beforeLines="0" w:afterLines="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项目内容：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、医技楼4、5楼空调净化机房、医技楼2楼、G1层空调净化机房、妇幼楼3、6楼空调净化机房内，增设14台降温设备。2、医技楼4、5楼空调净化机房铺设KBC20金属镀锌穿线管500米+30m，安装明装插座底盒8个+1个，五孔插座8个+1个，BV-2.5电线500m*3根+30m*3根。铺设PPR32mm给水管400米，铺设PPR20给水管100米，DN20闸阀8个+1个。DN20镀锌钢管单独引出加湿器的排水至降温设备，长度15米，铺设镀锌支架固定8个。</w:t>
      </w:r>
    </w:p>
    <w:p>
      <w:pPr>
        <w:spacing w:beforeLines="0" w:afterLines="0"/>
        <w:jc w:val="left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3、医技楼2楼铺设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K</w:t>
      </w:r>
      <w:r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BG20金属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镀锌</w:t>
      </w:r>
      <w:r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穿线管35米，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安</w:t>
      </w:r>
      <w:r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装明装插座底盒2个，五孔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插座2</w:t>
      </w:r>
      <w:r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个，BV-2.5电线35m*3根。铺设PPR20给水管35米，安装DN20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闸阀</w:t>
      </w:r>
      <w:r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2个。DN20镀锌钢管9米，镀锌支架固定5个。</w:t>
      </w:r>
    </w:p>
    <w:p>
      <w:pPr>
        <w:spacing w:beforeLines="0" w:afterLines="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4、医技楼G1层铺设KBG20金属镀锌穿线管20m+20m，安装明装插座底盒1个+1个，五孔插座1个+1个，BV-2.5电线20m*3根+20m*3。铺设PPR20给水管20米，安装DN20闸阀1个。安装DN20镀锌钢管长度10米，铺设镀锌支架固定5个。</w:t>
      </w:r>
    </w:p>
    <w:p>
      <w:pPr>
        <w:spacing w:beforeLines="0" w:afterLines="0"/>
        <w:jc w:val="left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5、妇幼楼3楼空调净化机房铺设KBG20金属镀锌穿线管10米，安装明装插座底盒1个，五孔插座1个，BV-2.5电线10m*3根。铺设PPR20给水管25米，安装DN20闸阀1个。安装DN20镀锌钢管单独引出加湿器的排水至降温设备，长度5米，铺设镀锌支架固定3个。</w:t>
      </w:r>
    </w:p>
    <w:p>
      <w:pPr>
        <w:spacing w:beforeLines="0" w:afterLines="0"/>
        <w:jc w:val="left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本项目不组织集中踏勘，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为保障招标人权益具体工作量需各供应商自行勘察现场，并现场报名登记有效。</w:t>
      </w:r>
    </w:p>
    <w:p>
      <w:pPr>
        <w:numPr>
          <w:ilvl w:val="0"/>
          <w:numId w:val="5"/>
        </w:num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服务标准及考核办法</w:t>
      </w:r>
    </w:p>
    <w:p>
      <w:pPr>
        <w:numPr>
          <w:ilvl w:val="0"/>
          <w:numId w:val="6"/>
        </w:numPr>
        <w:spacing w:line="460" w:lineRule="exact"/>
        <w:ind w:left="0" w:firstLine="562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响应时间：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施工单位需提供24小时紧急售后服务电话，自接到院方报修通知后5分钟内做出响应，15分钟内到达现场进行故障评估及维修等服务。</w:t>
      </w:r>
    </w:p>
    <w:p>
      <w:pPr>
        <w:numPr>
          <w:ilvl w:val="0"/>
          <w:numId w:val="6"/>
        </w:numPr>
        <w:spacing w:line="460" w:lineRule="exact"/>
        <w:ind w:left="0" w:firstLine="562" w:firstLineChars="20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施工安全：</w:t>
      </w:r>
    </w:p>
    <w:p>
      <w:pPr>
        <w:numPr>
          <w:ilvl w:val="0"/>
          <w:numId w:val="7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医院范围内进行的改建、装修等施工项目，工程的设计，建筑材料的选用，施工组织方案，消防措施等须报院安委会批准后，方可施工。</w:t>
      </w:r>
    </w:p>
    <w:p>
      <w:pPr>
        <w:numPr>
          <w:ilvl w:val="0"/>
          <w:numId w:val="7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施工单位进场施工之前，必须与医院签定消防安全责任书，施工现场的消防安全，由施工单位负主体责任，院基建部门负责日常管理，院安全科对施工现场消防安全工作进行督导。</w:t>
      </w:r>
    </w:p>
    <w:p>
      <w:pPr>
        <w:numPr>
          <w:ilvl w:val="0"/>
          <w:numId w:val="7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施工单位进场施工时，必须先到安全科办理进场施工登记。施工方必须确定一名施工现场防火负责人，全面负责施工现场的消防安全工作。</w:t>
      </w:r>
    </w:p>
    <w:p>
      <w:pPr>
        <w:numPr>
          <w:ilvl w:val="0"/>
          <w:numId w:val="7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施工中使用的电器设备必须符合消防安全，严格防火措施，禁止违章作业，临时用电必须经过动力站同意，在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电工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班组</w:t>
      </w:r>
      <w:r>
        <w:rPr>
          <w:rFonts w:hint="eastAsia" w:ascii="宋体" w:hAnsi="宋体" w:eastAsia="宋体" w:cs="宋体"/>
          <w:sz w:val="28"/>
          <w:szCs w:val="28"/>
        </w:rPr>
        <w:t>协助下接电源，施工打开的电缆孔洞须及时用进行防火封堵。</w:t>
      </w:r>
    </w:p>
    <w:p>
      <w:pPr>
        <w:numPr>
          <w:ilvl w:val="0"/>
          <w:numId w:val="7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中不准大面积使用脱漆剂等易燃液体，尽可能避免现场进行喷漆作业。如必须在现场喷漆时，要有良好的通风和防止明火的措施。不得将易燃易爆物品存放在施工现场内，施工中必须使用的易燃易爆化学物品，应限当日施工用量带入院区，禁止在作业场所分装、调料。</w:t>
      </w:r>
    </w:p>
    <w:p>
      <w:pPr>
        <w:numPr>
          <w:ilvl w:val="0"/>
          <w:numId w:val="7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焊、割等动火作业必须经院安全科审批，氧气瓶、乙炔瓶、易燃易爆物品的距离应符合有关规定，并采取有效的安全隔离措施。</w:t>
      </w:r>
    </w:p>
    <w:p>
      <w:pPr>
        <w:numPr>
          <w:ilvl w:val="0"/>
          <w:numId w:val="7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工程施工不得影响建筑消防设施，在施工前对各类消防监控探头进行防灰防尘保护，避免造成消防系统损坏和误报。</w:t>
      </w:r>
    </w:p>
    <w:p>
      <w:pPr>
        <w:numPr>
          <w:ilvl w:val="0"/>
          <w:numId w:val="7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如果施工中有局部、短时间影响原有消防设施．设备的使用功能时，须事先制定详细施工计划和防护措施，报院安全科同意后方可施工操作。</w:t>
      </w:r>
    </w:p>
    <w:p>
      <w:pPr>
        <w:numPr>
          <w:ilvl w:val="0"/>
          <w:numId w:val="7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施工的堆料和垃圾临时存放指定地点，不得圈占消防设备及消防通道，不得堵塞走廊、楼梯和疏散通道。</w:t>
      </w:r>
    </w:p>
    <w:p>
      <w:pPr>
        <w:numPr>
          <w:ilvl w:val="0"/>
          <w:numId w:val="7"/>
        </w:numPr>
        <w:autoSpaceDN w:val="0"/>
        <w:spacing w:line="560" w:lineRule="exact"/>
        <w:ind w:left="0"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对违反本规定的违规行为处以500元-5000元处罚；造成损失的照价赔偿或修复，并分别根据情节轻重，依据《中华人民共和国消防法》及有关法规，追究其法律责任。</w:t>
      </w:r>
    </w:p>
    <w:p>
      <w:pPr>
        <w:numPr>
          <w:ilvl w:val="0"/>
          <w:numId w:val="6"/>
        </w:numPr>
        <w:spacing w:line="460" w:lineRule="exact"/>
        <w:ind w:left="0" w:firstLine="562" w:firstLineChars="20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工程质量：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根据《建设工程质量管理条例》及有关规定，工程的质量保修期如下：</w:t>
      </w:r>
    </w:p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地基基础工程和主体结构工程为设计文件规定的工程合理使用年限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屋面防水工程、有防水要求的卫生间、房间和外墙面的防渗为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装修工程为2年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电气管线、给排水管道、设备安装工程为2年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供热与供冷系统为2个采暖期、供冷期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工程范围</w:t>
      </w:r>
      <w:r>
        <w:rPr>
          <w:rFonts w:hint="eastAsia" w:ascii="宋体" w:hAnsi="宋体" w:eastAsia="宋体" w:cs="宋体"/>
          <w:sz w:val="28"/>
          <w:szCs w:val="28"/>
        </w:rPr>
        <w:t>内的给排水设施、道路等配套工程为2年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其他项目保修期限约定如下：2年。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质量保修期自工程竣工验收合格之日起计算，在质保期内出现质量问题，承包人负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责人</w:t>
      </w:r>
      <w:r>
        <w:rPr>
          <w:rFonts w:ascii="宋体" w:hAnsi="宋体" w:eastAsia="宋体" w:cs="宋体"/>
          <w:sz w:val="28"/>
          <w:szCs w:val="28"/>
        </w:rPr>
        <w:t>免费返修、整改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8"/>
        </w:numPr>
        <w:spacing w:line="460" w:lineRule="exact"/>
        <w:ind w:left="425" w:leftChars="0" w:hanging="425" w:firstLineChars="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施工中需要用到的材料，进场前一天必须通知基建管理人员进行现场验料，规格、材料、质量、数量等符合要求后，才能施工。如若瞒报验料，擅自使用非国标材料，返工造成的经济损失由施工方承担。</w:t>
      </w:r>
    </w:p>
    <w:p>
      <w:pPr>
        <w:numPr>
          <w:ilvl w:val="0"/>
          <w:numId w:val="0"/>
        </w:numPr>
        <w:spacing w:line="460" w:lineRule="exact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4.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工程材料使用要求：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施工中需要用到的材料，进场前一天必须通知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医院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基建管理人员进行现场验料（原材料进场三证齐全），品牌，规格、材料、质量、数量等符合要求后，才能施工。如若瞒报验料，擅自使用非国标材料，返工造成的经济损失由施工方承担。</w:t>
      </w:r>
    </w:p>
    <w:p>
      <w:pPr>
        <w:numPr>
          <w:ilvl w:val="0"/>
          <w:numId w:val="0"/>
        </w:numPr>
        <w:spacing w:line="460" w:lineRule="exact"/>
        <w:ind w:leftChars="20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竣工验收合格标准：</w:t>
      </w:r>
    </w:p>
    <w:p>
      <w:pPr>
        <w:numPr>
          <w:ilvl w:val="0"/>
          <w:numId w:val="9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电改造工程施工工艺及验收标准</w:t>
      </w:r>
    </w:p>
    <w:p>
      <w:pPr>
        <w:numPr>
          <w:ilvl w:val="0"/>
          <w:numId w:val="10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同一房间同一类型的开关、插座高度一致，相邻面板间的间距一致，安装牢固、盖板端正、位置合理、表面清洁。</w:t>
      </w:r>
    </w:p>
    <w:p>
      <w:pPr>
        <w:numPr>
          <w:ilvl w:val="0"/>
          <w:numId w:val="10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所有房间灯具使用正常。</w:t>
      </w:r>
    </w:p>
    <w:p>
      <w:pPr>
        <w:numPr>
          <w:ilvl w:val="0"/>
          <w:numId w:val="10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所有房间电源及空调插座使用正常。</w:t>
      </w:r>
    </w:p>
    <w:p>
      <w:pPr>
        <w:numPr>
          <w:ilvl w:val="0"/>
          <w:numId w:val="10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所有房间电话、音响、电视、网络线可正常使用。</w:t>
      </w:r>
    </w:p>
    <w:p>
      <w:pPr>
        <w:numPr>
          <w:ilvl w:val="0"/>
          <w:numId w:val="10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提供本次装修线路改造的竣工图给客户，标明导线规格及线路走向。</w:t>
      </w:r>
    </w:p>
    <w:p>
      <w:pPr>
        <w:numPr>
          <w:ilvl w:val="0"/>
          <w:numId w:val="10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所有安装的电器设备（如排气扇、浴霸、感应设备等）使用正常。</w:t>
      </w:r>
    </w:p>
    <w:p>
      <w:pPr>
        <w:numPr>
          <w:ilvl w:val="0"/>
          <w:numId w:val="10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原建筑所有系统（如消防系统、排烟系统、通风系统、物流系统、院感系统等）使用正常。</w:t>
      </w:r>
    </w:p>
    <w:p>
      <w:pPr>
        <w:numPr>
          <w:ilvl w:val="0"/>
          <w:numId w:val="9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水改造工程施工工艺及验收标准</w:t>
      </w:r>
    </w:p>
    <w:p>
      <w:pPr>
        <w:numPr>
          <w:ilvl w:val="0"/>
          <w:numId w:val="11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所有龙头使用方便、滤网清洁干净，左热右冷安装无误。</w:t>
      </w:r>
    </w:p>
    <w:p>
      <w:pPr>
        <w:numPr>
          <w:ilvl w:val="0"/>
          <w:numId w:val="11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卫生器具安装牢固平稳，无损伤，使用方便、无渗漏、排水通畅。</w:t>
      </w:r>
    </w:p>
    <w:p>
      <w:pPr>
        <w:numPr>
          <w:ilvl w:val="0"/>
          <w:numId w:val="11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所有接有软管的用水器在接口处都已安装三角减压阀，并调节到合理位置。</w:t>
      </w:r>
    </w:p>
    <w:p>
      <w:pPr>
        <w:numPr>
          <w:ilvl w:val="0"/>
          <w:numId w:val="11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地漏低于安装处的排水表面。</w:t>
      </w:r>
    </w:p>
    <w:p>
      <w:pPr>
        <w:numPr>
          <w:ilvl w:val="0"/>
          <w:numId w:val="11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热水器进气、进出水安装正确，正常使用。</w:t>
      </w:r>
    </w:p>
    <w:p>
      <w:pPr>
        <w:numPr>
          <w:ilvl w:val="0"/>
          <w:numId w:val="11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天然气使用正常。</w:t>
      </w:r>
    </w:p>
    <w:p>
      <w:pPr>
        <w:numPr>
          <w:ilvl w:val="0"/>
          <w:numId w:val="9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墙砖工程施工工艺及验收标准</w:t>
      </w:r>
    </w:p>
    <w:p>
      <w:pPr>
        <w:numPr>
          <w:ilvl w:val="0"/>
          <w:numId w:val="12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表面洁净，不得有划痕，色泽均匀，图案清晰，接缝均匀，板块无裂纹、缺棱掉角等现象；</w:t>
      </w:r>
    </w:p>
    <w:p>
      <w:pPr>
        <w:numPr>
          <w:ilvl w:val="0"/>
          <w:numId w:val="12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墙砖粘贴时，平整度用2M靠尺检查，平整度≤2㎜，相邻间缝隙宽度≤2㎜，平直度≤3㎜，接缝高低差≤1㎜。</w:t>
      </w:r>
    </w:p>
    <w:p>
      <w:pPr>
        <w:numPr>
          <w:ilvl w:val="0"/>
          <w:numId w:val="12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墙砖粘贴时必须牢固，无歪斜。空鼓控制在总数的5%，单片空鼓面积不超过10%。</w:t>
      </w:r>
    </w:p>
    <w:p>
      <w:pPr>
        <w:numPr>
          <w:ilvl w:val="0"/>
          <w:numId w:val="12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墙砖粘贴阴阳角必须用角尺检查成90度，砖粘贴阳角必须45°碰角，碰角严密，缝隙贯通。</w:t>
      </w:r>
    </w:p>
    <w:p>
      <w:pPr>
        <w:numPr>
          <w:ilvl w:val="0"/>
          <w:numId w:val="12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墙砖切开关插座位置时,位置必须准确,保证开关面板装好后缝隙严缝。</w:t>
      </w:r>
    </w:p>
    <w:p>
      <w:pPr>
        <w:numPr>
          <w:ilvl w:val="0"/>
          <w:numId w:val="12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墙砖的管道出口位掏孔处理，掏孔应严密。</w:t>
      </w:r>
    </w:p>
    <w:p>
      <w:pPr>
        <w:numPr>
          <w:ilvl w:val="0"/>
          <w:numId w:val="12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墙砖镶贴时，与门洞的交口应平整，缝隙顺直均匀。</w:t>
      </w:r>
    </w:p>
    <w:p>
      <w:pPr>
        <w:numPr>
          <w:ilvl w:val="0"/>
          <w:numId w:val="9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地砖工程施工工艺及验收标准</w:t>
      </w:r>
    </w:p>
    <w:p>
      <w:pPr>
        <w:numPr>
          <w:ilvl w:val="0"/>
          <w:numId w:val="13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表面洁净，纹路一致，无划痕，无色差，无裂纹、无污染、缺棱掉角等现象。</w:t>
      </w:r>
    </w:p>
    <w:p>
      <w:pPr>
        <w:numPr>
          <w:ilvl w:val="0"/>
          <w:numId w:val="13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地砖边与墙交接处缝隙合适，踢脚线能完全将缝隙盖住。</w:t>
      </w:r>
    </w:p>
    <w:p>
      <w:pPr>
        <w:numPr>
          <w:ilvl w:val="0"/>
          <w:numId w:val="13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地砖平整度用2M水平尺检查，误差不得超过2㎜，相邻砖高差不得超过1㎜。</w:t>
      </w:r>
    </w:p>
    <w:p>
      <w:pPr>
        <w:numPr>
          <w:ilvl w:val="0"/>
          <w:numId w:val="13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地砖粘贴时必须牢固，空鼓控制在总数的5%，单片空鼓面积不超过10%（主要通道上不得有空鼓）。</w:t>
      </w:r>
    </w:p>
    <w:p>
      <w:pPr>
        <w:numPr>
          <w:ilvl w:val="0"/>
          <w:numId w:val="13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地砖缝宽1㎜，不得超过2㎜，勾缝均匀，顺直。</w:t>
      </w:r>
    </w:p>
    <w:p>
      <w:pPr>
        <w:numPr>
          <w:ilvl w:val="0"/>
          <w:numId w:val="13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水平误差不超过3㎜。</w:t>
      </w:r>
    </w:p>
    <w:p>
      <w:pPr>
        <w:numPr>
          <w:ilvl w:val="0"/>
          <w:numId w:val="9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门窗工程施工工艺及验收标准</w:t>
      </w:r>
    </w:p>
    <w:p>
      <w:pPr>
        <w:numPr>
          <w:ilvl w:val="0"/>
          <w:numId w:val="14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门套垂直度允许误差≤1㎜，对角线允许误差≤2㎜，相同类型的门应作到高度一致。</w:t>
      </w:r>
    </w:p>
    <w:p>
      <w:pPr>
        <w:numPr>
          <w:ilvl w:val="0"/>
          <w:numId w:val="14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门窗扇安装：安装后应开关灵活，门窗与地面（面层高度）距离5-8mm，门扇左，右，上口间隙2-3mm，门扇与门档结合严密，缝隙≤2mm，门扇装好后，不得高于边线厚度。</w:t>
      </w:r>
    </w:p>
    <w:p>
      <w:pPr>
        <w:numPr>
          <w:ilvl w:val="0"/>
          <w:numId w:val="14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合页安装位置适宜、固定可靠，螺钉齐全，不得车胚、滑丝，平整、牢固。门碰安装固定牢实，位置合理。</w:t>
      </w:r>
    </w:p>
    <w:p>
      <w:pPr>
        <w:numPr>
          <w:ilvl w:val="0"/>
          <w:numId w:val="14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门锁离地高度900-1000mm（锁中心位），安装牢固，开启自如。锁具无污染、划痕。</w:t>
      </w:r>
    </w:p>
    <w:p>
      <w:pPr>
        <w:numPr>
          <w:ilvl w:val="0"/>
          <w:numId w:val="14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推拉门开启自如、轻松，无擦挂，横竖缝应均匀、严密。</w:t>
      </w:r>
    </w:p>
    <w:p>
      <w:pPr>
        <w:numPr>
          <w:ilvl w:val="0"/>
          <w:numId w:val="14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门窗外观表面洁净，无划痕、碰伤、浸蚀。</w:t>
      </w:r>
    </w:p>
    <w:p>
      <w:pPr>
        <w:numPr>
          <w:ilvl w:val="0"/>
          <w:numId w:val="9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家俱工程施工工艺及验收标准</w:t>
      </w:r>
    </w:p>
    <w:p>
      <w:pPr>
        <w:numPr>
          <w:ilvl w:val="0"/>
          <w:numId w:val="15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外观面板木纹顺直、美观，色差小，板面无瑕疵、划痕等损伤。</w:t>
      </w:r>
    </w:p>
    <w:p>
      <w:pPr>
        <w:numPr>
          <w:ilvl w:val="0"/>
          <w:numId w:val="15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收口线条挑选使用，色泽均匀，无明显缺陷，接缝顺直、清洁，修边时未修伤面板。</w:t>
      </w:r>
    </w:p>
    <w:p>
      <w:pPr>
        <w:numPr>
          <w:ilvl w:val="0"/>
          <w:numId w:val="15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门扇无变形，开启自如，门板间隙缝均匀，尺寸为1-2㎜，门扇关闭时不得超出柜帽。</w:t>
      </w:r>
    </w:p>
    <w:p>
      <w:pPr>
        <w:numPr>
          <w:ilvl w:val="0"/>
          <w:numId w:val="15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合页及其它柜内五金件安装紧固，开启灵活,螺钉齐全，滑轨清松自如。</w:t>
      </w:r>
    </w:p>
    <w:p>
      <w:pPr>
        <w:numPr>
          <w:ilvl w:val="0"/>
          <w:numId w:val="15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柜内清洁干净,无污染，背板应固定牢固。</w:t>
      </w:r>
    </w:p>
    <w:p>
      <w:pPr>
        <w:numPr>
          <w:ilvl w:val="0"/>
          <w:numId w:val="15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柜体垂直度≤2㎜，水平误差≤1㎜，翘曲度≤2㎜，对角线误差≤3㎜。</w:t>
      </w:r>
    </w:p>
    <w:p>
      <w:pPr>
        <w:numPr>
          <w:ilvl w:val="0"/>
          <w:numId w:val="9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油漆工程施工工艺及验收标准</w:t>
      </w:r>
    </w:p>
    <w:p>
      <w:pPr>
        <w:numPr>
          <w:ilvl w:val="0"/>
          <w:numId w:val="16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手感光滑、无颗粒感。</w:t>
      </w:r>
    </w:p>
    <w:p>
      <w:pPr>
        <w:numPr>
          <w:ilvl w:val="0"/>
          <w:numId w:val="16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漆面饱和。</w:t>
      </w:r>
    </w:p>
    <w:p>
      <w:pPr>
        <w:numPr>
          <w:ilvl w:val="0"/>
          <w:numId w:val="16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光泽合适、（清面漆清亮、透明度高）。</w:t>
      </w:r>
    </w:p>
    <w:p>
      <w:pPr>
        <w:numPr>
          <w:ilvl w:val="0"/>
          <w:numId w:val="16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无流坠、刷痕。</w:t>
      </w:r>
    </w:p>
    <w:p>
      <w:pPr>
        <w:numPr>
          <w:ilvl w:val="0"/>
          <w:numId w:val="16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对其它工种无污染。</w:t>
      </w:r>
    </w:p>
    <w:p>
      <w:pPr>
        <w:numPr>
          <w:ilvl w:val="0"/>
          <w:numId w:val="16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清漆基层无污染。</w:t>
      </w:r>
    </w:p>
    <w:p>
      <w:pPr>
        <w:numPr>
          <w:ilvl w:val="0"/>
          <w:numId w:val="16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混油基层平整、光滑，无挡手感。</w:t>
      </w:r>
    </w:p>
    <w:p>
      <w:pPr>
        <w:numPr>
          <w:ilvl w:val="0"/>
          <w:numId w:val="16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透底有色漆施工色彩、深浅均匀一致。</w:t>
      </w:r>
    </w:p>
    <w:p>
      <w:pPr>
        <w:numPr>
          <w:ilvl w:val="0"/>
          <w:numId w:val="9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乳胶漆工程施工工艺及验收标准</w:t>
      </w:r>
    </w:p>
    <w:p>
      <w:pPr>
        <w:numPr>
          <w:ilvl w:val="0"/>
          <w:numId w:val="17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无刷纹、流坠。</w:t>
      </w:r>
    </w:p>
    <w:p>
      <w:pPr>
        <w:numPr>
          <w:ilvl w:val="0"/>
          <w:numId w:val="17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手感平整、光滑，无挡手感、无明显颗粒感。</w:t>
      </w:r>
    </w:p>
    <w:p>
      <w:pPr>
        <w:numPr>
          <w:ilvl w:val="0"/>
          <w:numId w:val="17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无掉粉、起皮、裂缝现象。</w:t>
      </w:r>
    </w:p>
    <w:p>
      <w:pPr>
        <w:numPr>
          <w:ilvl w:val="0"/>
          <w:numId w:val="17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无透底、反碱、咬色现象，色彩均匀一致。</w:t>
      </w:r>
    </w:p>
    <w:p>
      <w:pPr>
        <w:numPr>
          <w:ilvl w:val="0"/>
          <w:numId w:val="17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未污染其它工种（与木作、开关面板等的接口必须严密、平整，不得漏缝未刷及污染）。</w:t>
      </w:r>
    </w:p>
    <w:p>
      <w:pPr>
        <w:numPr>
          <w:ilvl w:val="0"/>
          <w:numId w:val="17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乳胶漆做线条饰面时，应线条纹理应清楚、贯通。</w:t>
      </w:r>
    </w:p>
    <w:p>
      <w:pPr>
        <w:numPr>
          <w:ilvl w:val="0"/>
          <w:numId w:val="9"/>
        </w:numPr>
        <w:spacing w:line="460" w:lineRule="exac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吊顶工程施工工艺及验收标准</w:t>
      </w:r>
    </w:p>
    <w:p>
      <w:pPr>
        <w:numPr>
          <w:ilvl w:val="0"/>
          <w:numId w:val="18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表面应平整，不得有污染、折裂、缺棱掉角或锤伤等缺陷，接缝应均匀一致。</w:t>
      </w:r>
    </w:p>
    <w:p>
      <w:pPr>
        <w:numPr>
          <w:ilvl w:val="0"/>
          <w:numId w:val="18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用2米靠尺检查，平整度误差在3㎜以内。</w:t>
      </w:r>
    </w:p>
    <w:p>
      <w:pPr>
        <w:numPr>
          <w:ilvl w:val="0"/>
          <w:numId w:val="18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光带、造型部分平直、无波浪，弧形、圆形吊顶光滑、顺畅。</w:t>
      </w:r>
    </w:p>
    <w:p>
      <w:pPr>
        <w:numPr>
          <w:ilvl w:val="0"/>
          <w:numId w:val="18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装饰线条接缝光滑、顺畅，色差小，阴阳角接口严密。</w:t>
      </w:r>
    </w:p>
    <w:p>
      <w:pPr>
        <w:numPr>
          <w:ilvl w:val="0"/>
          <w:numId w:val="18"/>
        </w:numPr>
        <w:spacing w:line="4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扣板施工，平整顺直，板面不被有污染、划痕、损伤，收口线接缝应严密。</w:t>
      </w:r>
    </w:p>
    <w:p>
      <w:pPr>
        <w:numPr>
          <w:ilvl w:val="0"/>
          <w:numId w:val="6"/>
        </w:numPr>
        <w:spacing w:line="460" w:lineRule="exact"/>
        <w:ind w:left="0"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水电保障：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施工过程中不得擅自停水，如若需要停水必须上报基建管理人员，听从停水时间安排。临时接水需打用水报告；临时接电需拨打电工班6861430，经我院电工进行现场指定接电点后，方可接电；施工区做到成品保护、烟感防护；门诊部工作时间不得施工，病区休息时间不得施工。</w:t>
      </w:r>
    </w:p>
    <w:p>
      <w:pPr>
        <w:numPr>
          <w:ilvl w:val="0"/>
          <w:numId w:val="6"/>
        </w:numPr>
        <w:spacing w:line="460" w:lineRule="exact"/>
        <w:ind w:left="0"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考核办法：</w:t>
      </w:r>
    </w:p>
    <w:p>
      <w:pPr>
        <w:numPr>
          <w:ilvl w:val="0"/>
          <w:numId w:val="19"/>
        </w:numPr>
        <w:spacing w:line="460" w:lineRule="exact"/>
        <w:ind w:left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施工单位未经基建办允许擅自开工，处罚500元；</w:t>
      </w:r>
    </w:p>
    <w:p>
      <w:pPr>
        <w:numPr>
          <w:ilvl w:val="0"/>
          <w:numId w:val="19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施工期间影响医疗工作和病人休息，处罚1000元；</w:t>
      </w:r>
    </w:p>
    <w:p>
      <w:pPr>
        <w:numPr>
          <w:ilvl w:val="0"/>
          <w:numId w:val="19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施工前未办理动电报告、动火报告，处罚500元；</w:t>
      </w:r>
    </w:p>
    <w:p>
      <w:pPr>
        <w:numPr>
          <w:ilvl w:val="0"/>
          <w:numId w:val="19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施工期间擅自停水、停电，处罚500元；</w:t>
      </w:r>
    </w:p>
    <w:p>
      <w:pPr>
        <w:numPr>
          <w:ilvl w:val="0"/>
          <w:numId w:val="19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施工期间造成跑水、断电情况，由施工单位承担一切后果，赔偿一切损失并处罚1000元；</w:t>
      </w:r>
    </w:p>
    <w:p>
      <w:pPr>
        <w:numPr>
          <w:ilvl w:val="0"/>
          <w:numId w:val="19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施工过程中产生大粉尘，造成消防烟感系统报警，处罚1000元；</w:t>
      </w:r>
    </w:p>
    <w:p>
      <w:pPr>
        <w:numPr>
          <w:ilvl w:val="0"/>
          <w:numId w:val="19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将建筑垃圾倒入生活垃圾箱，处罚500元；</w:t>
      </w:r>
    </w:p>
    <w:p>
      <w:pPr>
        <w:numPr>
          <w:ilvl w:val="0"/>
          <w:numId w:val="19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建筑垃圾堆放在生活垃圾箱旁，影响生活垃圾回收，处罚500元；</w:t>
      </w:r>
    </w:p>
    <w:p>
      <w:pPr>
        <w:numPr>
          <w:ilvl w:val="0"/>
          <w:numId w:val="19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施工人员在工地抽烟、随地大小便，处罚500元；</w:t>
      </w:r>
    </w:p>
    <w:p>
      <w:pPr>
        <w:numPr>
          <w:ilvl w:val="0"/>
          <w:numId w:val="19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特殊环境作业（如高处作业、受限空间作业、深度开挖作业等等）没有岗前安全教育、没有应急预案、没有安全防护、出现安全隐患的行为等不安全现象，立刻停工整改，并处罚1000元。</w:t>
      </w:r>
    </w:p>
    <w:p>
      <w:pPr>
        <w:numPr>
          <w:ilvl w:val="0"/>
          <w:numId w:val="19"/>
        </w:numPr>
        <w:spacing w:line="460" w:lineRule="exact"/>
        <w:ind w:lef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隐蔽工程必须上报基建办公室相关管理人员，到达现场核量及拍照，如瞒报、迟报没有现场拍照，基建管理人员一律不予签字确认，视为没有发生的工作量，一切经济损失由施工方承担。</w:t>
      </w:r>
    </w:p>
    <w:p>
      <w:pPr>
        <w:numPr>
          <w:ilvl w:val="0"/>
          <w:numId w:val="19"/>
        </w:numPr>
        <w:spacing w:line="460" w:lineRule="exact"/>
        <w:ind w:lef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工期延期交工一天扣除合同金额1000元/天，延期超过10天以上扣除合同金额2000元/天；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服务地点</w:t>
      </w:r>
    </w:p>
    <w:p>
      <w:pPr>
        <w:spacing w:line="460" w:lineRule="exact"/>
        <w:ind w:firstLine="495" w:firstLineChars="177"/>
        <w:rPr>
          <w:rFonts w:ascii="宋体" w:hAnsi="宋体" w:eastAsia="宋体" w:cs="宋体"/>
          <w:kern w:val="0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克拉玛依市中心医院新院区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spacing w:line="46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付款方式</w:t>
      </w:r>
    </w:p>
    <w:p>
      <w:pPr>
        <w:spacing w:line="460" w:lineRule="exact"/>
        <w:ind w:firstLine="495" w:firstLineChars="177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项目竣工验收合格后，合同最终价款由财政局委托第三方审计单位进行审计，以财政局出具的工程造价核定意见书进行结算。验收合格后付总金额的97%，余款3%保修期满验收合格后支付。</w:t>
      </w:r>
    </w:p>
    <w:p>
      <w:pPr>
        <w:spacing w:line="460" w:lineRule="exact"/>
        <w:ind w:firstLine="495" w:firstLineChars="177"/>
        <w:rPr>
          <w:rFonts w:ascii="宋体" w:hAnsi="宋体" w:eastAsia="宋体" w:cs="宋体"/>
          <w:kern w:val="0"/>
          <w:sz w:val="28"/>
          <w:szCs w:val="28"/>
        </w:rPr>
      </w:pP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拟签订的合同文本</w:t>
      </w:r>
    </w:p>
    <w:p>
      <w:pPr>
        <w:pStyle w:val="12"/>
        <w:spacing w:line="460" w:lineRule="exact"/>
        <w:ind w:left="640" w:firstLine="0" w:firstLineChars="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执行中心医院合同模板</w:t>
      </w:r>
    </w:p>
    <w:p>
      <w:pPr>
        <w:snapToGrid w:val="0"/>
        <w:spacing w:line="46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采购单位咨询电话</w:t>
      </w:r>
    </w:p>
    <w:p>
      <w:pPr>
        <w:snapToGrid w:val="0"/>
        <w:spacing w:line="460" w:lineRule="exact"/>
        <w:ind w:firstLine="800" w:firstLineChars="25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联系人：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韩骁强</w:t>
      </w:r>
    </w:p>
    <w:p>
      <w:pPr>
        <w:snapToGrid w:val="0"/>
        <w:spacing w:line="460" w:lineRule="exact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手机号：</w:t>
      </w:r>
      <w:r>
        <w:rPr>
          <w:rFonts w:ascii="仿宋_GB2312" w:hAnsi="仿宋" w:eastAsia="仿宋_GB2312" w:cs="宋体"/>
          <w:kern w:val="0"/>
          <w:sz w:val="32"/>
          <w:szCs w:val="32"/>
        </w:rPr>
        <w:t>+86-1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3369906798</w:t>
      </w:r>
    </w:p>
    <w:p>
      <w:pPr>
        <w:snapToGrid w:val="0"/>
        <w:spacing w:line="460" w:lineRule="exac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采购人名称：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克拉玛依市中心医院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2C103"/>
    <w:multiLevelType w:val="singleLevel"/>
    <w:tmpl w:val="A152C10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4DFE431"/>
    <w:multiLevelType w:val="singleLevel"/>
    <w:tmpl w:val="A4DFE43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DCB3438"/>
    <w:multiLevelType w:val="singleLevel"/>
    <w:tmpl w:val="CDCB343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DA0D0C4A"/>
    <w:multiLevelType w:val="singleLevel"/>
    <w:tmpl w:val="DA0D0C4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08F30056"/>
    <w:multiLevelType w:val="multilevel"/>
    <w:tmpl w:val="08F3005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29148B7"/>
    <w:multiLevelType w:val="singleLevel"/>
    <w:tmpl w:val="129148B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183C604A"/>
    <w:multiLevelType w:val="singleLevel"/>
    <w:tmpl w:val="183C604A"/>
    <w:lvl w:ilvl="0" w:tentative="0">
      <w:start w:val="1"/>
      <w:numFmt w:val="japaneseCounting"/>
      <w:pStyle w:val="10"/>
      <w:lvlText w:val="%1、"/>
      <w:lvlJc w:val="left"/>
      <w:pPr>
        <w:tabs>
          <w:tab w:val="left" w:pos="960"/>
        </w:tabs>
        <w:ind w:left="960" w:hanging="480"/>
      </w:pPr>
      <w:rPr>
        <w:rFonts w:hint="eastAsia"/>
        <w:b/>
      </w:rPr>
    </w:lvl>
  </w:abstractNum>
  <w:abstractNum w:abstractNumId="7">
    <w:nsid w:val="1AC9C995"/>
    <w:multiLevelType w:val="singleLevel"/>
    <w:tmpl w:val="1AC9C99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24E2C546"/>
    <w:multiLevelType w:val="singleLevel"/>
    <w:tmpl w:val="24E2C5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35A6F2CE"/>
    <w:multiLevelType w:val="singleLevel"/>
    <w:tmpl w:val="35A6F2C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385F50F6"/>
    <w:multiLevelType w:val="multilevel"/>
    <w:tmpl w:val="385F50F6"/>
    <w:lvl w:ilvl="0" w:tentative="0">
      <w:start w:val="1"/>
      <w:numFmt w:val="decimal"/>
      <w:lvlText w:val="%1."/>
      <w:lvlJc w:val="left"/>
      <w:pPr>
        <w:ind w:left="821" w:hanging="420"/>
      </w:pPr>
      <w:rPr>
        <w:rFonts w:hint="default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86919F0"/>
    <w:multiLevelType w:val="singleLevel"/>
    <w:tmpl w:val="386919F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theme="minorEastAsia"/>
        <w:b w:val="0"/>
        <w:bCs w:val="0"/>
        <w:sz w:val="28"/>
        <w:szCs w:val="28"/>
      </w:rPr>
    </w:lvl>
  </w:abstractNum>
  <w:abstractNum w:abstractNumId="12">
    <w:nsid w:val="3BBDF306"/>
    <w:multiLevelType w:val="singleLevel"/>
    <w:tmpl w:val="3BBDF30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3D764D50"/>
    <w:multiLevelType w:val="singleLevel"/>
    <w:tmpl w:val="3D764D5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44F38685"/>
    <w:multiLevelType w:val="singleLevel"/>
    <w:tmpl w:val="44F3868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">
    <w:nsid w:val="46C6FF7F"/>
    <w:multiLevelType w:val="singleLevel"/>
    <w:tmpl w:val="46C6FF7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">
    <w:nsid w:val="498CDA5B"/>
    <w:multiLevelType w:val="singleLevel"/>
    <w:tmpl w:val="498CDA5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">
    <w:nsid w:val="4DCA3602"/>
    <w:multiLevelType w:val="singleLevel"/>
    <w:tmpl w:val="4DCA360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8">
    <w:nsid w:val="60CDB69D"/>
    <w:multiLevelType w:val="singleLevel"/>
    <w:tmpl w:val="60CDB69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8"/>
  </w:num>
  <w:num w:numId="5">
    <w:abstractNumId w:val="13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15"/>
  </w:num>
  <w:num w:numId="11">
    <w:abstractNumId w:val="12"/>
  </w:num>
  <w:num w:numId="12">
    <w:abstractNumId w:val="1"/>
  </w:num>
  <w:num w:numId="13">
    <w:abstractNumId w:val="17"/>
  </w:num>
  <w:num w:numId="14">
    <w:abstractNumId w:val="0"/>
  </w:num>
  <w:num w:numId="15">
    <w:abstractNumId w:val="16"/>
  </w:num>
  <w:num w:numId="16">
    <w:abstractNumId w:val="2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zU2NzQ5MDQ0OTg2YzczYjYxNzhhOWZlYjI1YzEifQ=="/>
    <w:docVar w:name="KSO_WPS_MARK_KEY" w:val="92b83d2f-bf73-4d00-8c8e-6efce8702c9a"/>
  </w:docVars>
  <w:rsids>
    <w:rsidRoot w:val="00172A27"/>
    <w:rsid w:val="00031E9E"/>
    <w:rsid w:val="000379C8"/>
    <w:rsid w:val="00042D10"/>
    <w:rsid w:val="000500ED"/>
    <w:rsid w:val="00062936"/>
    <w:rsid w:val="00073EA7"/>
    <w:rsid w:val="00073FF0"/>
    <w:rsid w:val="00092899"/>
    <w:rsid w:val="00097E4C"/>
    <w:rsid w:val="000A593B"/>
    <w:rsid w:val="000B1F4B"/>
    <w:rsid w:val="000E4C2D"/>
    <w:rsid w:val="001028AB"/>
    <w:rsid w:val="0010635C"/>
    <w:rsid w:val="00133C19"/>
    <w:rsid w:val="00141DF8"/>
    <w:rsid w:val="00155852"/>
    <w:rsid w:val="00167C50"/>
    <w:rsid w:val="001714BC"/>
    <w:rsid w:val="00171990"/>
    <w:rsid w:val="0017612A"/>
    <w:rsid w:val="001B4C76"/>
    <w:rsid w:val="001D0DCF"/>
    <w:rsid w:val="00200C72"/>
    <w:rsid w:val="00221FD4"/>
    <w:rsid w:val="00226C24"/>
    <w:rsid w:val="002344BD"/>
    <w:rsid w:val="00266ED1"/>
    <w:rsid w:val="00276620"/>
    <w:rsid w:val="002913F0"/>
    <w:rsid w:val="0029332E"/>
    <w:rsid w:val="002B2830"/>
    <w:rsid w:val="002C0BC1"/>
    <w:rsid w:val="002C6A60"/>
    <w:rsid w:val="002E0C22"/>
    <w:rsid w:val="002E56EC"/>
    <w:rsid w:val="002E5A7B"/>
    <w:rsid w:val="002E74FD"/>
    <w:rsid w:val="002F022C"/>
    <w:rsid w:val="002F1120"/>
    <w:rsid w:val="002F6109"/>
    <w:rsid w:val="002F683F"/>
    <w:rsid w:val="00323192"/>
    <w:rsid w:val="00324E2E"/>
    <w:rsid w:val="0032717E"/>
    <w:rsid w:val="003402B0"/>
    <w:rsid w:val="00345BFE"/>
    <w:rsid w:val="00345EB4"/>
    <w:rsid w:val="003460C1"/>
    <w:rsid w:val="00373DF2"/>
    <w:rsid w:val="0038714D"/>
    <w:rsid w:val="0039146B"/>
    <w:rsid w:val="00394AB6"/>
    <w:rsid w:val="00397403"/>
    <w:rsid w:val="003F0DF9"/>
    <w:rsid w:val="0040472C"/>
    <w:rsid w:val="00407B9F"/>
    <w:rsid w:val="00416605"/>
    <w:rsid w:val="00441012"/>
    <w:rsid w:val="00442011"/>
    <w:rsid w:val="0045339D"/>
    <w:rsid w:val="00476CAF"/>
    <w:rsid w:val="004A70CD"/>
    <w:rsid w:val="004B2F31"/>
    <w:rsid w:val="004C08B3"/>
    <w:rsid w:val="004C77DA"/>
    <w:rsid w:val="004E327E"/>
    <w:rsid w:val="004E5560"/>
    <w:rsid w:val="004E69A2"/>
    <w:rsid w:val="004F3BD7"/>
    <w:rsid w:val="00500A8E"/>
    <w:rsid w:val="0051111B"/>
    <w:rsid w:val="00511187"/>
    <w:rsid w:val="00521522"/>
    <w:rsid w:val="00524C90"/>
    <w:rsid w:val="00535737"/>
    <w:rsid w:val="0053621E"/>
    <w:rsid w:val="00546214"/>
    <w:rsid w:val="005532CE"/>
    <w:rsid w:val="00561EC6"/>
    <w:rsid w:val="00563AF9"/>
    <w:rsid w:val="005744C3"/>
    <w:rsid w:val="005805E2"/>
    <w:rsid w:val="005D5CC3"/>
    <w:rsid w:val="005F1511"/>
    <w:rsid w:val="00601841"/>
    <w:rsid w:val="00603260"/>
    <w:rsid w:val="0061713F"/>
    <w:rsid w:val="006179A0"/>
    <w:rsid w:val="006302BD"/>
    <w:rsid w:val="0063292C"/>
    <w:rsid w:val="006437DB"/>
    <w:rsid w:val="00646B08"/>
    <w:rsid w:val="00647D79"/>
    <w:rsid w:val="00651D79"/>
    <w:rsid w:val="00653944"/>
    <w:rsid w:val="006540B8"/>
    <w:rsid w:val="00656120"/>
    <w:rsid w:val="006717C1"/>
    <w:rsid w:val="00673FCC"/>
    <w:rsid w:val="006748B4"/>
    <w:rsid w:val="00676CA7"/>
    <w:rsid w:val="00681107"/>
    <w:rsid w:val="006A1A58"/>
    <w:rsid w:val="006A66C3"/>
    <w:rsid w:val="006C00A6"/>
    <w:rsid w:val="006C468F"/>
    <w:rsid w:val="006D2857"/>
    <w:rsid w:val="006E0FAE"/>
    <w:rsid w:val="006F1DAF"/>
    <w:rsid w:val="006F7D1D"/>
    <w:rsid w:val="00703FC7"/>
    <w:rsid w:val="007201A2"/>
    <w:rsid w:val="007245D4"/>
    <w:rsid w:val="00725A13"/>
    <w:rsid w:val="007420FB"/>
    <w:rsid w:val="00744A01"/>
    <w:rsid w:val="0075138F"/>
    <w:rsid w:val="007676FE"/>
    <w:rsid w:val="00767E48"/>
    <w:rsid w:val="007A6EE0"/>
    <w:rsid w:val="007A7A54"/>
    <w:rsid w:val="007C5177"/>
    <w:rsid w:val="007C7303"/>
    <w:rsid w:val="007D1346"/>
    <w:rsid w:val="007F2D1D"/>
    <w:rsid w:val="007F5D74"/>
    <w:rsid w:val="00811B5D"/>
    <w:rsid w:val="00812C4F"/>
    <w:rsid w:val="0081509E"/>
    <w:rsid w:val="008168F3"/>
    <w:rsid w:val="00823A37"/>
    <w:rsid w:val="008247F5"/>
    <w:rsid w:val="0082722F"/>
    <w:rsid w:val="00832AD9"/>
    <w:rsid w:val="008364E1"/>
    <w:rsid w:val="00862DEA"/>
    <w:rsid w:val="00864025"/>
    <w:rsid w:val="00870705"/>
    <w:rsid w:val="00881A2C"/>
    <w:rsid w:val="00887418"/>
    <w:rsid w:val="008A52C1"/>
    <w:rsid w:val="008B05C4"/>
    <w:rsid w:val="008B3278"/>
    <w:rsid w:val="008B674C"/>
    <w:rsid w:val="008B69C8"/>
    <w:rsid w:val="008C3CAF"/>
    <w:rsid w:val="008C3D3D"/>
    <w:rsid w:val="008E51B4"/>
    <w:rsid w:val="008E72B0"/>
    <w:rsid w:val="008F77B7"/>
    <w:rsid w:val="0090512C"/>
    <w:rsid w:val="00912181"/>
    <w:rsid w:val="00913A56"/>
    <w:rsid w:val="00927730"/>
    <w:rsid w:val="0093640D"/>
    <w:rsid w:val="0094435A"/>
    <w:rsid w:val="00945748"/>
    <w:rsid w:val="009579F3"/>
    <w:rsid w:val="009614AB"/>
    <w:rsid w:val="00970355"/>
    <w:rsid w:val="009749E8"/>
    <w:rsid w:val="00997332"/>
    <w:rsid w:val="0099784B"/>
    <w:rsid w:val="009A0C58"/>
    <w:rsid w:val="009A60C1"/>
    <w:rsid w:val="009B1F48"/>
    <w:rsid w:val="009B6166"/>
    <w:rsid w:val="009C36EB"/>
    <w:rsid w:val="009D44DE"/>
    <w:rsid w:val="009D4BD6"/>
    <w:rsid w:val="009D775A"/>
    <w:rsid w:val="009F4A52"/>
    <w:rsid w:val="009F4E87"/>
    <w:rsid w:val="00A043E6"/>
    <w:rsid w:val="00A11623"/>
    <w:rsid w:val="00A165C6"/>
    <w:rsid w:val="00A337D0"/>
    <w:rsid w:val="00A54956"/>
    <w:rsid w:val="00A66943"/>
    <w:rsid w:val="00A677CE"/>
    <w:rsid w:val="00A70065"/>
    <w:rsid w:val="00A874D4"/>
    <w:rsid w:val="00AC1BF4"/>
    <w:rsid w:val="00AD2AC9"/>
    <w:rsid w:val="00AD45D6"/>
    <w:rsid w:val="00AD5DD8"/>
    <w:rsid w:val="00AD7432"/>
    <w:rsid w:val="00AF2C82"/>
    <w:rsid w:val="00AF537A"/>
    <w:rsid w:val="00B1654F"/>
    <w:rsid w:val="00B51390"/>
    <w:rsid w:val="00B52AEA"/>
    <w:rsid w:val="00B557C9"/>
    <w:rsid w:val="00B57A65"/>
    <w:rsid w:val="00B825AB"/>
    <w:rsid w:val="00B87070"/>
    <w:rsid w:val="00B90788"/>
    <w:rsid w:val="00B93709"/>
    <w:rsid w:val="00B93F21"/>
    <w:rsid w:val="00BA7693"/>
    <w:rsid w:val="00BB1B12"/>
    <w:rsid w:val="00BD1CCE"/>
    <w:rsid w:val="00C1431D"/>
    <w:rsid w:val="00C44205"/>
    <w:rsid w:val="00C55294"/>
    <w:rsid w:val="00C56A39"/>
    <w:rsid w:val="00C63E39"/>
    <w:rsid w:val="00C97656"/>
    <w:rsid w:val="00CA0F8A"/>
    <w:rsid w:val="00CC72AC"/>
    <w:rsid w:val="00CD21AF"/>
    <w:rsid w:val="00CE63E5"/>
    <w:rsid w:val="00CF1A7C"/>
    <w:rsid w:val="00CF364F"/>
    <w:rsid w:val="00CF3E94"/>
    <w:rsid w:val="00D2166D"/>
    <w:rsid w:val="00D26FF3"/>
    <w:rsid w:val="00D32454"/>
    <w:rsid w:val="00D40FFC"/>
    <w:rsid w:val="00D422B0"/>
    <w:rsid w:val="00D559B4"/>
    <w:rsid w:val="00D6074E"/>
    <w:rsid w:val="00D63480"/>
    <w:rsid w:val="00D70AB8"/>
    <w:rsid w:val="00DA1254"/>
    <w:rsid w:val="00DA75B2"/>
    <w:rsid w:val="00DB0F0C"/>
    <w:rsid w:val="00DB30DE"/>
    <w:rsid w:val="00DB7894"/>
    <w:rsid w:val="00DC7797"/>
    <w:rsid w:val="00DE1A37"/>
    <w:rsid w:val="00DE280C"/>
    <w:rsid w:val="00DF19CD"/>
    <w:rsid w:val="00DF5237"/>
    <w:rsid w:val="00E07346"/>
    <w:rsid w:val="00E214CC"/>
    <w:rsid w:val="00E44FDD"/>
    <w:rsid w:val="00E4634F"/>
    <w:rsid w:val="00E51AB0"/>
    <w:rsid w:val="00E62687"/>
    <w:rsid w:val="00E737C6"/>
    <w:rsid w:val="00E86676"/>
    <w:rsid w:val="00E90A07"/>
    <w:rsid w:val="00EA0990"/>
    <w:rsid w:val="00EB2F88"/>
    <w:rsid w:val="00EE3A5E"/>
    <w:rsid w:val="00EF65D2"/>
    <w:rsid w:val="00F07E40"/>
    <w:rsid w:val="00F20405"/>
    <w:rsid w:val="00F20948"/>
    <w:rsid w:val="00F33E3A"/>
    <w:rsid w:val="00F44647"/>
    <w:rsid w:val="00F53C5A"/>
    <w:rsid w:val="00F5672E"/>
    <w:rsid w:val="00F71C2A"/>
    <w:rsid w:val="00F77C3C"/>
    <w:rsid w:val="00F82A6F"/>
    <w:rsid w:val="00F83FC7"/>
    <w:rsid w:val="00F96108"/>
    <w:rsid w:val="00FA509A"/>
    <w:rsid w:val="00FC12D4"/>
    <w:rsid w:val="00FC1DAA"/>
    <w:rsid w:val="00FC5BF3"/>
    <w:rsid w:val="00FD2D7A"/>
    <w:rsid w:val="00FD4CF6"/>
    <w:rsid w:val="00FF2321"/>
    <w:rsid w:val="00FF2D7F"/>
    <w:rsid w:val="01F3431D"/>
    <w:rsid w:val="02A81D04"/>
    <w:rsid w:val="046351FF"/>
    <w:rsid w:val="04B2046F"/>
    <w:rsid w:val="06F85085"/>
    <w:rsid w:val="07764248"/>
    <w:rsid w:val="078A7672"/>
    <w:rsid w:val="07C66F31"/>
    <w:rsid w:val="0849614D"/>
    <w:rsid w:val="088044F2"/>
    <w:rsid w:val="09250725"/>
    <w:rsid w:val="099973C3"/>
    <w:rsid w:val="0A767A5B"/>
    <w:rsid w:val="0B2864C8"/>
    <w:rsid w:val="0E732F8D"/>
    <w:rsid w:val="1039347D"/>
    <w:rsid w:val="105243C6"/>
    <w:rsid w:val="11526BDC"/>
    <w:rsid w:val="11E82C36"/>
    <w:rsid w:val="1354579C"/>
    <w:rsid w:val="13BE2E7E"/>
    <w:rsid w:val="14BF47C5"/>
    <w:rsid w:val="15C96E0B"/>
    <w:rsid w:val="166D339A"/>
    <w:rsid w:val="17FE566D"/>
    <w:rsid w:val="196A44A9"/>
    <w:rsid w:val="1A64080B"/>
    <w:rsid w:val="1B742AD4"/>
    <w:rsid w:val="1CCA590D"/>
    <w:rsid w:val="1FAE44E0"/>
    <w:rsid w:val="2093219E"/>
    <w:rsid w:val="214C62A1"/>
    <w:rsid w:val="21606D34"/>
    <w:rsid w:val="22A73B3E"/>
    <w:rsid w:val="24C06B4B"/>
    <w:rsid w:val="25580ED1"/>
    <w:rsid w:val="27BD3684"/>
    <w:rsid w:val="287F0D0A"/>
    <w:rsid w:val="289B3D96"/>
    <w:rsid w:val="2A7279D9"/>
    <w:rsid w:val="2A9C3151"/>
    <w:rsid w:val="2D4A2E80"/>
    <w:rsid w:val="2D670311"/>
    <w:rsid w:val="2DD11946"/>
    <w:rsid w:val="2DF709CB"/>
    <w:rsid w:val="2EB37960"/>
    <w:rsid w:val="2ED6394D"/>
    <w:rsid w:val="2FAA2B11"/>
    <w:rsid w:val="309C780E"/>
    <w:rsid w:val="319B7E2A"/>
    <w:rsid w:val="32AA3B83"/>
    <w:rsid w:val="32C904ED"/>
    <w:rsid w:val="32DE7896"/>
    <w:rsid w:val="32E2499D"/>
    <w:rsid w:val="337254C7"/>
    <w:rsid w:val="33F16E51"/>
    <w:rsid w:val="359C2489"/>
    <w:rsid w:val="36176A26"/>
    <w:rsid w:val="36473EB1"/>
    <w:rsid w:val="37F708BD"/>
    <w:rsid w:val="3B2D58F3"/>
    <w:rsid w:val="3B9B639A"/>
    <w:rsid w:val="3BDE2AC7"/>
    <w:rsid w:val="3C8A7F52"/>
    <w:rsid w:val="3CA628B2"/>
    <w:rsid w:val="3D98790D"/>
    <w:rsid w:val="3EEC4EF4"/>
    <w:rsid w:val="3F47306E"/>
    <w:rsid w:val="3F6F6A9F"/>
    <w:rsid w:val="41443676"/>
    <w:rsid w:val="42DC6AA5"/>
    <w:rsid w:val="430A1DED"/>
    <w:rsid w:val="43A651C9"/>
    <w:rsid w:val="440656C2"/>
    <w:rsid w:val="45156827"/>
    <w:rsid w:val="45DA3415"/>
    <w:rsid w:val="47856255"/>
    <w:rsid w:val="484A512A"/>
    <w:rsid w:val="484A67E7"/>
    <w:rsid w:val="48C452BF"/>
    <w:rsid w:val="4AE4000E"/>
    <w:rsid w:val="4DFF2895"/>
    <w:rsid w:val="515D338D"/>
    <w:rsid w:val="52134AD3"/>
    <w:rsid w:val="525A1D1D"/>
    <w:rsid w:val="52B96A43"/>
    <w:rsid w:val="52D10231"/>
    <w:rsid w:val="53B27538"/>
    <w:rsid w:val="549924A3"/>
    <w:rsid w:val="55231762"/>
    <w:rsid w:val="577E025B"/>
    <w:rsid w:val="57AD28EF"/>
    <w:rsid w:val="5B0373F5"/>
    <w:rsid w:val="5CBF2FFE"/>
    <w:rsid w:val="5CDC0256"/>
    <w:rsid w:val="5D0667D2"/>
    <w:rsid w:val="5D36282C"/>
    <w:rsid w:val="5E150696"/>
    <w:rsid w:val="5E3D11E0"/>
    <w:rsid w:val="5E5E2B95"/>
    <w:rsid w:val="5F2A2730"/>
    <w:rsid w:val="5F4A29CA"/>
    <w:rsid w:val="5F9920D6"/>
    <w:rsid w:val="618826DD"/>
    <w:rsid w:val="63B15515"/>
    <w:rsid w:val="649DDA6A"/>
    <w:rsid w:val="65024291"/>
    <w:rsid w:val="677568AA"/>
    <w:rsid w:val="6A2D0BA0"/>
    <w:rsid w:val="6A5B0719"/>
    <w:rsid w:val="6A91022B"/>
    <w:rsid w:val="6B947BF6"/>
    <w:rsid w:val="6BB107A8"/>
    <w:rsid w:val="6C1B3E73"/>
    <w:rsid w:val="6CAB76B5"/>
    <w:rsid w:val="6FBC771B"/>
    <w:rsid w:val="70B434CE"/>
    <w:rsid w:val="7334788E"/>
    <w:rsid w:val="7346211D"/>
    <w:rsid w:val="73B644C4"/>
    <w:rsid w:val="747F7695"/>
    <w:rsid w:val="74E30620"/>
    <w:rsid w:val="76375D4D"/>
    <w:rsid w:val="78AF42C1"/>
    <w:rsid w:val="794A0FEB"/>
    <w:rsid w:val="795308E6"/>
    <w:rsid w:val="7A74517D"/>
    <w:rsid w:val="7C80462A"/>
    <w:rsid w:val="9FF7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  <w:style w:type="paragraph" w:styleId="3">
    <w:name w:val="Body Text Indent"/>
    <w:basedOn w:val="1"/>
    <w:link w:val="14"/>
    <w:qFormat/>
    <w:uiPriority w:val="0"/>
    <w:pPr>
      <w:spacing w:line="520" w:lineRule="exact"/>
      <w:ind w:left="570"/>
    </w:pPr>
    <w:rPr>
      <w:rFonts w:ascii="方正仿宋简体" w:hAnsi="创艺简仿宋" w:eastAsia="方正仿宋简体" w:cs="Times New Roman"/>
      <w:sz w:val="24"/>
      <w:szCs w:val="20"/>
    </w:r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link w:val="1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Item List in Table"/>
    <w:basedOn w:val="1"/>
    <w:autoRedefine/>
    <w:qFormat/>
    <w:uiPriority w:val="0"/>
    <w:pPr>
      <w:numPr>
        <w:ilvl w:val="0"/>
        <w:numId w:val="1"/>
      </w:numPr>
      <w:tabs>
        <w:tab w:val="left" w:pos="420"/>
        <w:tab w:val="clear" w:pos="960"/>
      </w:tabs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1">
    <w:name w:val="HTML 预设格式 Char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3"/>
    <w:autoRedefine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paragraph" w:customStyle="1" w:styleId="15">
    <w:name w:val="采购二级"/>
    <w:basedOn w:val="1"/>
    <w:link w:val="16"/>
    <w:autoRedefine/>
    <w:qFormat/>
    <w:uiPriority w:val="0"/>
    <w:pPr>
      <w:snapToGrid w:val="0"/>
      <w:spacing w:line="560" w:lineRule="exact"/>
      <w:ind w:firstLine="480" w:firstLineChars="200"/>
      <w:outlineLvl w:val="1"/>
    </w:pPr>
    <w:rPr>
      <w:rFonts w:ascii="仿宋" w:hAnsi="仿宋" w:eastAsia="仿宋" w:cs="Times New Roman"/>
      <w:b/>
      <w:sz w:val="24"/>
      <w:szCs w:val="24"/>
    </w:rPr>
  </w:style>
  <w:style w:type="character" w:customStyle="1" w:styleId="16">
    <w:name w:val="采购二级 Char"/>
    <w:basedOn w:val="9"/>
    <w:link w:val="15"/>
    <w:autoRedefine/>
    <w:qFormat/>
    <w:uiPriority w:val="0"/>
    <w:rPr>
      <w:rFonts w:ascii="仿宋" w:hAnsi="仿宋" w:eastAsia="仿宋" w:cs="Times New Roman"/>
      <w:b/>
      <w:sz w:val="24"/>
      <w:szCs w:val="24"/>
    </w:rPr>
  </w:style>
  <w:style w:type="character" w:customStyle="1" w:styleId="17">
    <w:name w:val="页眉 Char"/>
    <w:basedOn w:val="9"/>
    <w:link w:val="2"/>
    <w:autoRedefine/>
    <w:semiHidden/>
    <w:qFormat/>
    <w:uiPriority w:val="99"/>
    <w:rPr>
      <w:rFonts w:asciiTheme="minorAscii" w:hAnsiTheme="minorAscii" w:eastAsiaTheme="minorEastAsia"/>
      <w:sz w:val="18"/>
      <w:szCs w:val="18"/>
    </w:rPr>
  </w:style>
  <w:style w:type="character" w:customStyle="1" w:styleId="18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9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01"/>
    <w:basedOn w:val="9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4330</Words>
  <Characters>4530</Characters>
  <Lines>29</Lines>
  <Paragraphs>8</Paragraphs>
  <TotalTime>80</TotalTime>
  <ScaleCrop>false</ScaleCrop>
  <LinksUpToDate>false</LinksUpToDate>
  <CharactersWithSpaces>4591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2018-05-28T12:43:00Z</dcterms:created>
  <dc:creator>微软中国</dc:creator>
  <cp:lastModifiedBy>中心医院合同办-曹刚</cp:lastModifiedBy>
  <dcterms:modified xsi:type="dcterms:W3CDTF">2024-04-12T04:33:22Z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CFD7C37908CC4474B34304A7E67C32FF_13</vt:lpwstr>
  </property>
</Properties>
</file>