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36"/>
          <w:szCs w:val="36"/>
        </w:rPr>
      </w:pPr>
      <w:r>
        <w:rPr>
          <w:rFonts w:hint="eastAsia" w:ascii="方正小标宋_GBK" w:eastAsia="方正小标宋_GBK"/>
          <w:color w:val="auto"/>
          <w:sz w:val="36"/>
          <w:szCs w:val="36"/>
          <w:lang w:val="en-US" w:eastAsia="zh-CN"/>
        </w:rPr>
        <w:t>区域</w:t>
      </w:r>
      <w:r>
        <w:rPr>
          <w:rFonts w:hint="eastAsia" w:ascii="方正小标宋_GBK" w:eastAsia="方正小标宋_GBK"/>
          <w:color w:val="auto"/>
          <w:sz w:val="36"/>
          <w:szCs w:val="36"/>
        </w:rPr>
        <w:t>心电</w:t>
      </w:r>
      <w:r>
        <w:rPr>
          <w:rFonts w:hint="eastAsia" w:ascii="方正小标宋_GBK" w:eastAsia="方正小标宋_GBK"/>
          <w:color w:val="auto"/>
          <w:sz w:val="36"/>
          <w:szCs w:val="36"/>
          <w:lang w:val="en-US" w:eastAsia="zh-CN"/>
        </w:rPr>
        <w:t>信息管理</w:t>
      </w:r>
      <w:r>
        <w:rPr>
          <w:rFonts w:hint="eastAsia" w:ascii="方正小标宋_GBK" w:eastAsia="方正小标宋_GBK"/>
          <w:color w:val="auto"/>
          <w:sz w:val="36"/>
          <w:szCs w:val="36"/>
        </w:rPr>
        <w:t>系统</w:t>
      </w:r>
      <w:r>
        <w:rPr>
          <w:rFonts w:hint="eastAsia" w:ascii="方正小标宋_GBK" w:eastAsia="方正小标宋_GBK"/>
          <w:color w:val="auto"/>
          <w:sz w:val="36"/>
          <w:szCs w:val="36"/>
          <w:lang w:eastAsia="zh-CN"/>
        </w:rPr>
        <w:t>（</w:t>
      </w:r>
      <w:r>
        <w:rPr>
          <w:rFonts w:hint="eastAsia" w:ascii="方正小标宋_GBK" w:eastAsia="方正小标宋_GBK"/>
          <w:color w:val="auto"/>
          <w:sz w:val="36"/>
          <w:szCs w:val="36"/>
          <w:lang w:val="en-US" w:eastAsia="zh-CN"/>
        </w:rPr>
        <w:t>远程心电</w:t>
      </w:r>
      <w:r>
        <w:rPr>
          <w:rFonts w:hint="eastAsia" w:ascii="方正小标宋_GBK" w:eastAsia="方正小标宋_GBK"/>
          <w:color w:val="auto"/>
          <w:sz w:val="36"/>
          <w:szCs w:val="36"/>
          <w:lang w:eastAsia="zh-CN"/>
        </w:rPr>
        <w:t>）</w:t>
      </w:r>
      <w:r>
        <w:rPr>
          <w:rFonts w:hint="eastAsia" w:ascii="方正小标宋_GBK" w:eastAsia="方正小标宋_GBK"/>
          <w:color w:val="auto"/>
          <w:sz w:val="36"/>
          <w:szCs w:val="36"/>
        </w:rPr>
        <w:t>项目采购需求</w:t>
      </w:r>
    </w:p>
    <w:p>
      <w:pPr>
        <w:pStyle w:val="13"/>
        <w:numPr>
          <w:ilvl w:val="0"/>
          <w:numId w:val="2"/>
        </w:numPr>
        <w:spacing w:line="460" w:lineRule="exact"/>
        <w:ind w:firstLineChars="0"/>
        <w:rPr>
          <w:rFonts w:ascii="仿宋_GB2312" w:hAnsi="仿宋" w:eastAsia="仿宋_GB2312" w:cs="Times New Roman"/>
          <w:b/>
          <w:color w:val="auto"/>
          <w:sz w:val="32"/>
          <w:szCs w:val="32"/>
        </w:rPr>
      </w:pPr>
      <w:r>
        <w:rPr>
          <w:rFonts w:hint="eastAsia" w:ascii="仿宋_GB2312" w:hAnsi="仿宋" w:eastAsia="仿宋_GB2312" w:cs="Times New Roman"/>
          <w:b/>
          <w:color w:val="auto"/>
          <w:sz w:val="32"/>
          <w:szCs w:val="32"/>
        </w:rPr>
        <w:t>投标人资格条件</w:t>
      </w:r>
    </w:p>
    <w:p>
      <w:pPr>
        <w:pStyle w:val="21"/>
        <w:tabs>
          <w:tab w:val="left" w:pos="993"/>
        </w:tabs>
        <w:ind w:left="640" w:leftChars="305" w:firstLine="240" w:firstLineChars="100"/>
        <w:rPr>
          <w:rFonts w:ascii="宋体" w:hAnsi="宋体" w:cs="Calibri"/>
          <w:color w:val="auto"/>
          <w:szCs w:val="24"/>
        </w:rPr>
      </w:pPr>
      <w:r>
        <w:rPr>
          <w:rFonts w:hint="eastAsia" w:ascii="宋体" w:hAnsi="宋体" w:cs="Calibri"/>
          <w:color w:val="auto"/>
          <w:szCs w:val="24"/>
        </w:rPr>
        <w:t>1. 在中华人民共和国境内注册并取得营业执照的独立法人，具有相应</w:t>
      </w:r>
    </w:p>
    <w:p>
      <w:pPr>
        <w:pStyle w:val="21"/>
        <w:tabs>
          <w:tab w:val="left" w:pos="993"/>
        </w:tabs>
        <w:ind w:firstLine="0" w:firstLineChars="0"/>
        <w:rPr>
          <w:rFonts w:ascii="宋体" w:hAnsi="宋体" w:cs="Calibri"/>
          <w:color w:val="auto"/>
          <w:szCs w:val="24"/>
        </w:rPr>
      </w:pPr>
      <w:r>
        <w:rPr>
          <w:rFonts w:hint="eastAsia" w:ascii="宋体" w:hAnsi="宋体" w:cs="Calibri"/>
          <w:color w:val="auto"/>
          <w:szCs w:val="24"/>
        </w:rPr>
        <w:t>经营范围，且注册资金不少于人民币</w:t>
      </w:r>
      <w:r>
        <w:rPr>
          <w:rFonts w:ascii="宋体" w:hAnsi="宋体" w:cs="Calibri"/>
          <w:color w:val="auto"/>
          <w:szCs w:val="24"/>
        </w:rPr>
        <w:t>100</w:t>
      </w:r>
      <w:r>
        <w:rPr>
          <w:rFonts w:hint="eastAsia" w:ascii="宋体" w:hAnsi="宋体" w:cs="Calibri"/>
          <w:color w:val="auto"/>
          <w:szCs w:val="24"/>
        </w:rPr>
        <w:t>万元（提供企业法人营业执照、组织机构代码证、税务登记证或三证合一的复印件）。</w:t>
      </w:r>
    </w:p>
    <w:p>
      <w:pPr>
        <w:pStyle w:val="21"/>
        <w:tabs>
          <w:tab w:val="left" w:pos="993"/>
        </w:tabs>
        <w:ind w:firstLine="840" w:firstLineChars="350"/>
        <w:rPr>
          <w:rFonts w:ascii="宋体" w:hAnsi="宋体" w:cs="Calibri"/>
          <w:color w:val="auto"/>
          <w:szCs w:val="24"/>
        </w:rPr>
      </w:pPr>
      <w:r>
        <w:rPr>
          <w:rFonts w:hint="eastAsia" w:ascii="宋体" w:hAnsi="宋体" w:cs="Calibri"/>
          <w:color w:val="auto"/>
          <w:szCs w:val="24"/>
        </w:rPr>
        <w:t>2. 具有良好的商业信誉和健全的财务会计制度（提供2020年度财务审计报告复印件）。</w:t>
      </w:r>
    </w:p>
    <w:p>
      <w:pPr>
        <w:pStyle w:val="21"/>
        <w:tabs>
          <w:tab w:val="left" w:pos="993"/>
        </w:tabs>
        <w:ind w:firstLine="720" w:firstLineChars="300"/>
        <w:rPr>
          <w:rFonts w:ascii="宋体" w:hAnsi="宋体" w:cs="Calibri"/>
          <w:color w:val="auto"/>
          <w:szCs w:val="24"/>
        </w:rPr>
      </w:pPr>
      <w:r>
        <w:rPr>
          <w:rFonts w:hint="eastAsia" w:ascii="宋体" w:hAnsi="宋体" w:cs="Calibri"/>
          <w:color w:val="auto"/>
          <w:szCs w:val="24"/>
        </w:rPr>
        <w:t>3. 参加本次采购活动前三年内，在经营活动中没有重大违法记录（请提供前3年内在经营活动中没有重大违法记录的书面声明</w:t>
      </w:r>
      <w:r>
        <w:rPr>
          <w:rFonts w:ascii="宋体" w:hAnsi="宋体" w:cs="Calibri"/>
          <w:color w:val="auto"/>
          <w:szCs w:val="24"/>
        </w:rPr>
        <w:t>）</w:t>
      </w:r>
      <w:r>
        <w:rPr>
          <w:rFonts w:hint="eastAsia" w:ascii="宋体" w:hAnsi="宋体" w:cs="Calibri"/>
          <w:color w:val="auto"/>
          <w:szCs w:val="24"/>
        </w:rPr>
        <w:t>。</w:t>
      </w:r>
    </w:p>
    <w:p>
      <w:pPr>
        <w:pStyle w:val="21"/>
        <w:tabs>
          <w:tab w:val="left" w:pos="993"/>
        </w:tabs>
        <w:ind w:firstLine="720" w:firstLineChars="300"/>
        <w:rPr>
          <w:rFonts w:ascii="仿宋_GB2312" w:hAnsi="仿宋" w:eastAsia="仿宋_GB2312" w:cs="Times New Roman"/>
          <w:b/>
          <w:color w:val="auto"/>
          <w:sz w:val="32"/>
          <w:szCs w:val="32"/>
        </w:rPr>
      </w:pPr>
      <w:r>
        <w:rPr>
          <w:rFonts w:hint="eastAsia" w:ascii="宋体" w:hAnsi="宋体" w:cs="Calibri"/>
          <w:color w:val="auto"/>
          <w:szCs w:val="24"/>
        </w:rPr>
        <w:t>4. 本地具备完善的硬件设备、技术支持、服务体系和良好的团队，专业人员不少于5人。</w:t>
      </w:r>
    </w:p>
    <w:p>
      <w:pPr>
        <w:spacing w:line="46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（一）</w:t>
      </w:r>
      <w:r>
        <w:rPr>
          <w:rFonts w:hint="eastAsia" w:ascii="仿宋_GB2312" w:hAnsi="仿宋" w:eastAsia="仿宋_GB2312"/>
          <w:color w:val="auto"/>
          <w:sz w:val="32"/>
          <w:szCs w:val="32"/>
        </w:rPr>
        <w:t>一般资格条件</w:t>
      </w:r>
    </w:p>
    <w:p>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具有独立承担民事责任的能力；</w:t>
      </w:r>
    </w:p>
    <w:p>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具有良好的商业信誉和健全的财务会计制度；</w:t>
      </w:r>
    </w:p>
    <w:p>
      <w:pPr>
        <w:tabs>
          <w:tab w:val="left" w:pos="1134"/>
        </w:tabs>
        <w:snapToGrid w:val="0"/>
        <w:spacing w:line="460" w:lineRule="exact"/>
        <w:ind w:left="709"/>
        <w:rPr>
          <w:rFonts w:ascii="仿宋_GB2312" w:hAnsi="仿宋" w:eastAsia="仿宋_GB2312" w:cs="Times New Roman"/>
          <w:color w:val="auto"/>
          <w:sz w:val="32"/>
          <w:szCs w:val="32"/>
        </w:rPr>
      </w:pPr>
      <w:r>
        <w:rPr>
          <w:rFonts w:hint="eastAsia" w:ascii="仿宋" w:hAnsi="仿宋" w:eastAsia="仿宋"/>
          <w:color w:val="auto"/>
          <w:sz w:val="24"/>
          <w:szCs w:val="24"/>
        </w:rPr>
        <w:t>（信用查询：</w:t>
      </w:r>
      <w:r>
        <w:rPr>
          <w:rFonts w:ascii="仿宋" w:hAnsi="仿宋" w:eastAsia="仿宋"/>
          <w:color w:val="auto"/>
          <w:sz w:val="24"/>
          <w:szCs w:val="24"/>
        </w:rPr>
        <w:t>按照《财政部关于在政府采购活动中查询及使用信用记录有关问题的通知》（财库〔2016〕125号）的要求，根据开标当日“信用中国”（</w:t>
      </w:r>
      <w:r>
        <w:rPr>
          <w:rFonts w:ascii="仿宋" w:hAnsi="仿宋" w:eastAsia="仿宋"/>
          <w:color w:val="auto"/>
          <w:sz w:val="24"/>
          <w:szCs w:val="24"/>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仿宋" w:hAnsi="仿宋" w:eastAsia="仿宋"/>
          <w:color w:val="auto"/>
          <w:sz w:val="24"/>
          <w:szCs w:val="24"/>
        </w:rPr>
        <w:t>www.creditchina.gov.cn）、</w:t>
      </w:r>
      <w:r>
        <w:rPr>
          <w:rFonts w:hint="eastAsia" w:ascii="仿宋" w:hAnsi="仿宋" w:eastAsia="仿宋"/>
          <w:color w:val="auto"/>
          <w:sz w:val="24"/>
          <w:szCs w:val="24"/>
        </w:rPr>
        <w:t>“</w:t>
      </w:r>
      <w:r>
        <w:rPr>
          <w:rFonts w:ascii="仿宋" w:hAnsi="仿宋" w:eastAsia="仿宋"/>
          <w:color w:val="auto"/>
          <w:sz w:val="24"/>
          <w:szCs w:val="24"/>
        </w:rPr>
        <w:t>中国政府采购网</w:t>
      </w:r>
      <w:r>
        <w:rPr>
          <w:rFonts w:hint="eastAsia" w:ascii="仿宋" w:hAnsi="仿宋" w:eastAsia="仿宋"/>
          <w:color w:val="auto"/>
          <w:sz w:val="24"/>
          <w:szCs w:val="24"/>
        </w:rPr>
        <w:t>”</w:t>
      </w:r>
      <w:r>
        <w:rPr>
          <w:rFonts w:ascii="仿宋" w:hAnsi="仿宋" w:eastAsia="仿宋"/>
          <w:color w:val="auto"/>
          <w:sz w:val="24"/>
          <w:szCs w:val="24"/>
        </w:rPr>
        <w:t>（</w:t>
      </w:r>
      <w:r>
        <w:rPr>
          <w:rFonts w:ascii="仿宋" w:hAnsi="仿宋" w:eastAsia="仿宋"/>
          <w:color w:val="auto"/>
          <w:sz w:val="24"/>
          <w:szCs w:val="24"/>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仿宋" w:hAnsi="仿宋" w:eastAsia="仿宋"/>
          <w:color w:val="auto"/>
          <w:sz w:val="24"/>
          <w:szCs w:val="24"/>
        </w:rPr>
        <w:t>www.ccgp.gov.cn）</w:t>
      </w:r>
      <w:r>
        <w:rPr>
          <w:rFonts w:hint="eastAsia" w:ascii="仿宋" w:hAnsi="仿宋" w:eastAsia="仿宋"/>
          <w:color w:val="auto"/>
          <w:sz w:val="24"/>
          <w:szCs w:val="24"/>
        </w:rPr>
        <w:t>、“中国执行信息公开网”（www.</w:t>
      </w:r>
      <w:r>
        <w:rPr>
          <w:rFonts w:ascii="仿宋" w:hAnsi="仿宋" w:eastAsia="仿宋"/>
          <w:color w:val="auto"/>
          <w:sz w:val="24"/>
          <w:szCs w:val="24"/>
        </w:rPr>
        <w:t>shixin.court.gov.cn</w:t>
      </w:r>
      <w:r>
        <w:rPr>
          <w:rFonts w:hint="eastAsia" w:ascii="仿宋" w:hAnsi="仿宋" w:eastAsia="仿宋"/>
          <w:color w:val="auto"/>
          <w:sz w:val="24"/>
          <w:szCs w:val="24"/>
        </w:rPr>
        <w:t>）、“克拉玛依诚信网”（</w:t>
      </w:r>
      <w:r>
        <w:rPr>
          <w:rFonts w:ascii="仿宋" w:hAnsi="仿宋" w:eastAsia="仿宋"/>
          <w:color w:val="auto"/>
          <w:sz w:val="24"/>
          <w:szCs w:val="24"/>
        </w:rPr>
        <w:t>http://cxw.klmy.gov.cn/Pages/default.aspx</w:t>
      </w:r>
      <w:r>
        <w:rPr>
          <w:rFonts w:hint="eastAsia" w:ascii="仿宋" w:hAnsi="仿宋" w:eastAsia="仿宋"/>
          <w:color w:val="auto"/>
          <w:sz w:val="24"/>
          <w:szCs w:val="24"/>
        </w:rPr>
        <w:t>）</w:t>
      </w:r>
      <w:r>
        <w:rPr>
          <w:rFonts w:ascii="仿宋" w:hAnsi="仿宋" w:eastAsia="仿宋"/>
          <w:color w:val="auto"/>
          <w:sz w:val="24"/>
          <w:szCs w:val="24"/>
        </w:rPr>
        <w:t>的</w:t>
      </w:r>
      <w:r>
        <w:rPr>
          <w:rFonts w:hint="eastAsia" w:ascii="仿宋" w:hAnsi="仿宋" w:eastAsia="仿宋"/>
          <w:color w:val="auto"/>
          <w:sz w:val="24"/>
          <w:szCs w:val="24"/>
        </w:rPr>
        <w:t>查询结果</w:t>
      </w:r>
      <w:r>
        <w:rPr>
          <w:rFonts w:ascii="仿宋" w:hAnsi="仿宋" w:eastAsia="仿宋"/>
          <w:color w:val="auto"/>
          <w:sz w:val="24"/>
          <w:szCs w:val="24"/>
        </w:rPr>
        <w:t>，对列入失信被执行人、重大税收违法案件当事人名单、政府采购严重违法失信行为记录名单及其他不符合《中华人民共和国政府采购法》第二十二条规定条件的供应商，拒绝</w:t>
      </w:r>
      <w:r>
        <w:rPr>
          <w:rFonts w:hint="eastAsia" w:ascii="仿宋" w:hAnsi="仿宋" w:eastAsia="仿宋"/>
          <w:color w:val="auto"/>
          <w:sz w:val="24"/>
          <w:szCs w:val="24"/>
        </w:rPr>
        <w:t>其</w:t>
      </w:r>
      <w:r>
        <w:rPr>
          <w:rFonts w:ascii="仿宋" w:hAnsi="仿宋" w:eastAsia="仿宋"/>
          <w:color w:val="auto"/>
          <w:sz w:val="24"/>
          <w:szCs w:val="24"/>
        </w:rPr>
        <w:t>参与政府采购活动。</w:t>
      </w:r>
      <w:r>
        <w:rPr>
          <w:rFonts w:hint="eastAsia" w:ascii="仿宋" w:hAnsi="仿宋" w:eastAsia="仿宋"/>
          <w:color w:val="auto"/>
          <w:sz w:val="24"/>
          <w:szCs w:val="24"/>
        </w:rPr>
        <w:t>）</w:t>
      </w:r>
    </w:p>
    <w:p>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具有履行合同所必需的设备和专业技术能力；</w:t>
      </w:r>
    </w:p>
    <w:p>
      <w:pPr>
        <w:tabs>
          <w:tab w:val="left" w:pos="1134"/>
        </w:tabs>
        <w:snapToGrid w:val="0"/>
        <w:spacing w:line="460" w:lineRule="exact"/>
        <w:ind w:left="709"/>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highlight w:val="yellow"/>
        </w:rPr>
        <w:t>无</w:t>
      </w:r>
    </w:p>
    <w:p>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有依法缴纳税收和社会保障资金的良好记录；</w:t>
      </w:r>
    </w:p>
    <w:p>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参加政府采购活动前三年内，未因违法经营受到刑事处罚或者责令停产停业、吊销许可证或者执照、较大数额罚款等行政处罚。（超过100万元的项目，须提供</w:t>
      </w:r>
      <w:r>
        <w:rPr>
          <w:rFonts w:ascii="仿宋_GB2312" w:hAnsi="仿宋" w:eastAsia="仿宋_GB2312" w:cs="Times New Roman"/>
          <w:color w:val="auto"/>
          <w:sz w:val="32"/>
          <w:szCs w:val="32"/>
        </w:rPr>
        <w:t>市人民检察院出具的《检察机关查询行贿犯罪档案结果告知函》</w:t>
      </w:r>
      <w:r>
        <w:rPr>
          <w:rFonts w:hint="eastAsia" w:ascii="仿宋_GB2312" w:hAnsi="仿宋" w:eastAsia="仿宋_GB2312" w:cs="Times New Roman"/>
          <w:color w:val="auto"/>
          <w:sz w:val="32"/>
          <w:szCs w:val="32"/>
        </w:rPr>
        <w:t>。本地办理地点：</w:t>
      </w:r>
      <w:r>
        <w:rPr>
          <w:rFonts w:ascii="仿宋_GB2312" w:hAnsi="仿宋" w:eastAsia="仿宋_GB2312" w:cs="Times New Roman"/>
          <w:color w:val="auto"/>
          <w:sz w:val="32"/>
          <w:szCs w:val="32"/>
        </w:rPr>
        <w:t>市人民检察院</w:t>
      </w:r>
      <w:r>
        <w:rPr>
          <w:rFonts w:hint="eastAsia" w:ascii="仿宋_GB2312" w:hAnsi="仿宋" w:eastAsia="仿宋_GB2312" w:cs="Times New Roman"/>
          <w:color w:val="auto"/>
          <w:sz w:val="32"/>
          <w:szCs w:val="32"/>
        </w:rPr>
        <w:t>，联系电话：</w:t>
      </w:r>
      <w:r>
        <w:rPr>
          <w:rFonts w:ascii="仿宋_GB2312" w:hAnsi="仿宋" w:eastAsia="仿宋_GB2312" w:cs="Times New Roman"/>
          <w:color w:val="auto"/>
          <w:sz w:val="32"/>
          <w:szCs w:val="32"/>
        </w:rPr>
        <w:t>0990-6220522）</w:t>
      </w:r>
      <w:r>
        <w:rPr>
          <w:rFonts w:hint="eastAsia" w:ascii="仿宋_GB2312" w:hAnsi="仿宋" w:eastAsia="仿宋_GB2312" w:cs="Times New Roman"/>
          <w:color w:val="auto"/>
          <w:sz w:val="32"/>
          <w:szCs w:val="32"/>
        </w:rPr>
        <w:t>。</w:t>
      </w:r>
    </w:p>
    <w:p>
      <w:pPr>
        <w:spacing w:line="46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w:t>
      </w:r>
      <w:r>
        <w:rPr>
          <w:rFonts w:hint="eastAsia" w:ascii="仿宋_GB2312" w:hAnsi="仿宋" w:eastAsia="仿宋_GB2312" w:cs="Times New Roman"/>
          <w:color w:val="auto"/>
          <w:sz w:val="32"/>
          <w:szCs w:val="32"/>
          <w:lang w:val="en-US" w:eastAsia="zh-CN"/>
        </w:rPr>
        <w:t>二</w:t>
      </w:r>
      <w:r>
        <w:rPr>
          <w:rFonts w:hint="eastAsia" w:ascii="仿宋_GB2312" w:hAnsi="仿宋" w:eastAsia="仿宋_GB2312" w:cs="Times New Roman"/>
          <w:color w:val="auto"/>
          <w:sz w:val="32"/>
          <w:szCs w:val="32"/>
        </w:rPr>
        <w:t>）联合体投标</w:t>
      </w:r>
    </w:p>
    <w:p>
      <w:pPr>
        <w:spacing w:line="46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不接受联合体投标</w:t>
      </w:r>
    </w:p>
    <w:p>
      <w:pPr>
        <w:pStyle w:val="13"/>
        <w:numPr>
          <w:ilvl w:val="0"/>
          <w:numId w:val="2"/>
        </w:numPr>
        <w:spacing w:line="460" w:lineRule="exact"/>
        <w:ind w:firstLineChars="0"/>
        <w:rPr>
          <w:rFonts w:ascii="仿宋_GB2312" w:hAnsi="仿宋" w:eastAsia="仿宋_GB2312" w:cs="Times New Roman"/>
          <w:b/>
          <w:color w:val="auto"/>
          <w:sz w:val="32"/>
          <w:szCs w:val="32"/>
        </w:rPr>
      </w:pPr>
      <w:r>
        <w:rPr>
          <w:rFonts w:hint="eastAsia" w:ascii="仿宋_GB2312" w:hAnsi="仿宋" w:eastAsia="仿宋_GB2312" w:cs="Times New Roman"/>
          <w:b/>
          <w:color w:val="auto"/>
          <w:sz w:val="32"/>
          <w:szCs w:val="32"/>
        </w:rPr>
        <w:t>服务内容及要求</w:t>
      </w:r>
    </w:p>
    <w:p>
      <w:pPr>
        <w:spacing w:line="460" w:lineRule="exact"/>
        <w:ind w:firstLine="640" w:firstLineChars="200"/>
        <w:rPr>
          <w:rFonts w:ascii="仿宋_GB2312" w:hAnsi="仿宋" w:eastAsia="仿宋_GB2312" w:cs="Times New Roman"/>
          <w:color w:val="auto"/>
          <w:sz w:val="32"/>
          <w:szCs w:val="32"/>
        </w:rPr>
      </w:pPr>
      <w:bookmarkStart w:id="0" w:name="_Toc438456195"/>
      <w:r>
        <w:rPr>
          <w:rFonts w:hint="eastAsia" w:ascii="仿宋_GB2312" w:hAnsi="仿宋" w:eastAsia="仿宋_GB2312" w:cs="Times New Roman"/>
          <w:color w:val="auto"/>
          <w:sz w:val="32"/>
          <w:szCs w:val="32"/>
        </w:rPr>
        <w:t>（一）</w:t>
      </w:r>
      <w:bookmarkEnd w:id="0"/>
      <w:bookmarkStart w:id="1" w:name="_Toc490672253"/>
      <w:r>
        <w:rPr>
          <w:rFonts w:hint="eastAsia" w:ascii="仿宋_GB2312" w:hAnsi="仿宋" w:eastAsia="仿宋_GB2312" w:cs="Times New Roman"/>
          <w:color w:val="auto"/>
          <w:sz w:val="32"/>
          <w:szCs w:val="32"/>
        </w:rPr>
        <w:t>招标项目</w:t>
      </w:r>
      <w:bookmarkEnd w:id="1"/>
      <w:r>
        <w:rPr>
          <w:rFonts w:hint="eastAsia" w:ascii="仿宋_GB2312" w:hAnsi="仿宋" w:eastAsia="仿宋_GB2312" w:cs="Times New Roman"/>
          <w:color w:val="auto"/>
          <w:sz w:val="32"/>
          <w:szCs w:val="32"/>
        </w:rPr>
        <w:t>名称、预算、服务期限</w:t>
      </w:r>
    </w:p>
    <w:p>
      <w:pPr>
        <w:spacing w:line="460" w:lineRule="exact"/>
        <w:ind w:firstLine="640" w:firstLineChars="200"/>
        <w:rPr>
          <w:rFonts w:ascii="仿宋_GB2312" w:hAnsi="仿宋" w:eastAsia="仿宋_GB2312" w:cs="Times New Roman"/>
          <w:color w:val="auto"/>
          <w:sz w:val="32"/>
          <w:szCs w:val="32"/>
        </w:rPr>
      </w:pPr>
    </w:p>
    <w:tbl>
      <w:tblPr>
        <w:tblStyle w:val="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52"/>
        <w:gridCol w:w="1701"/>
        <w:gridCol w:w="241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3" w:type="dxa"/>
            <w:vAlign w:val="center"/>
          </w:tcPr>
          <w:p>
            <w:pPr>
              <w:pStyle w:val="3"/>
              <w:spacing w:line="400" w:lineRule="exact"/>
              <w:ind w:left="0"/>
              <w:jc w:val="center"/>
              <w:rPr>
                <w:rFonts w:ascii="仿宋" w:hAnsi="仿宋" w:eastAsia="仿宋"/>
                <w:b/>
                <w:color w:val="auto"/>
                <w:szCs w:val="24"/>
              </w:rPr>
            </w:pPr>
            <w:r>
              <w:rPr>
                <w:rFonts w:hint="eastAsia" w:ascii="仿宋" w:hAnsi="仿宋" w:eastAsia="仿宋"/>
                <w:b/>
                <w:color w:val="auto"/>
                <w:szCs w:val="24"/>
              </w:rPr>
              <w:t>序号</w:t>
            </w:r>
          </w:p>
        </w:tc>
        <w:tc>
          <w:tcPr>
            <w:tcW w:w="2452" w:type="dxa"/>
            <w:vAlign w:val="center"/>
          </w:tcPr>
          <w:p>
            <w:pPr>
              <w:pStyle w:val="3"/>
              <w:spacing w:line="400" w:lineRule="exact"/>
              <w:ind w:left="0"/>
              <w:jc w:val="center"/>
              <w:rPr>
                <w:rFonts w:ascii="仿宋" w:hAnsi="仿宋" w:eastAsia="仿宋"/>
                <w:b/>
                <w:color w:val="auto"/>
                <w:szCs w:val="24"/>
              </w:rPr>
            </w:pPr>
            <w:r>
              <w:rPr>
                <w:rFonts w:hint="eastAsia" w:ascii="仿宋" w:hAnsi="仿宋" w:eastAsia="仿宋"/>
                <w:b/>
                <w:color w:val="auto"/>
                <w:szCs w:val="24"/>
              </w:rPr>
              <w:t>项目名称</w:t>
            </w:r>
          </w:p>
        </w:tc>
        <w:tc>
          <w:tcPr>
            <w:tcW w:w="1701" w:type="dxa"/>
            <w:vAlign w:val="center"/>
          </w:tcPr>
          <w:p>
            <w:pPr>
              <w:pStyle w:val="3"/>
              <w:spacing w:line="400" w:lineRule="exact"/>
              <w:ind w:left="0"/>
              <w:jc w:val="center"/>
              <w:rPr>
                <w:rFonts w:ascii="仿宋" w:hAnsi="仿宋" w:eastAsia="仿宋"/>
                <w:b/>
                <w:color w:val="auto"/>
                <w:szCs w:val="24"/>
              </w:rPr>
            </w:pPr>
            <w:r>
              <w:rPr>
                <w:rFonts w:hint="eastAsia" w:ascii="仿宋" w:hAnsi="仿宋" w:eastAsia="仿宋"/>
                <w:b/>
                <w:color w:val="auto"/>
                <w:szCs w:val="24"/>
              </w:rPr>
              <w:t>采购预算</w:t>
            </w:r>
          </w:p>
          <w:p>
            <w:pPr>
              <w:pStyle w:val="3"/>
              <w:spacing w:line="400" w:lineRule="exact"/>
              <w:ind w:left="0"/>
              <w:jc w:val="center"/>
              <w:rPr>
                <w:rFonts w:ascii="仿宋" w:hAnsi="仿宋" w:eastAsia="仿宋"/>
                <w:b/>
                <w:color w:val="auto"/>
                <w:szCs w:val="24"/>
              </w:rPr>
            </w:pPr>
            <w:r>
              <w:rPr>
                <w:rFonts w:hint="eastAsia" w:ascii="仿宋" w:hAnsi="仿宋" w:eastAsia="仿宋"/>
                <w:b/>
                <w:color w:val="auto"/>
                <w:szCs w:val="24"/>
              </w:rPr>
              <w:t>（万元）</w:t>
            </w:r>
          </w:p>
        </w:tc>
        <w:tc>
          <w:tcPr>
            <w:tcW w:w="2411" w:type="dxa"/>
            <w:vAlign w:val="center"/>
          </w:tcPr>
          <w:p>
            <w:pPr>
              <w:pStyle w:val="3"/>
              <w:spacing w:line="400" w:lineRule="exact"/>
              <w:ind w:left="0"/>
              <w:jc w:val="center"/>
              <w:rPr>
                <w:rFonts w:ascii="仿宋" w:hAnsi="仿宋" w:eastAsia="仿宋"/>
                <w:b/>
                <w:color w:val="auto"/>
                <w:szCs w:val="24"/>
              </w:rPr>
            </w:pPr>
            <w:r>
              <w:rPr>
                <w:rFonts w:hint="eastAsia" w:ascii="仿宋" w:hAnsi="仿宋" w:eastAsia="仿宋"/>
                <w:b/>
                <w:color w:val="auto"/>
                <w:szCs w:val="24"/>
                <w:lang w:val="en-US" w:eastAsia="zh-CN"/>
              </w:rPr>
              <w:t>质保</w:t>
            </w:r>
            <w:r>
              <w:rPr>
                <w:rFonts w:hint="eastAsia" w:ascii="仿宋" w:hAnsi="仿宋" w:eastAsia="仿宋"/>
                <w:b/>
                <w:color w:val="auto"/>
                <w:szCs w:val="24"/>
              </w:rPr>
              <w:t>服务期限</w:t>
            </w:r>
          </w:p>
        </w:tc>
        <w:tc>
          <w:tcPr>
            <w:tcW w:w="1121" w:type="dxa"/>
            <w:vAlign w:val="center"/>
          </w:tcPr>
          <w:p>
            <w:pPr>
              <w:pStyle w:val="3"/>
              <w:spacing w:line="400" w:lineRule="exact"/>
              <w:ind w:left="0"/>
              <w:jc w:val="center"/>
              <w:rPr>
                <w:rFonts w:ascii="仿宋" w:hAnsi="仿宋" w:eastAsia="仿宋"/>
                <w:b/>
                <w:color w:val="auto"/>
                <w:szCs w:val="24"/>
              </w:rPr>
            </w:pPr>
            <w:r>
              <w:rPr>
                <w:rFonts w:hint="eastAsia" w:ascii="仿宋" w:hAnsi="仿宋" w:eastAsia="仿宋"/>
                <w:b/>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3" w:type="dxa"/>
            <w:vAlign w:val="center"/>
          </w:tcPr>
          <w:p>
            <w:pPr>
              <w:pStyle w:val="3"/>
              <w:spacing w:line="400" w:lineRule="exact"/>
              <w:ind w:left="0"/>
              <w:jc w:val="center"/>
              <w:rPr>
                <w:rFonts w:ascii="仿宋" w:hAnsi="仿宋" w:eastAsia="仿宋"/>
                <w:color w:val="auto"/>
                <w:szCs w:val="24"/>
              </w:rPr>
            </w:pPr>
            <w:r>
              <w:rPr>
                <w:rFonts w:hint="eastAsia" w:ascii="仿宋" w:hAnsi="仿宋" w:eastAsia="仿宋"/>
                <w:color w:val="auto"/>
                <w:szCs w:val="24"/>
              </w:rPr>
              <w:t>1</w:t>
            </w:r>
          </w:p>
        </w:tc>
        <w:tc>
          <w:tcPr>
            <w:tcW w:w="2452" w:type="dxa"/>
            <w:vAlign w:val="center"/>
          </w:tcPr>
          <w:p>
            <w:pPr>
              <w:pStyle w:val="3"/>
              <w:spacing w:line="400" w:lineRule="exact"/>
              <w:ind w:left="0"/>
              <w:jc w:val="center"/>
              <w:rPr>
                <w:rFonts w:hint="default" w:ascii="仿宋" w:hAnsi="仿宋" w:eastAsia="仿宋"/>
                <w:color w:val="auto"/>
                <w:szCs w:val="24"/>
                <w:lang w:val="en-US" w:eastAsia="zh-CN"/>
              </w:rPr>
            </w:pPr>
            <w:r>
              <w:rPr>
                <w:rFonts w:hint="eastAsia" w:ascii="仿宋" w:hAnsi="仿宋" w:eastAsia="仿宋"/>
                <w:color w:val="auto"/>
                <w:szCs w:val="24"/>
                <w:lang w:val="en-US" w:eastAsia="zh-CN"/>
              </w:rPr>
              <w:t>区域</w:t>
            </w:r>
            <w:r>
              <w:rPr>
                <w:rFonts w:hint="eastAsia" w:ascii="仿宋" w:hAnsi="仿宋" w:eastAsia="仿宋"/>
                <w:color w:val="auto"/>
                <w:szCs w:val="24"/>
              </w:rPr>
              <w:t>心电</w:t>
            </w:r>
            <w:r>
              <w:rPr>
                <w:rFonts w:hint="eastAsia" w:ascii="仿宋" w:hAnsi="仿宋" w:eastAsia="仿宋"/>
                <w:color w:val="auto"/>
                <w:szCs w:val="24"/>
                <w:lang w:val="en-US" w:eastAsia="zh-CN"/>
              </w:rPr>
              <w:t>信息管理</w:t>
            </w:r>
            <w:r>
              <w:rPr>
                <w:rFonts w:hint="eastAsia" w:ascii="仿宋" w:hAnsi="仿宋" w:eastAsia="仿宋"/>
                <w:color w:val="auto"/>
                <w:szCs w:val="24"/>
              </w:rPr>
              <w:t>系统</w:t>
            </w:r>
            <w:r>
              <w:rPr>
                <w:rFonts w:hint="eastAsia" w:ascii="仿宋" w:hAnsi="仿宋" w:eastAsia="仿宋"/>
                <w:color w:val="auto"/>
                <w:szCs w:val="24"/>
                <w:lang w:val="en-US" w:eastAsia="zh-CN"/>
              </w:rPr>
              <w:t>（远程心电）升级</w:t>
            </w:r>
          </w:p>
        </w:tc>
        <w:tc>
          <w:tcPr>
            <w:tcW w:w="1701" w:type="dxa"/>
            <w:vAlign w:val="center"/>
          </w:tcPr>
          <w:p>
            <w:pPr>
              <w:pStyle w:val="3"/>
              <w:spacing w:line="400" w:lineRule="exact"/>
              <w:ind w:left="0"/>
              <w:jc w:val="center"/>
              <w:rPr>
                <w:rFonts w:ascii="仿宋" w:hAnsi="仿宋" w:eastAsia="仿宋"/>
                <w:color w:val="auto"/>
                <w:szCs w:val="24"/>
              </w:rPr>
            </w:pPr>
            <w:r>
              <w:rPr>
                <w:rFonts w:hint="eastAsia" w:ascii="仿宋" w:hAnsi="仿宋" w:eastAsia="仿宋"/>
                <w:color w:val="auto"/>
                <w:szCs w:val="24"/>
                <w:lang w:val="en-US" w:eastAsia="zh-CN"/>
              </w:rPr>
              <w:t>15</w:t>
            </w:r>
            <w:r>
              <w:rPr>
                <w:rFonts w:hint="eastAsia" w:ascii="仿宋" w:hAnsi="仿宋" w:eastAsia="仿宋"/>
                <w:color w:val="auto"/>
                <w:szCs w:val="24"/>
              </w:rPr>
              <w:t>万</w:t>
            </w:r>
          </w:p>
        </w:tc>
        <w:tc>
          <w:tcPr>
            <w:tcW w:w="2411" w:type="dxa"/>
            <w:vAlign w:val="center"/>
          </w:tcPr>
          <w:p>
            <w:pPr>
              <w:pStyle w:val="3"/>
              <w:spacing w:line="400" w:lineRule="exact"/>
              <w:ind w:left="0"/>
              <w:jc w:val="center"/>
              <w:rPr>
                <w:rFonts w:ascii="仿宋" w:hAnsi="仿宋" w:eastAsia="仿宋"/>
                <w:color w:val="auto"/>
                <w:szCs w:val="24"/>
              </w:rPr>
            </w:pPr>
            <w:r>
              <w:rPr>
                <w:rFonts w:hint="eastAsia" w:ascii="仿宋" w:hAnsi="仿宋" w:eastAsia="仿宋"/>
                <w:color w:val="auto"/>
                <w:szCs w:val="24"/>
                <w:lang w:val="en-US" w:eastAsia="zh-CN"/>
              </w:rPr>
              <w:t>自验收</w:t>
            </w:r>
            <w:r>
              <w:rPr>
                <w:rFonts w:hint="eastAsia" w:ascii="仿宋" w:hAnsi="仿宋" w:eastAsia="仿宋"/>
                <w:color w:val="auto"/>
                <w:szCs w:val="24"/>
              </w:rPr>
              <w:t>起1年</w:t>
            </w:r>
          </w:p>
        </w:tc>
        <w:tc>
          <w:tcPr>
            <w:tcW w:w="1121" w:type="dxa"/>
            <w:vAlign w:val="center"/>
          </w:tcPr>
          <w:p>
            <w:pPr>
              <w:pStyle w:val="3"/>
              <w:rPr>
                <w:rFonts w:ascii="仿宋" w:hAnsi="仿宋" w:eastAsia="仿宋"/>
                <w:color w:val="auto"/>
                <w:szCs w:val="24"/>
              </w:rPr>
            </w:pPr>
          </w:p>
        </w:tc>
      </w:tr>
    </w:tbl>
    <w:p>
      <w:pPr>
        <w:spacing w:line="460" w:lineRule="exact"/>
        <w:ind w:firstLine="640" w:firstLineChars="200"/>
        <w:rPr>
          <w:rFonts w:ascii="仿宋_GB2312" w:hAnsi="仿宋" w:eastAsia="仿宋_GB2312" w:cs="Times New Roman"/>
          <w:color w:val="auto"/>
          <w:sz w:val="32"/>
          <w:szCs w:val="32"/>
        </w:rPr>
      </w:pPr>
    </w:p>
    <w:p>
      <w:pPr>
        <w:spacing w:line="46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（二）项目基本情况及</w:t>
      </w:r>
      <w:r>
        <w:rPr>
          <w:rFonts w:hint="eastAsia" w:ascii="仿宋_GB2312" w:hAnsi="仿宋" w:eastAsia="仿宋_GB2312" w:cs="Times New Roman"/>
          <w:color w:val="auto"/>
          <w:sz w:val="32"/>
          <w:szCs w:val="32"/>
          <w:lang w:val="en-US" w:eastAsia="zh-CN"/>
        </w:rPr>
        <w:t>建设</w:t>
      </w:r>
      <w:r>
        <w:rPr>
          <w:rFonts w:hint="eastAsia" w:ascii="仿宋_GB2312" w:hAnsi="仿宋" w:eastAsia="仿宋_GB2312" w:cs="Times New Roman"/>
          <w:color w:val="auto"/>
          <w:sz w:val="32"/>
          <w:szCs w:val="32"/>
        </w:rPr>
        <w:t>内容</w:t>
      </w:r>
    </w:p>
    <w:p>
      <w:pPr>
        <w:pStyle w:val="16"/>
        <w:ind w:firstLine="482"/>
        <w:rPr>
          <w:color w:val="auto"/>
        </w:rPr>
      </w:pPr>
      <w:bookmarkStart w:id="2" w:name="_Toc492654788"/>
      <w:r>
        <w:rPr>
          <w:rFonts w:hint="eastAsia"/>
          <w:color w:val="auto"/>
        </w:rPr>
        <w:t>一、</w:t>
      </w:r>
      <w:bookmarkEnd w:id="2"/>
      <w:bookmarkStart w:id="3" w:name="_Toc492654790"/>
      <w:r>
        <w:rPr>
          <w:rFonts w:hint="eastAsia"/>
          <w:color w:val="auto"/>
          <w:lang w:val="en-US" w:eastAsia="zh-CN"/>
        </w:rPr>
        <w:t>建设</w:t>
      </w:r>
      <w:r>
        <w:rPr>
          <w:rFonts w:hint="eastAsia"/>
          <w:color w:val="auto"/>
        </w:rPr>
        <w:t>内容和服务标准</w:t>
      </w:r>
      <w:bookmarkEnd w:id="3"/>
    </w:p>
    <w:p>
      <w:pPr>
        <w:pStyle w:val="22"/>
        <w:ind w:firstLine="482"/>
        <w:rPr>
          <w:b/>
          <w:color w:val="auto"/>
        </w:rPr>
      </w:pPr>
      <w:r>
        <w:rPr>
          <w:rFonts w:hint="eastAsia"/>
          <w:b/>
          <w:color w:val="auto"/>
        </w:rPr>
        <w:t>（一）</w:t>
      </w:r>
      <w:r>
        <w:rPr>
          <w:rFonts w:hint="eastAsia"/>
          <w:b/>
          <w:color w:val="auto"/>
          <w:lang w:val="en-US" w:eastAsia="zh-CN"/>
        </w:rPr>
        <w:t>建设</w:t>
      </w:r>
      <w:r>
        <w:rPr>
          <w:rFonts w:hint="eastAsia"/>
          <w:b/>
          <w:color w:val="auto"/>
        </w:rPr>
        <w:t>内容：</w:t>
      </w:r>
    </w:p>
    <w:p>
      <w:pPr>
        <w:pStyle w:val="22"/>
        <w:ind w:firstLine="480"/>
        <w:rPr>
          <w:rFonts w:hint="eastAsia"/>
          <w:color w:val="auto"/>
        </w:rPr>
      </w:pPr>
      <w:r>
        <w:rPr>
          <w:rFonts w:hint="eastAsia"/>
          <w:color w:val="auto"/>
        </w:rPr>
        <w:t>按照“</w:t>
      </w:r>
      <w:r>
        <w:rPr>
          <w:rFonts w:hint="eastAsia" w:ascii="仿宋" w:hAnsi="仿宋" w:eastAsia="仿宋"/>
          <w:color w:val="auto"/>
          <w:szCs w:val="24"/>
          <w:lang w:val="en-US" w:eastAsia="zh-CN"/>
        </w:rPr>
        <w:t>区域</w:t>
      </w:r>
      <w:r>
        <w:rPr>
          <w:rFonts w:hint="eastAsia" w:ascii="仿宋" w:hAnsi="仿宋" w:eastAsia="仿宋"/>
          <w:color w:val="auto"/>
          <w:szCs w:val="24"/>
        </w:rPr>
        <w:t>心电</w:t>
      </w:r>
      <w:r>
        <w:rPr>
          <w:rFonts w:hint="eastAsia" w:ascii="仿宋" w:hAnsi="仿宋" w:eastAsia="仿宋"/>
          <w:color w:val="auto"/>
          <w:szCs w:val="24"/>
          <w:lang w:val="en-US" w:eastAsia="zh-CN"/>
        </w:rPr>
        <w:t>信息管理</w:t>
      </w:r>
      <w:r>
        <w:rPr>
          <w:rFonts w:hint="eastAsia" w:ascii="仿宋" w:hAnsi="仿宋" w:eastAsia="仿宋"/>
          <w:color w:val="auto"/>
          <w:szCs w:val="24"/>
        </w:rPr>
        <w:t>系统</w:t>
      </w:r>
      <w:r>
        <w:rPr>
          <w:rFonts w:hint="eastAsia" w:ascii="仿宋" w:hAnsi="仿宋" w:eastAsia="仿宋"/>
          <w:color w:val="auto"/>
          <w:szCs w:val="24"/>
          <w:lang w:val="en-US" w:eastAsia="zh-CN"/>
        </w:rPr>
        <w:t>（远程心电）升级</w:t>
      </w:r>
      <w:r>
        <w:rPr>
          <w:rFonts w:hint="eastAsia"/>
          <w:color w:val="auto"/>
        </w:rPr>
        <w:t>”</w:t>
      </w:r>
      <w:r>
        <w:rPr>
          <w:rFonts w:hint="eastAsia"/>
          <w:color w:val="auto"/>
          <w:lang w:val="en-US" w:eastAsia="zh-CN"/>
        </w:rPr>
        <w:t>的</w:t>
      </w:r>
      <w:r>
        <w:rPr>
          <w:rFonts w:hint="eastAsia"/>
          <w:color w:val="auto"/>
        </w:rPr>
        <w:t>要求，承担</w:t>
      </w:r>
      <w:r>
        <w:rPr>
          <w:rFonts w:hint="eastAsia"/>
          <w:color w:val="auto"/>
          <w:lang w:val="en-US" w:eastAsia="zh-CN"/>
        </w:rPr>
        <w:t>克拉玛依区域</w:t>
      </w:r>
      <w:r>
        <w:rPr>
          <w:rFonts w:hint="eastAsia"/>
          <w:color w:val="auto"/>
        </w:rPr>
        <w:t>心电</w:t>
      </w:r>
      <w:r>
        <w:rPr>
          <w:rFonts w:hint="eastAsia"/>
          <w:color w:val="auto"/>
          <w:lang w:val="en-US" w:eastAsia="zh-CN"/>
        </w:rPr>
        <w:t>信息管理</w:t>
      </w:r>
      <w:r>
        <w:rPr>
          <w:rFonts w:hint="eastAsia"/>
          <w:color w:val="auto"/>
        </w:rPr>
        <w:t>系统</w:t>
      </w:r>
      <w:r>
        <w:rPr>
          <w:rFonts w:hint="eastAsia"/>
          <w:color w:val="auto"/>
          <w:lang w:val="en-US" w:eastAsia="zh-CN"/>
        </w:rPr>
        <w:t>升级</w:t>
      </w:r>
      <w:r>
        <w:rPr>
          <w:rFonts w:hint="eastAsia"/>
          <w:color w:val="auto"/>
        </w:rPr>
        <w:t>服务。</w:t>
      </w:r>
    </w:p>
    <w:tbl>
      <w:tblPr>
        <w:tblStyle w:val="9"/>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455"/>
        <w:gridCol w:w="93"/>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63"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内容</w:t>
            </w:r>
          </w:p>
        </w:tc>
        <w:tc>
          <w:tcPr>
            <w:tcW w:w="3136" w:type="pct"/>
            <w:gridSpan w:val="2"/>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63" w:type="pct"/>
            <w:gridSpan w:val="2"/>
            <w:noWrap w:val="0"/>
            <w:vAlign w:val="center"/>
          </w:tcPr>
          <w:p>
            <w:pPr>
              <w:bidi w:val="0"/>
              <w:spacing w:line="240" w:lineRule="auto"/>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心电整体平台升级</w:t>
            </w:r>
          </w:p>
        </w:tc>
        <w:tc>
          <w:tcPr>
            <w:tcW w:w="3136" w:type="pct"/>
            <w:gridSpan w:val="2"/>
            <w:noWrap w:val="0"/>
            <w:vAlign w:val="center"/>
          </w:tcPr>
          <w:p>
            <w:pPr>
              <w:bidi w:val="0"/>
              <w:spacing w:line="240" w:lineRule="auto"/>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心电</w:t>
            </w:r>
            <w:r>
              <w:rPr>
                <w:rFonts w:hint="eastAsia" w:ascii="仿宋" w:hAnsi="仿宋" w:eastAsia="仿宋" w:cs="仿宋"/>
                <w:sz w:val="24"/>
                <w:szCs w:val="24"/>
                <w:lang w:val="en-US" w:eastAsia="zh-CN"/>
              </w:rPr>
              <w:t>基于原系统，对平台进行全新升级迭代，平台应用更加流畅、功能更加完善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3"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电生理业务管理</w:t>
            </w:r>
          </w:p>
        </w:tc>
        <w:tc>
          <w:tcPr>
            <w:tcW w:w="3136" w:type="pct"/>
            <w:gridSpan w:val="2"/>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将医院各院区的电生理设备集中接入系统平台，实现心电电生理信息化检查流程的综合管理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63"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AI人工智能应用</w:t>
            </w:r>
          </w:p>
        </w:tc>
        <w:tc>
          <w:tcPr>
            <w:tcW w:w="3136" w:type="pct"/>
            <w:gridSpan w:val="2"/>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平台搭载麦迪克斯AI人工智能诊断算法，实现AI人工智能诊断、危急预警等智能应用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8" w:type="pct"/>
            <w:vMerge w:val="restart"/>
            <w:noWrap w:val="0"/>
            <w:vAlign w:val="center"/>
          </w:tcPr>
          <w:p>
            <w:pPr>
              <w:bidi w:val="0"/>
              <w:spacing w:line="240" w:lineRule="auto"/>
              <w:ind w:left="0" w:leftChars="0" w:firstLine="0" w:firstLine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新增功能</w:t>
            </w:r>
          </w:p>
        </w:tc>
        <w:tc>
          <w:tcPr>
            <w:tcW w:w="1426"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三合一诊断工作站</w:t>
            </w:r>
          </w:p>
        </w:tc>
        <w:tc>
          <w:tcPr>
            <w:tcW w:w="3084" w:type="pct"/>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静息心电、动态心电、动态血压综合分析诊断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8" w:type="pct"/>
            <w:vMerge w:val="continue"/>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p>
        </w:tc>
        <w:tc>
          <w:tcPr>
            <w:tcW w:w="1426"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测量值异常提醒</w:t>
            </w:r>
          </w:p>
        </w:tc>
        <w:tc>
          <w:tcPr>
            <w:tcW w:w="3084" w:type="pct"/>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升级后，系统平台具备该功能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8" w:type="pct"/>
            <w:vMerge w:val="continue"/>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p>
        </w:tc>
        <w:tc>
          <w:tcPr>
            <w:tcW w:w="1426"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微信分享功能</w:t>
            </w:r>
          </w:p>
        </w:tc>
        <w:tc>
          <w:tcPr>
            <w:tcW w:w="3084" w:type="pct"/>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通过微信分享功能将病历分享给外院专家进行会诊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8" w:type="pct"/>
            <w:vMerge w:val="continue"/>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p>
        </w:tc>
        <w:tc>
          <w:tcPr>
            <w:tcW w:w="1426"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典型病例收藏管理</w:t>
            </w:r>
          </w:p>
        </w:tc>
        <w:tc>
          <w:tcPr>
            <w:tcW w:w="3084" w:type="pct"/>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对典型病例进行收藏管理，便于科室科研、学习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8" w:type="pct"/>
            <w:vMerge w:val="continue"/>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p>
        </w:tc>
        <w:tc>
          <w:tcPr>
            <w:tcW w:w="1426"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病例随访管理</w:t>
            </w:r>
          </w:p>
        </w:tc>
        <w:tc>
          <w:tcPr>
            <w:tcW w:w="3084" w:type="pct"/>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制定随访计划，并进行随访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8" w:type="pct"/>
            <w:vMerge w:val="continue"/>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p>
        </w:tc>
        <w:tc>
          <w:tcPr>
            <w:tcW w:w="1426"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危急值管理</w:t>
            </w:r>
          </w:p>
        </w:tc>
        <w:tc>
          <w:tcPr>
            <w:tcW w:w="3084" w:type="pct"/>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新增危急值管理模块，实现全流程危急值闭环管理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8" w:type="pct"/>
            <w:vMerge w:val="continue"/>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p>
        </w:tc>
        <w:tc>
          <w:tcPr>
            <w:tcW w:w="1426"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质控管理</w:t>
            </w:r>
          </w:p>
        </w:tc>
        <w:tc>
          <w:tcPr>
            <w:tcW w:w="3084" w:type="pct"/>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新增质控管理模块，实现对图像质量、报告质量的质控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8" w:type="pct"/>
            <w:vMerge w:val="continue"/>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p>
        </w:tc>
        <w:tc>
          <w:tcPr>
            <w:tcW w:w="1426" w:type="pct"/>
            <w:gridSpan w:val="2"/>
            <w:noWrap w:val="0"/>
            <w:vAlign w:val="center"/>
          </w:tcPr>
          <w:p>
            <w:pPr>
              <w:bidi w:val="0"/>
              <w:spacing w:line="240" w:lineRule="auto"/>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可视化业务管理</w:t>
            </w:r>
          </w:p>
        </w:tc>
        <w:tc>
          <w:tcPr>
            <w:tcW w:w="3084" w:type="pct"/>
            <w:noWrap w:val="0"/>
            <w:vAlign w:val="center"/>
          </w:tcPr>
          <w:p>
            <w:pPr>
              <w:bidi w:val="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提供对用户、权限、业务流程、危急机、预警级别、打印模版等进行全面的可视化管理</w:t>
            </w:r>
          </w:p>
        </w:tc>
      </w:tr>
    </w:tbl>
    <w:p>
      <w:pPr>
        <w:pStyle w:val="22"/>
        <w:ind w:firstLine="482"/>
        <w:rPr>
          <w:rFonts w:hint="default" w:eastAsia="仿宋"/>
          <w:b/>
          <w:color w:val="auto"/>
          <w:lang w:val="en-US" w:eastAsia="zh-CN"/>
        </w:rPr>
      </w:pPr>
      <w:r>
        <w:rPr>
          <w:rFonts w:hint="eastAsia"/>
          <w:b/>
          <w:color w:val="auto"/>
        </w:rPr>
        <w:t>（二）</w:t>
      </w:r>
      <w:r>
        <w:rPr>
          <w:rFonts w:hint="eastAsia"/>
          <w:b/>
          <w:color w:val="auto"/>
          <w:lang w:val="en-US" w:eastAsia="zh-CN"/>
        </w:rPr>
        <w:t>心电系统升级改造参数</w:t>
      </w:r>
    </w:p>
    <w:p>
      <w:pPr>
        <w:pStyle w:val="22"/>
        <w:ind w:firstLine="480"/>
        <w:rPr>
          <w:color w:val="auto"/>
        </w:rPr>
      </w:pPr>
      <w:r>
        <w:rPr>
          <w:rFonts w:hint="eastAsia"/>
          <w:color w:val="auto"/>
        </w:rPr>
        <w:t>1.系统建设遵循先进性、实用性、安全性、开放性与标准化等原则，保证系统建设、维护、使用的低成本、可靠性、易用性和易于维护，并要求系统具有良好的扩展性；</w:t>
      </w:r>
    </w:p>
    <w:p>
      <w:pPr>
        <w:pStyle w:val="22"/>
        <w:ind w:firstLine="480"/>
        <w:rPr>
          <w:color w:val="auto"/>
        </w:rPr>
      </w:pPr>
      <w:r>
        <w:rPr>
          <w:rFonts w:hint="eastAsia"/>
          <w:color w:val="auto"/>
        </w:rPr>
        <w:t>2.</w:t>
      </w:r>
      <w:r>
        <w:rPr>
          <w:rFonts w:hint="eastAsia" w:ascii="宋体" w:hAnsi="宋体" w:eastAsia="宋体" w:cs="宋体"/>
          <w:color w:val="000000"/>
          <w:sz w:val="21"/>
          <w:szCs w:val="21"/>
          <w:lang w:val="en-US" w:eastAsia="zh-CN"/>
        </w:rPr>
        <w:t>▲</w:t>
      </w:r>
      <w:r>
        <w:rPr>
          <w:rFonts w:hint="eastAsia"/>
          <w:color w:val="auto"/>
        </w:rPr>
        <w:t>系统软件采用纯B/S架构设计，所有医生客户端无需安装应用软件，均可直接通过浏览器登录系统，软件主界面包含预约分诊、检查管理、病历管理、临床浏览、数据统计、基础设置功能模块，提供包含以上功能的B/S软件主界面截图证明；</w:t>
      </w:r>
    </w:p>
    <w:p>
      <w:pPr>
        <w:pStyle w:val="22"/>
        <w:ind w:firstLine="480"/>
        <w:rPr>
          <w:color w:val="auto"/>
        </w:rPr>
      </w:pPr>
      <w:r>
        <w:rPr>
          <w:rFonts w:hint="eastAsia"/>
          <w:color w:val="auto"/>
        </w:rPr>
        <w:t>3.系统通用性：系统通用性强、扩展性好，对应用环境依赖性小，不受客户端电脑配置、操作系统版本等影响；</w:t>
      </w:r>
    </w:p>
    <w:p>
      <w:pPr>
        <w:pStyle w:val="22"/>
        <w:ind w:firstLine="480"/>
        <w:rPr>
          <w:color w:val="auto"/>
        </w:rPr>
      </w:pPr>
      <w:r>
        <w:rPr>
          <w:rFonts w:hint="eastAsia"/>
          <w:color w:val="auto"/>
        </w:rPr>
        <w:t>4.维护与升级：维护与升级工作集中于服务器端，医生客户端无需维护，极大减少医院后期的维护成本，实现系统的在线维护、无缝升级；</w:t>
      </w:r>
    </w:p>
    <w:p>
      <w:pPr>
        <w:pStyle w:val="22"/>
        <w:ind w:firstLine="480"/>
        <w:rPr>
          <w:color w:val="auto"/>
        </w:rPr>
      </w:pPr>
      <w:r>
        <w:rPr>
          <w:rFonts w:hint="eastAsia"/>
          <w:color w:val="auto"/>
        </w:rPr>
        <w:t>5.数据一致性：医生客户端每一次操作均直接访问服务器端，保障数据一致性；</w:t>
      </w:r>
    </w:p>
    <w:p>
      <w:pPr>
        <w:pStyle w:val="22"/>
        <w:ind w:firstLine="480"/>
        <w:rPr>
          <w:color w:val="auto"/>
        </w:rPr>
      </w:pPr>
      <w:r>
        <w:rPr>
          <w:rFonts w:hint="eastAsia"/>
          <w:color w:val="auto"/>
        </w:rPr>
        <w:t>6.</w:t>
      </w:r>
      <w:r>
        <w:rPr>
          <w:rFonts w:hint="eastAsia" w:ascii="宋体" w:hAnsi="宋体" w:eastAsia="宋体" w:cs="宋体"/>
          <w:color w:val="000000"/>
          <w:sz w:val="21"/>
          <w:szCs w:val="21"/>
          <w:lang w:val="en-US" w:eastAsia="zh-CN"/>
        </w:rPr>
        <w:t>▲</w:t>
      </w:r>
      <w:r>
        <w:rPr>
          <w:rFonts w:hint="eastAsia" w:ascii="宋体" w:hAnsi="宋体" w:cs="宋体"/>
          <w:color w:val="auto"/>
          <w:szCs w:val="21"/>
          <w:highlight w:val="none"/>
        </w:rPr>
        <w:t>系统完整性：登录系统后的功能模块需全面含概心电电生理检查业务的全流程，需包含以下模块预约登记、心电检查、动态心电/血压检查、电生理检查、病历管理、分析诊断、报告打印、统计分析、系统管理；</w:t>
      </w:r>
      <w:r>
        <w:rPr>
          <w:rFonts w:hint="eastAsia" w:ascii="宋体" w:hAnsi="宋体" w:cs="宋体"/>
          <w:b/>
          <w:bCs/>
          <w:color w:val="auto"/>
          <w:szCs w:val="21"/>
          <w:highlight w:val="none"/>
        </w:rPr>
        <w:t>提供软件截图证明，并</w:t>
      </w:r>
      <w:r>
        <w:rPr>
          <w:rFonts w:ascii="宋体" w:hAnsi="宋体" w:cs="宋体"/>
          <w:b/>
          <w:bCs/>
          <w:color w:val="auto"/>
          <w:szCs w:val="21"/>
          <w:highlight w:val="none"/>
        </w:rPr>
        <w:t>提供通过包括预约、登记、叫号、采集、分析、报告、打印、手持预约下载、手持采集、手持回放等功能的“双软认定”登记测试报告</w:t>
      </w:r>
      <w:r>
        <w:rPr>
          <w:rFonts w:hint="eastAsia" w:ascii="宋体" w:hAnsi="宋体" w:cs="宋体"/>
          <w:b/>
          <w:bCs/>
          <w:color w:val="auto"/>
          <w:szCs w:val="21"/>
          <w:highlight w:val="none"/>
        </w:rPr>
        <w:t>证明</w:t>
      </w:r>
      <w:r>
        <w:rPr>
          <w:rFonts w:hint="eastAsia"/>
          <w:color w:val="auto"/>
        </w:rPr>
        <w:t>。</w:t>
      </w:r>
    </w:p>
    <w:p>
      <w:pPr>
        <w:pStyle w:val="22"/>
        <w:ind w:firstLine="480"/>
        <w:rPr>
          <w:rFonts w:hint="eastAsia"/>
          <w:color w:val="auto"/>
        </w:rPr>
      </w:pPr>
      <w:r>
        <w:rPr>
          <w:rFonts w:hint="eastAsia"/>
          <w:color w:val="auto"/>
        </w:rPr>
        <w:t>7.安全性：为保证数据安全和业务连续性，系统需参照信息安全等级保护三级标准进行建设，要求提供由公安部认证的信息系统安全等级保护备案证明复印件，明确信息系统的名称和保护等级。</w:t>
      </w:r>
    </w:p>
    <w:p>
      <w:pPr>
        <w:pStyle w:val="22"/>
        <w:ind w:firstLine="480"/>
        <w:rPr>
          <w:rFonts w:hint="eastAsia" w:ascii="宋体" w:hAnsi="宋体" w:cs="宋体"/>
          <w:b/>
          <w:bCs/>
          <w:color w:val="auto"/>
          <w:szCs w:val="21"/>
          <w:highlight w:val="none"/>
          <w:lang w:eastAsia="zh-CN"/>
        </w:rPr>
      </w:pPr>
      <w:r>
        <w:rPr>
          <w:rFonts w:hint="eastAsia"/>
          <w:color w:val="auto"/>
          <w:lang w:val="en-US" w:eastAsia="zh-CN"/>
        </w:rPr>
        <w:t>8.</w:t>
      </w:r>
      <w:r>
        <w:rPr>
          <w:rFonts w:hint="eastAsia" w:ascii="宋体" w:hAnsi="宋体" w:eastAsia="宋体" w:cs="宋体"/>
          <w:color w:val="000000"/>
          <w:sz w:val="21"/>
          <w:szCs w:val="21"/>
          <w:lang w:val="en-US" w:eastAsia="zh-CN"/>
        </w:rPr>
        <w:t>▲</w:t>
      </w:r>
      <w:r>
        <w:rPr>
          <w:rFonts w:hint="eastAsia" w:ascii="宋体" w:hAnsi="宋体" w:cs="宋体"/>
          <w:color w:val="auto"/>
          <w:szCs w:val="21"/>
          <w:highlight w:val="none"/>
        </w:rPr>
        <w:t>在用户登录界面，支持用户名+密码登录、CA登录、扫码登录、人脸识别多种身份认证机制</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b/>
          <w:bCs/>
          <w:color w:val="auto"/>
          <w:szCs w:val="21"/>
          <w:highlight w:val="none"/>
          <w:lang w:eastAsia="zh-CN"/>
        </w:rPr>
        <w:t>。</w:t>
      </w:r>
    </w:p>
    <w:p>
      <w:pPr>
        <w:pStyle w:val="22"/>
        <w:ind w:firstLine="48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9.</w:t>
      </w:r>
      <w:r>
        <w:rPr>
          <w:rFonts w:hint="eastAsia" w:ascii="宋体" w:hAnsi="宋体" w:eastAsia="宋体" w:cs="宋体"/>
          <w:color w:val="000000"/>
          <w:sz w:val="21"/>
          <w:szCs w:val="21"/>
          <w:lang w:val="en-US" w:eastAsia="zh-CN"/>
        </w:rPr>
        <w:t>▲</w:t>
      </w:r>
      <w:r>
        <w:rPr>
          <w:rFonts w:hint="eastAsia" w:ascii="宋体" w:hAnsi="宋体" w:cs="宋体"/>
          <w:b/>
          <w:bCs/>
          <w:color w:val="auto"/>
          <w:szCs w:val="21"/>
          <w:highlight w:val="none"/>
          <w:lang w:val="en-US" w:eastAsia="zh-CN"/>
        </w:rPr>
        <w:t>支持医院心电图数据进行数字化集中存储及管理，可对心电数据进行查找、统计、测量。要求提供含有集中存储及管理、查找、统计、测量等词语的医疗器械注册证复印件并圈出对应内容证明。</w:t>
      </w:r>
    </w:p>
    <w:p>
      <w:pPr>
        <w:pStyle w:val="22"/>
        <w:ind w:firstLine="48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10.</w:t>
      </w:r>
      <w:r>
        <w:rPr>
          <w:rFonts w:hint="eastAsia" w:ascii="宋体" w:hAnsi="宋体" w:eastAsia="宋体" w:cs="宋体"/>
          <w:color w:val="000000"/>
          <w:sz w:val="21"/>
          <w:szCs w:val="21"/>
          <w:lang w:val="en-US" w:eastAsia="zh-CN"/>
        </w:rPr>
        <w:t>▲</w:t>
      </w:r>
      <w:r>
        <w:rPr>
          <w:rFonts w:hint="eastAsia" w:ascii="宋体" w:hAnsi="宋体" w:cs="宋体"/>
          <w:b/>
          <w:bCs/>
          <w:color w:val="auto"/>
          <w:szCs w:val="21"/>
          <w:highlight w:val="none"/>
          <w:lang w:val="en-US" w:eastAsia="zh-CN"/>
        </w:rPr>
        <w:t>系统提供了具有可操作性的数据库的备份机制，在系统数据遭受破坏的情况下，按照提示进行操作或重新安装系统，即可完成数据恢复，保障医疗数据存储的连续性及稳定性。要求提供明确说明“系统提供了具有可操作性的数据库的备份机制”的医疗器械注册证或其附件的复印件证明。</w:t>
      </w:r>
    </w:p>
    <w:p>
      <w:pPr>
        <w:pStyle w:val="22"/>
        <w:ind w:firstLine="480"/>
        <w:rPr>
          <w:rFonts w:ascii="宋体" w:hAnsi="宋体" w:cs="宋体"/>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color w:val="000000"/>
          <w:sz w:val="21"/>
          <w:szCs w:val="21"/>
          <w:lang w:val="en-US" w:eastAsia="zh-CN"/>
        </w:rPr>
        <w:t>▲</w:t>
      </w:r>
      <w:r>
        <w:rPr>
          <w:rFonts w:ascii="宋体" w:hAnsi="宋体" w:cs="宋体"/>
          <w:color w:val="auto"/>
          <w:szCs w:val="21"/>
          <w:highlight w:val="none"/>
        </w:rPr>
        <w:t>具备AI</w:t>
      </w:r>
      <w:r>
        <w:rPr>
          <w:rFonts w:hint="eastAsia" w:ascii="宋体" w:hAnsi="宋体" w:cs="宋体"/>
          <w:color w:val="auto"/>
          <w:szCs w:val="21"/>
          <w:highlight w:val="none"/>
        </w:rPr>
        <w:t>智能</w:t>
      </w:r>
      <w:r>
        <w:rPr>
          <w:rFonts w:ascii="宋体" w:hAnsi="宋体" w:cs="宋体"/>
          <w:color w:val="auto"/>
          <w:szCs w:val="21"/>
          <w:highlight w:val="none"/>
        </w:rPr>
        <w:t>诊断功能，辅助医生快速分析诊断；</w:t>
      </w:r>
      <w:r>
        <w:rPr>
          <w:rFonts w:ascii="宋体" w:hAnsi="宋体" w:cs="宋体"/>
          <w:b/>
          <w:bCs/>
          <w:color w:val="auto"/>
          <w:szCs w:val="21"/>
          <w:highlight w:val="none"/>
        </w:rPr>
        <w:t>要求提供AI心电人工智能诊断软件著作权证书的复印件证明</w:t>
      </w:r>
      <w:r>
        <w:rPr>
          <w:rFonts w:ascii="宋体" w:hAnsi="宋体" w:cs="宋体"/>
          <w:color w:val="auto"/>
          <w:szCs w:val="21"/>
          <w:highlight w:val="none"/>
        </w:rPr>
        <w:t>；</w:t>
      </w:r>
    </w:p>
    <w:p>
      <w:pPr>
        <w:pStyle w:val="22"/>
        <w:ind w:firstLine="48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12.具备AI危急值预警功能，支持后台AI智能预分析技术，根据危急值标准自动判断危急病历，并进行危急预警提醒；支持危急值自动预警级别的设置，用户可自定义设置危急值预警级别；</w:t>
      </w:r>
    </w:p>
    <w:p>
      <w:pPr>
        <w:pStyle w:val="22"/>
        <w:ind w:firstLine="480"/>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000000"/>
          <w:sz w:val="21"/>
          <w:szCs w:val="21"/>
          <w:lang w:val="en-US" w:eastAsia="zh-CN"/>
        </w:rPr>
        <w:t>▲</w:t>
      </w:r>
      <w:r>
        <w:rPr>
          <w:rFonts w:hint="eastAsia" w:ascii="宋体" w:hAnsi="宋体" w:cs="宋体"/>
          <w:color w:val="auto"/>
          <w:szCs w:val="21"/>
          <w:highlight w:val="none"/>
        </w:rPr>
        <w:t>支持对所有报危急值的病历进行统一列表管理功能，支持与医院的危急值平台集成，</w:t>
      </w:r>
      <w:r>
        <w:rPr>
          <w:rFonts w:hint="eastAsia" w:ascii="宋体" w:hAnsi="宋体" w:cs="宋体"/>
          <w:color w:val="auto"/>
          <w:szCs w:val="21"/>
          <w:highlight w:val="none"/>
          <w:lang w:val="en-US" w:eastAsia="zh-CN"/>
        </w:rPr>
        <w:t>具备危急值提醒，且</w:t>
      </w:r>
      <w:r>
        <w:rPr>
          <w:rFonts w:hint="eastAsia" w:ascii="宋体" w:hAnsi="宋体" w:cs="宋体"/>
          <w:color w:val="auto"/>
          <w:szCs w:val="21"/>
          <w:highlight w:val="none"/>
        </w:rPr>
        <w:t>同步显示临床科室处理意见、临床科室处理人、处理时间以及临床最终确认是否为危急值，实现危急值的全流程闭环管理；</w:t>
      </w:r>
      <w:r>
        <w:rPr>
          <w:rFonts w:hint="eastAsia" w:ascii="宋体" w:hAnsi="宋体" w:cs="宋体"/>
          <w:b/>
          <w:bCs/>
          <w:color w:val="auto"/>
          <w:szCs w:val="21"/>
          <w:highlight w:val="none"/>
        </w:rPr>
        <w:t>要提供危急值列表管理且同步显示临床科室处理信息的界面截图证明。</w:t>
      </w:r>
    </w:p>
    <w:p>
      <w:pPr>
        <w:pStyle w:val="22"/>
        <w:ind w:firstLine="48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14.</w:t>
      </w:r>
      <w:r>
        <w:rPr>
          <w:rFonts w:hint="eastAsia" w:ascii="宋体" w:hAnsi="宋体" w:eastAsia="宋体" w:cs="宋体"/>
          <w:color w:val="000000"/>
          <w:sz w:val="21"/>
          <w:szCs w:val="21"/>
          <w:lang w:val="en-US" w:eastAsia="zh-CN"/>
        </w:rPr>
        <w:t>▲</w:t>
      </w:r>
      <w:r>
        <w:rPr>
          <w:rFonts w:hint="eastAsia" w:ascii="宋体" w:hAnsi="宋体" w:cs="宋体"/>
          <w:b/>
          <w:bCs/>
          <w:color w:val="auto"/>
          <w:szCs w:val="21"/>
          <w:highlight w:val="none"/>
          <w:lang w:val="en-US" w:eastAsia="zh-CN"/>
        </w:rPr>
        <w:t>具备基于大屏显示的心电数据BI展示平台，提供包括检查量趋势、工作量、检查机构排名、异常类疾病排名、诊断医生排名、报告时效质控、诊断分布、诊断分级等丰富全面的图表及仪表盘样式，通过业务指标数据分析与可视化展示，让相关管理人员能够掌握业务动态，为管理人员提供管理工具。提供真实界面截图证明。</w:t>
      </w:r>
    </w:p>
    <w:p>
      <w:pPr>
        <w:pStyle w:val="22"/>
        <w:ind w:firstLine="48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15.</w:t>
      </w:r>
      <w:r>
        <w:rPr>
          <w:rFonts w:hint="eastAsia" w:ascii="宋体" w:hAnsi="宋体" w:eastAsia="宋体" w:cs="宋体"/>
          <w:color w:val="000000"/>
          <w:sz w:val="21"/>
          <w:szCs w:val="21"/>
          <w:lang w:val="en-US" w:eastAsia="zh-CN"/>
        </w:rPr>
        <w:t>▲</w:t>
      </w:r>
      <w:r>
        <w:rPr>
          <w:rFonts w:hint="eastAsia" w:ascii="宋体" w:hAnsi="宋体" w:cs="宋体"/>
          <w:b/>
          <w:bCs/>
          <w:color w:val="auto"/>
          <w:szCs w:val="21"/>
          <w:highlight w:val="none"/>
          <w:lang w:val="en-US" w:eastAsia="zh-CN"/>
        </w:rPr>
        <w:t>具备报告记录功能，可详细查看每一个医生对本份病历的每一次操作及报告修改记录，并查看操作人、操作时间及修改具备内容；提供软件界面截图</w:t>
      </w:r>
    </w:p>
    <w:p>
      <w:pPr>
        <w:pStyle w:val="22"/>
        <w:ind w:firstLine="48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16.</w:t>
      </w:r>
      <w:r>
        <w:rPr>
          <w:rFonts w:hint="eastAsia" w:ascii="宋体" w:hAnsi="宋体" w:eastAsia="宋体" w:cs="宋体"/>
          <w:color w:val="000000"/>
          <w:sz w:val="21"/>
          <w:szCs w:val="21"/>
          <w:lang w:val="en-US" w:eastAsia="zh-CN"/>
        </w:rPr>
        <w:t>▲</w:t>
      </w:r>
      <w:r>
        <w:rPr>
          <w:rFonts w:hint="eastAsia" w:ascii="宋体" w:hAnsi="宋体" w:cs="宋体"/>
          <w:b/>
          <w:bCs/>
          <w:color w:val="auto"/>
          <w:szCs w:val="21"/>
          <w:highlight w:val="none"/>
          <w:lang w:val="en-US" w:eastAsia="zh-CN"/>
        </w:rPr>
        <w:t>支持典型病例收藏功能：支持个人收藏及公共收藏两种方式，个人收藏仅病例的收藏者有权限进行查看，公共收藏所有用户均有权限进行查看；支持单独的已收藏病历显示列表，快速查看已收藏病历；提供软件截图证明；</w:t>
      </w:r>
    </w:p>
    <w:p>
      <w:pPr>
        <w:pStyle w:val="22"/>
        <w:ind w:firstLine="48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17.</w:t>
      </w:r>
      <w:r>
        <w:rPr>
          <w:rFonts w:hint="eastAsia" w:ascii="宋体" w:hAnsi="宋体" w:eastAsia="宋体" w:cs="宋体"/>
          <w:color w:val="000000"/>
          <w:sz w:val="21"/>
          <w:szCs w:val="21"/>
          <w:lang w:val="en-US" w:eastAsia="zh-CN"/>
        </w:rPr>
        <w:t>▲</w:t>
      </w:r>
      <w:r>
        <w:rPr>
          <w:rFonts w:hint="eastAsia" w:ascii="宋体" w:hAnsi="宋体" w:cs="宋体"/>
          <w:b/>
          <w:bCs/>
          <w:color w:val="auto"/>
          <w:szCs w:val="21"/>
          <w:highlight w:val="none"/>
          <w:lang w:val="en-US" w:eastAsia="zh-CN"/>
        </w:rPr>
        <w:t>具备病历随访功能：支持建立随访计划，支持单独的随访病历显示列表，快速查看随访病历结论；提供软件截图证明；</w:t>
      </w:r>
    </w:p>
    <w:p>
      <w:pPr>
        <w:pStyle w:val="22"/>
        <w:rPr>
          <w:rFonts w:hint="eastAsia"/>
          <w:color w:val="auto"/>
        </w:rPr>
      </w:pPr>
    </w:p>
    <w:p>
      <w:pPr>
        <w:pStyle w:val="16"/>
        <w:ind w:firstLine="482"/>
        <w:rPr>
          <w:color w:val="auto"/>
        </w:rPr>
      </w:pPr>
      <w:r>
        <w:rPr>
          <w:rFonts w:hint="eastAsia"/>
          <w:color w:val="auto"/>
        </w:rPr>
        <w:t>二、售后服务内容</w:t>
      </w:r>
    </w:p>
    <w:p>
      <w:pPr>
        <w:pStyle w:val="22"/>
        <w:ind w:firstLine="480"/>
        <w:rPr>
          <w:color w:val="auto"/>
          <w:szCs w:val="32"/>
        </w:rPr>
      </w:pPr>
      <w:r>
        <w:rPr>
          <w:rFonts w:hint="eastAsia"/>
          <w:color w:val="auto"/>
          <w:szCs w:val="32"/>
        </w:rPr>
        <w:t>1.中标人对本次招标内容所列产品</w:t>
      </w:r>
      <w:r>
        <w:rPr>
          <w:rFonts w:hint="eastAsia"/>
          <w:color w:val="auto"/>
          <w:szCs w:val="32"/>
          <w:lang w:val="en-US" w:eastAsia="zh-CN"/>
        </w:rPr>
        <w:t>1</w:t>
      </w:r>
      <w:r>
        <w:rPr>
          <w:rFonts w:hint="eastAsia"/>
          <w:color w:val="auto"/>
          <w:szCs w:val="32"/>
        </w:rPr>
        <w:t>年质保期服务，</w:t>
      </w:r>
      <w:r>
        <w:rPr>
          <w:rFonts w:hint="eastAsia"/>
          <w:color w:val="auto"/>
          <w:szCs w:val="32"/>
          <w:lang w:val="en-US" w:eastAsia="zh-CN"/>
        </w:rPr>
        <w:t>质保</w:t>
      </w:r>
      <w:r>
        <w:rPr>
          <w:rFonts w:hint="eastAsia"/>
          <w:color w:val="auto"/>
          <w:szCs w:val="32"/>
        </w:rPr>
        <w:t>服务从双方签署最终验收报告之日算起。</w:t>
      </w:r>
    </w:p>
    <w:p>
      <w:pPr>
        <w:pStyle w:val="22"/>
        <w:ind w:firstLine="480"/>
        <w:rPr>
          <w:color w:val="auto"/>
          <w:szCs w:val="32"/>
        </w:rPr>
      </w:pPr>
      <w:r>
        <w:rPr>
          <w:rFonts w:hint="eastAsia"/>
          <w:color w:val="auto"/>
          <w:szCs w:val="32"/>
          <w:lang w:val="en-US" w:eastAsia="zh-CN"/>
        </w:rPr>
        <w:t>2</w:t>
      </w:r>
      <w:r>
        <w:rPr>
          <w:rFonts w:hint="eastAsia"/>
          <w:color w:val="auto"/>
          <w:szCs w:val="32"/>
        </w:rPr>
        <w:t>.中标人必须保证系统运行的日常监控，及时发现和排除故障，保证一线技术支持人员7×24小时的售后服务。</w:t>
      </w:r>
    </w:p>
    <w:p>
      <w:pPr>
        <w:pStyle w:val="22"/>
        <w:ind w:firstLine="480"/>
        <w:rPr>
          <w:rFonts w:hint="eastAsia"/>
          <w:color w:val="auto"/>
          <w:szCs w:val="32"/>
        </w:rPr>
      </w:pPr>
      <w:r>
        <w:rPr>
          <w:rFonts w:hint="eastAsia"/>
          <w:color w:val="auto"/>
          <w:szCs w:val="32"/>
        </w:rPr>
        <w:t>4.在质保期内，中标人必须及时响应用户，当故障发生后2</w:t>
      </w:r>
      <w:r>
        <w:rPr>
          <w:rFonts w:hint="eastAsia"/>
          <w:color w:val="auto"/>
          <w:szCs w:val="32"/>
          <w:lang w:val="en-US" w:eastAsia="zh-CN"/>
        </w:rPr>
        <w:t>4</w:t>
      </w:r>
      <w:r>
        <w:rPr>
          <w:rFonts w:hint="eastAsia"/>
          <w:color w:val="auto"/>
          <w:szCs w:val="32"/>
        </w:rPr>
        <w:t>小时内赶到用户现场并及时调查故障原因并修复，直至满足最终验收指标和性能的要求。</w:t>
      </w:r>
    </w:p>
    <w:p>
      <w:pPr>
        <w:pStyle w:val="22"/>
        <w:ind w:firstLine="480"/>
        <w:rPr>
          <w:rFonts w:hint="default" w:eastAsia="仿宋"/>
          <w:color w:val="auto"/>
          <w:szCs w:val="32"/>
          <w:lang w:val="en-US" w:eastAsia="zh-CN"/>
        </w:rPr>
      </w:pPr>
      <w:r>
        <w:rPr>
          <w:rFonts w:hint="eastAsia"/>
          <w:color w:val="auto"/>
          <w:szCs w:val="32"/>
          <w:lang w:val="en-US" w:eastAsia="zh-CN"/>
        </w:rPr>
        <w:t>5.施工日期要求在45天内完成</w:t>
      </w:r>
      <w:bookmarkStart w:id="4" w:name="_GoBack"/>
      <w:bookmarkEnd w:id="4"/>
      <w:r>
        <w:rPr>
          <w:rFonts w:hint="eastAsia"/>
          <w:color w:val="auto"/>
          <w:szCs w:val="32"/>
          <w:lang w:val="en-US" w:eastAsia="zh-CN"/>
        </w:rPr>
        <w:t>。</w:t>
      </w:r>
    </w:p>
    <w:p>
      <w:pPr>
        <w:spacing w:line="460" w:lineRule="exact"/>
        <w:ind w:firstLine="560" w:firstLineChars="200"/>
        <w:rPr>
          <w:rFonts w:ascii="华文仿宋" w:hAnsi="华文仿宋" w:eastAsia="华文仿宋" w:cs="Times New Roman"/>
          <w:color w:val="auto"/>
          <w:sz w:val="28"/>
          <w:szCs w:val="28"/>
        </w:rPr>
      </w:pPr>
    </w:p>
    <w:p>
      <w:pPr>
        <w:pStyle w:val="13"/>
        <w:numPr>
          <w:ilvl w:val="0"/>
          <w:numId w:val="2"/>
        </w:numPr>
        <w:spacing w:line="460" w:lineRule="exact"/>
        <w:ind w:firstLineChars="0"/>
        <w:rPr>
          <w:rFonts w:ascii="仿宋_GB2312" w:hAnsi="仿宋" w:eastAsia="仿宋_GB2312" w:cs="Times New Roman"/>
          <w:b/>
          <w:color w:val="auto"/>
          <w:sz w:val="32"/>
          <w:szCs w:val="32"/>
        </w:rPr>
      </w:pPr>
      <w:r>
        <w:rPr>
          <w:rFonts w:hint="eastAsia" w:ascii="仿宋_GB2312" w:hAnsi="仿宋" w:eastAsia="仿宋_GB2312" w:cs="Times New Roman"/>
          <w:b/>
          <w:color w:val="auto"/>
          <w:sz w:val="32"/>
          <w:szCs w:val="32"/>
        </w:rPr>
        <w:t>服务地点</w:t>
      </w:r>
    </w:p>
    <w:p>
      <w:pPr>
        <w:spacing w:line="460" w:lineRule="exact"/>
        <w:ind w:left="640"/>
        <w:rPr>
          <w:rFonts w:ascii="仿宋_GB2312" w:hAnsi="仿宋" w:eastAsia="仿宋_GB2312"/>
          <w:color w:val="auto"/>
          <w:sz w:val="32"/>
          <w:szCs w:val="32"/>
        </w:rPr>
      </w:pPr>
      <w:r>
        <w:rPr>
          <w:rFonts w:hint="eastAsia" w:ascii="仿宋_GB2312" w:hAnsi="仿宋" w:eastAsia="仿宋_GB2312" w:cs="Times New Roman"/>
          <w:color w:val="auto"/>
          <w:sz w:val="32"/>
          <w:szCs w:val="32"/>
        </w:rPr>
        <w:t>克拉玛依市中心医院</w:t>
      </w:r>
    </w:p>
    <w:p>
      <w:pPr>
        <w:pStyle w:val="13"/>
        <w:numPr>
          <w:ilvl w:val="0"/>
          <w:numId w:val="2"/>
        </w:numPr>
        <w:spacing w:line="460" w:lineRule="exact"/>
        <w:ind w:firstLineChars="0"/>
        <w:rPr>
          <w:rFonts w:ascii="仿宋_GB2312" w:hAnsi="仿宋" w:eastAsia="仿宋_GB2312" w:cs="Times New Roman"/>
          <w:b/>
          <w:color w:val="auto"/>
          <w:sz w:val="32"/>
          <w:szCs w:val="32"/>
        </w:rPr>
      </w:pPr>
      <w:r>
        <w:rPr>
          <w:rFonts w:hint="eastAsia" w:ascii="仿宋_GB2312" w:hAnsi="仿宋" w:eastAsia="仿宋_GB2312" w:cs="Times New Roman"/>
          <w:b/>
          <w:color w:val="auto"/>
          <w:sz w:val="32"/>
          <w:szCs w:val="32"/>
        </w:rPr>
        <w:t>付款方式</w:t>
      </w:r>
    </w:p>
    <w:p>
      <w:pPr>
        <w:spacing w:line="460" w:lineRule="exact"/>
        <w:ind w:firstLine="566" w:firstLineChars="177"/>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lang w:val="en-US" w:eastAsia="zh-CN"/>
        </w:rPr>
        <w:t>项目合同签订后支付项目款40%，项目</w:t>
      </w:r>
      <w:r>
        <w:rPr>
          <w:rFonts w:hint="eastAsia" w:ascii="仿宋_GB2312" w:hAnsi="仿宋" w:eastAsia="仿宋_GB2312" w:cs="Times New Roman"/>
          <w:color w:val="auto"/>
          <w:sz w:val="32"/>
          <w:szCs w:val="32"/>
        </w:rPr>
        <w:t>结束并通过最终验收合格后</w:t>
      </w:r>
      <w:r>
        <w:rPr>
          <w:rFonts w:hint="eastAsia" w:ascii="仿宋_GB2312" w:hAnsi="仿宋" w:eastAsia="仿宋_GB2312" w:cs="Times New Roman"/>
          <w:color w:val="auto"/>
          <w:sz w:val="32"/>
          <w:szCs w:val="32"/>
          <w:lang w:val="en-US" w:eastAsia="zh-CN"/>
        </w:rPr>
        <w:t>60</w:t>
      </w:r>
      <w:r>
        <w:rPr>
          <w:rFonts w:hint="eastAsia" w:ascii="仿宋_GB2312" w:hAnsi="仿宋" w:eastAsia="仿宋_GB2312" w:cs="Times New Roman"/>
          <w:color w:val="auto"/>
          <w:sz w:val="32"/>
          <w:szCs w:val="32"/>
        </w:rPr>
        <w:t>日内，经甲乙双方友好协商，</w:t>
      </w:r>
      <w:r>
        <w:rPr>
          <w:rFonts w:hint="eastAsia" w:ascii="仿宋_GB2312" w:hAnsi="仿宋" w:eastAsia="仿宋_GB2312" w:cs="Times New Roman"/>
          <w:color w:val="auto"/>
          <w:sz w:val="32"/>
          <w:szCs w:val="32"/>
          <w:lang w:val="en-US" w:eastAsia="zh-CN"/>
        </w:rPr>
        <w:t>支付项目款50%</w:t>
      </w:r>
      <w:r>
        <w:rPr>
          <w:rFonts w:hint="eastAsia" w:ascii="仿宋_GB2312" w:hAnsi="仿宋" w:eastAsia="仿宋_GB2312" w:cs="Times New Roman"/>
          <w:color w:val="auto"/>
          <w:sz w:val="32"/>
          <w:szCs w:val="32"/>
        </w:rPr>
        <w:t>款项</w:t>
      </w:r>
      <w:r>
        <w:rPr>
          <w:rFonts w:hint="eastAsia" w:ascii="仿宋_GB2312" w:hAnsi="仿宋" w:eastAsia="仿宋_GB2312" w:cs="Times New Roman"/>
          <w:color w:val="auto"/>
          <w:sz w:val="32"/>
          <w:szCs w:val="32"/>
          <w:lang w:val="en-US" w:eastAsia="zh-CN"/>
        </w:rPr>
        <w:t>.</w:t>
      </w:r>
      <w:r>
        <w:rPr>
          <w:rFonts w:hint="eastAsia" w:ascii="仿宋_GB2312" w:hAnsi="仿宋" w:eastAsia="仿宋_GB2312" w:cs="Times New Roman"/>
          <w:color w:val="auto"/>
          <w:sz w:val="32"/>
          <w:szCs w:val="32"/>
        </w:rPr>
        <w:t>余下的10%合同款在</w:t>
      </w:r>
      <w:r>
        <w:rPr>
          <w:rFonts w:hint="eastAsia" w:ascii="仿宋_GB2312" w:hAnsi="仿宋" w:eastAsia="仿宋_GB2312" w:cs="Times New Roman"/>
          <w:color w:val="auto"/>
          <w:sz w:val="32"/>
          <w:szCs w:val="32"/>
          <w:lang w:val="en-US" w:eastAsia="zh-CN"/>
        </w:rPr>
        <w:t>项目</w:t>
      </w:r>
      <w:r>
        <w:rPr>
          <w:rFonts w:hint="eastAsia" w:ascii="仿宋_GB2312" w:hAnsi="仿宋" w:eastAsia="仿宋_GB2312" w:cs="Times New Roman"/>
          <w:color w:val="auto"/>
          <w:sz w:val="32"/>
          <w:szCs w:val="32"/>
        </w:rPr>
        <w:t>合同到期后</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lang w:val="en-US" w:eastAsia="zh-CN"/>
        </w:rPr>
        <w:t>签订后尾款单后60</w:t>
      </w:r>
      <w:r>
        <w:rPr>
          <w:rFonts w:hint="eastAsia" w:ascii="仿宋_GB2312" w:hAnsi="仿宋" w:eastAsia="仿宋_GB2312" w:cs="Times New Roman"/>
          <w:color w:val="auto"/>
          <w:sz w:val="32"/>
          <w:szCs w:val="32"/>
        </w:rPr>
        <w:t>日内</w:t>
      </w:r>
      <w:r>
        <w:rPr>
          <w:rFonts w:hint="eastAsia" w:ascii="仿宋_GB2312" w:hAnsi="仿宋" w:eastAsia="仿宋_GB2312" w:cs="Times New Roman"/>
          <w:color w:val="auto"/>
          <w:sz w:val="32"/>
          <w:szCs w:val="32"/>
          <w:lang w:val="en-US" w:eastAsia="zh-CN"/>
        </w:rPr>
        <w:t>支付</w:t>
      </w:r>
      <w:r>
        <w:rPr>
          <w:rFonts w:hint="eastAsia" w:ascii="仿宋_GB2312" w:hAnsi="仿宋" w:eastAsia="仿宋_GB2312" w:cs="Times New Roman"/>
          <w:color w:val="auto"/>
          <w:sz w:val="32"/>
          <w:szCs w:val="32"/>
        </w:rPr>
        <w:t>。</w:t>
      </w:r>
    </w:p>
    <w:p>
      <w:pPr>
        <w:spacing w:line="460" w:lineRule="exact"/>
        <w:ind w:firstLine="569" w:firstLineChars="177"/>
        <w:rPr>
          <w:rFonts w:ascii="仿宋_GB2312" w:hAnsi="仿宋" w:eastAsia="仿宋_GB2312" w:cs="Times New Roman"/>
          <w:b/>
          <w:color w:val="auto"/>
          <w:sz w:val="32"/>
          <w:szCs w:val="32"/>
        </w:rPr>
      </w:pPr>
      <w:r>
        <w:rPr>
          <w:rFonts w:hint="eastAsia" w:ascii="仿宋_GB2312" w:hAnsi="仿宋" w:eastAsia="仿宋_GB2312" w:cs="Times New Roman"/>
          <w:b/>
          <w:color w:val="auto"/>
          <w:sz w:val="32"/>
          <w:szCs w:val="32"/>
        </w:rPr>
        <w:t>履约保证金</w:t>
      </w:r>
    </w:p>
    <w:p>
      <w:pPr>
        <w:snapToGrid w:val="0"/>
        <w:spacing w:line="460" w:lineRule="exact"/>
        <w:ind w:firstLine="700" w:firstLineChars="250"/>
        <w:rPr>
          <w:rFonts w:ascii="仿宋_GB2312" w:hAnsi="仿宋" w:eastAsia="仿宋_GB2312" w:cs="宋体"/>
          <w:color w:val="auto"/>
          <w:kern w:val="0"/>
          <w:sz w:val="32"/>
          <w:szCs w:val="32"/>
        </w:rPr>
      </w:pPr>
      <w:r>
        <w:rPr>
          <w:rFonts w:hint="eastAsia" w:ascii="华文中宋" w:hAnsi="华文中宋" w:eastAsia="华文中宋" w:cs="Times New Roman"/>
          <w:color w:val="auto"/>
          <w:sz w:val="28"/>
          <w:szCs w:val="28"/>
        </w:rPr>
        <w:t>不收</w:t>
      </w:r>
    </w:p>
    <w:p>
      <w:pPr>
        <w:pStyle w:val="13"/>
        <w:numPr>
          <w:ilvl w:val="0"/>
          <w:numId w:val="2"/>
        </w:numPr>
        <w:spacing w:line="460" w:lineRule="exact"/>
        <w:ind w:firstLineChars="0"/>
        <w:rPr>
          <w:rFonts w:ascii="仿宋_GB2312" w:hAnsi="仿宋" w:eastAsia="仿宋_GB2312" w:cs="Times New Roman"/>
          <w:b/>
          <w:color w:val="auto"/>
          <w:sz w:val="32"/>
          <w:szCs w:val="32"/>
        </w:rPr>
      </w:pPr>
      <w:r>
        <w:rPr>
          <w:rFonts w:hint="eastAsia" w:ascii="仿宋_GB2312" w:hAnsi="仿宋" w:eastAsia="仿宋_GB2312" w:cs="Times New Roman"/>
          <w:b/>
          <w:color w:val="auto"/>
          <w:sz w:val="32"/>
          <w:szCs w:val="32"/>
        </w:rPr>
        <w:t>采购单位咨询电话</w:t>
      </w:r>
    </w:p>
    <w:p>
      <w:pPr>
        <w:snapToGrid w:val="0"/>
        <w:spacing w:line="460" w:lineRule="exact"/>
        <w:ind w:firstLine="800" w:firstLineChars="25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联系人：姚鸿雁</w:t>
      </w:r>
    </w:p>
    <w:p>
      <w:pPr>
        <w:snapToGrid w:val="0"/>
        <w:spacing w:line="460" w:lineRule="exact"/>
        <w:ind w:firstLine="800" w:firstLineChars="25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联系电话：09906861276</w:t>
      </w:r>
    </w:p>
    <w:p>
      <w:pPr>
        <w:snapToGrid w:val="0"/>
        <w:spacing w:line="460" w:lineRule="exact"/>
        <w:ind w:firstLine="800" w:firstLineChars="25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手机号：19909900065</w:t>
      </w:r>
    </w:p>
    <w:p>
      <w:pPr>
        <w:snapToGrid w:val="0"/>
        <w:spacing w:line="460" w:lineRule="exact"/>
        <w:ind w:firstLine="800" w:firstLineChars="250"/>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rPr>
        <w:t>地址：克拉玛依市</w:t>
      </w:r>
      <w:r>
        <w:rPr>
          <w:rFonts w:hint="eastAsia" w:ascii="仿宋_GB2312" w:hAnsi="仿宋" w:eastAsia="仿宋_GB2312" w:cs="宋体"/>
          <w:color w:val="auto"/>
          <w:kern w:val="0"/>
          <w:sz w:val="32"/>
          <w:szCs w:val="32"/>
          <w:lang w:val="en-US" w:eastAsia="zh-CN"/>
        </w:rPr>
        <w:t>安定路120号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83C604A"/>
    <w:multiLevelType w:val="singleLevel"/>
    <w:tmpl w:val="183C604A"/>
    <w:lvl w:ilvl="0" w:tentative="0">
      <w:start w:val="1"/>
      <w:numFmt w:val="japaneseCounting"/>
      <w:pStyle w:val="11"/>
      <w:lvlText w:val="%1、"/>
      <w:lvlJc w:val="left"/>
      <w:pPr>
        <w:tabs>
          <w:tab w:val="left" w:pos="960"/>
        </w:tabs>
        <w:ind w:left="960" w:hanging="480"/>
      </w:pPr>
      <w:rPr>
        <w:rFonts w:hint="eastAsia"/>
        <w:b/>
      </w:rPr>
    </w:lvl>
  </w:abstractNum>
  <w:abstractNum w:abstractNumId="2">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OWMzNjA4MjNkOGQ3YTllNWJlZDcwZDFhMTZkODMifQ=="/>
  </w:docVars>
  <w:rsids>
    <w:rsidRoot w:val="001D0DCF"/>
    <w:rsid w:val="00017DC3"/>
    <w:rsid w:val="00031E9E"/>
    <w:rsid w:val="0003510C"/>
    <w:rsid w:val="000379C8"/>
    <w:rsid w:val="00042D10"/>
    <w:rsid w:val="000500ED"/>
    <w:rsid w:val="00062936"/>
    <w:rsid w:val="00073EA7"/>
    <w:rsid w:val="00073FF0"/>
    <w:rsid w:val="00092899"/>
    <w:rsid w:val="00097E4C"/>
    <w:rsid w:val="000A593B"/>
    <w:rsid w:val="000B1F4B"/>
    <w:rsid w:val="000B56DE"/>
    <w:rsid w:val="000E4C2D"/>
    <w:rsid w:val="001028AB"/>
    <w:rsid w:val="0010635C"/>
    <w:rsid w:val="00133C19"/>
    <w:rsid w:val="00142D44"/>
    <w:rsid w:val="00155852"/>
    <w:rsid w:val="00160411"/>
    <w:rsid w:val="00167C50"/>
    <w:rsid w:val="001714BC"/>
    <w:rsid w:val="0017612A"/>
    <w:rsid w:val="00190D50"/>
    <w:rsid w:val="001A688E"/>
    <w:rsid w:val="001B4C76"/>
    <w:rsid w:val="001D0DCF"/>
    <w:rsid w:val="00200C72"/>
    <w:rsid w:val="00215242"/>
    <w:rsid w:val="00221FD4"/>
    <w:rsid w:val="002344BD"/>
    <w:rsid w:val="00264368"/>
    <w:rsid w:val="00276620"/>
    <w:rsid w:val="00285D9E"/>
    <w:rsid w:val="002913F0"/>
    <w:rsid w:val="0029332E"/>
    <w:rsid w:val="002B2830"/>
    <w:rsid w:val="002C0BC1"/>
    <w:rsid w:val="002C6A60"/>
    <w:rsid w:val="002D0F20"/>
    <w:rsid w:val="002E0C22"/>
    <w:rsid w:val="002E56EC"/>
    <w:rsid w:val="002E5A7B"/>
    <w:rsid w:val="002E74FD"/>
    <w:rsid w:val="002F022C"/>
    <w:rsid w:val="002F1120"/>
    <w:rsid w:val="002F6109"/>
    <w:rsid w:val="002F683F"/>
    <w:rsid w:val="00323192"/>
    <w:rsid w:val="00324E2E"/>
    <w:rsid w:val="003402B0"/>
    <w:rsid w:val="00345BFE"/>
    <w:rsid w:val="003460C1"/>
    <w:rsid w:val="00357BB1"/>
    <w:rsid w:val="00373DF2"/>
    <w:rsid w:val="0038714D"/>
    <w:rsid w:val="0039146B"/>
    <w:rsid w:val="00393F53"/>
    <w:rsid w:val="00394AB6"/>
    <w:rsid w:val="00397403"/>
    <w:rsid w:val="003C7A46"/>
    <w:rsid w:val="003F0DF9"/>
    <w:rsid w:val="0040472C"/>
    <w:rsid w:val="00416605"/>
    <w:rsid w:val="00441012"/>
    <w:rsid w:val="00454471"/>
    <w:rsid w:val="00476CAF"/>
    <w:rsid w:val="004A33FC"/>
    <w:rsid w:val="004A70CD"/>
    <w:rsid w:val="004B02C4"/>
    <w:rsid w:val="004B2F31"/>
    <w:rsid w:val="004C08B3"/>
    <w:rsid w:val="004C77DA"/>
    <w:rsid w:val="004E327E"/>
    <w:rsid w:val="004E5560"/>
    <w:rsid w:val="004E69A2"/>
    <w:rsid w:val="004F1B38"/>
    <w:rsid w:val="00500A8E"/>
    <w:rsid w:val="0051111B"/>
    <w:rsid w:val="00511187"/>
    <w:rsid w:val="005115C1"/>
    <w:rsid w:val="00521522"/>
    <w:rsid w:val="00524C90"/>
    <w:rsid w:val="00535737"/>
    <w:rsid w:val="0053621E"/>
    <w:rsid w:val="005431CA"/>
    <w:rsid w:val="005532CE"/>
    <w:rsid w:val="00561EC6"/>
    <w:rsid w:val="00563AF9"/>
    <w:rsid w:val="005744C3"/>
    <w:rsid w:val="005C116D"/>
    <w:rsid w:val="005D5CC3"/>
    <w:rsid w:val="005F1511"/>
    <w:rsid w:val="00601841"/>
    <w:rsid w:val="00603260"/>
    <w:rsid w:val="00607A88"/>
    <w:rsid w:val="0061713F"/>
    <w:rsid w:val="006179A0"/>
    <w:rsid w:val="006302BD"/>
    <w:rsid w:val="0063292C"/>
    <w:rsid w:val="006437DB"/>
    <w:rsid w:val="00647D79"/>
    <w:rsid w:val="006527BE"/>
    <w:rsid w:val="00653944"/>
    <w:rsid w:val="006540B8"/>
    <w:rsid w:val="00654BD0"/>
    <w:rsid w:val="00656120"/>
    <w:rsid w:val="006717C1"/>
    <w:rsid w:val="00673FCC"/>
    <w:rsid w:val="006748B4"/>
    <w:rsid w:val="00676CA7"/>
    <w:rsid w:val="006A1A58"/>
    <w:rsid w:val="006A66C3"/>
    <w:rsid w:val="006C00A6"/>
    <w:rsid w:val="006C468F"/>
    <w:rsid w:val="006D2857"/>
    <w:rsid w:val="006E0FAE"/>
    <w:rsid w:val="006E11BB"/>
    <w:rsid w:val="006F1DAF"/>
    <w:rsid w:val="006F7D1D"/>
    <w:rsid w:val="00703FC7"/>
    <w:rsid w:val="007245D4"/>
    <w:rsid w:val="00725562"/>
    <w:rsid w:val="00725A13"/>
    <w:rsid w:val="00737279"/>
    <w:rsid w:val="007420FB"/>
    <w:rsid w:val="00744A01"/>
    <w:rsid w:val="007676FE"/>
    <w:rsid w:val="00767E48"/>
    <w:rsid w:val="007A6EE0"/>
    <w:rsid w:val="007A7A54"/>
    <w:rsid w:val="007C5177"/>
    <w:rsid w:val="007C7303"/>
    <w:rsid w:val="007E1F7F"/>
    <w:rsid w:val="007F2D1D"/>
    <w:rsid w:val="00811B5D"/>
    <w:rsid w:val="00812C4F"/>
    <w:rsid w:val="00814B82"/>
    <w:rsid w:val="0081509E"/>
    <w:rsid w:val="00823A37"/>
    <w:rsid w:val="0082722F"/>
    <w:rsid w:val="00845942"/>
    <w:rsid w:val="00864025"/>
    <w:rsid w:val="00870705"/>
    <w:rsid w:val="00877698"/>
    <w:rsid w:val="00881A2C"/>
    <w:rsid w:val="00887418"/>
    <w:rsid w:val="008A52C1"/>
    <w:rsid w:val="008B05C4"/>
    <w:rsid w:val="008B3278"/>
    <w:rsid w:val="008B674C"/>
    <w:rsid w:val="008B69A0"/>
    <w:rsid w:val="008B69C8"/>
    <w:rsid w:val="008C3CAF"/>
    <w:rsid w:val="008E51B4"/>
    <w:rsid w:val="008E72B0"/>
    <w:rsid w:val="00904BF1"/>
    <w:rsid w:val="00913A56"/>
    <w:rsid w:val="00927730"/>
    <w:rsid w:val="0093640D"/>
    <w:rsid w:val="00940223"/>
    <w:rsid w:val="0094435A"/>
    <w:rsid w:val="00945748"/>
    <w:rsid w:val="00946996"/>
    <w:rsid w:val="009579F3"/>
    <w:rsid w:val="009614AB"/>
    <w:rsid w:val="00970355"/>
    <w:rsid w:val="009749E8"/>
    <w:rsid w:val="00997332"/>
    <w:rsid w:val="0099784B"/>
    <w:rsid w:val="009A0C58"/>
    <w:rsid w:val="009A45E0"/>
    <w:rsid w:val="009A60C1"/>
    <w:rsid w:val="009B1F48"/>
    <w:rsid w:val="009B6166"/>
    <w:rsid w:val="009C36EB"/>
    <w:rsid w:val="009D44DE"/>
    <w:rsid w:val="009D4BD6"/>
    <w:rsid w:val="009D775A"/>
    <w:rsid w:val="009E2426"/>
    <w:rsid w:val="009F4A52"/>
    <w:rsid w:val="00A043E6"/>
    <w:rsid w:val="00A11623"/>
    <w:rsid w:val="00A165C6"/>
    <w:rsid w:val="00A337D0"/>
    <w:rsid w:val="00A37486"/>
    <w:rsid w:val="00A54956"/>
    <w:rsid w:val="00A66943"/>
    <w:rsid w:val="00A677CE"/>
    <w:rsid w:val="00A70065"/>
    <w:rsid w:val="00A874D4"/>
    <w:rsid w:val="00AD2AC9"/>
    <w:rsid w:val="00AD45D6"/>
    <w:rsid w:val="00AD7432"/>
    <w:rsid w:val="00AF2C82"/>
    <w:rsid w:val="00B1654F"/>
    <w:rsid w:val="00B51390"/>
    <w:rsid w:val="00B52AEA"/>
    <w:rsid w:val="00B557C9"/>
    <w:rsid w:val="00B57A65"/>
    <w:rsid w:val="00B6312D"/>
    <w:rsid w:val="00B825AB"/>
    <w:rsid w:val="00B87070"/>
    <w:rsid w:val="00B90788"/>
    <w:rsid w:val="00B93709"/>
    <w:rsid w:val="00B93F21"/>
    <w:rsid w:val="00BA7693"/>
    <w:rsid w:val="00BD1CCE"/>
    <w:rsid w:val="00C1431D"/>
    <w:rsid w:val="00C44205"/>
    <w:rsid w:val="00C5561F"/>
    <w:rsid w:val="00C56A39"/>
    <w:rsid w:val="00C6359F"/>
    <w:rsid w:val="00C63E39"/>
    <w:rsid w:val="00CA0F8A"/>
    <w:rsid w:val="00CB30A0"/>
    <w:rsid w:val="00CC72AC"/>
    <w:rsid w:val="00CD21AF"/>
    <w:rsid w:val="00CE190F"/>
    <w:rsid w:val="00CE63E5"/>
    <w:rsid w:val="00CF1A7C"/>
    <w:rsid w:val="00CF364F"/>
    <w:rsid w:val="00CF3E94"/>
    <w:rsid w:val="00D2166D"/>
    <w:rsid w:val="00D24A1E"/>
    <w:rsid w:val="00D26FF3"/>
    <w:rsid w:val="00D32454"/>
    <w:rsid w:val="00D422B0"/>
    <w:rsid w:val="00D442FA"/>
    <w:rsid w:val="00D559B4"/>
    <w:rsid w:val="00D6074E"/>
    <w:rsid w:val="00D60836"/>
    <w:rsid w:val="00D63480"/>
    <w:rsid w:val="00D70AB8"/>
    <w:rsid w:val="00DA1254"/>
    <w:rsid w:val="00DA75B2"/>
    <w:rsid w:val="00DB0F0C"/>
    <w:rsid w:val="00DB30DE"/>
    <w:rsid w:val="00DB7894"/>
    <w:rsid w:val="00DC7797"/>
    <w:rsid w:val="00DD3B40"/>
    <w:rsid w:val="00DD77F0"/>
    <w:rsid w:val="00DE1A37"/>
    <w:rsid w:val="00DE280C"/>
    <w:rsid w:val="00DF19CD"/>
    <w:rsid w:val="00DF5237"/>
    <w:rsid w:val="00E07346"/>
    <w:rsid w:val="00E214CC"/>
    <w:rsid w:val="00E371C5"/>
    <w:rsid w:val="00E4634F"/>
    <w:rsid w:val="00E51AB0"/>
    <w:rsid w:val="00E60054"/>
    <w:rsid w:val="00E62687"/>
    <w:rsid w:val="00E86676"/>
    <w:rsid w:val="00E90A07"/>
    <w:rsid w:val="00E91499"/>
    <w:rsid w:val="00E92444"/>
    <w:rsid w:val="00EA0990"/>
    <w:rsid w:val="00EB2F88"/>
    <w:rsid w:val="00ED19DF"/>
    <w:rsid w:val="00EE3A5E"/>
    <w:rsid w:val="00EF65D2"/>
    <w:rsid w:val="00F07E40"/>
    <w:rsid w:val="00F20405"/>
    <w:rsid w:val="00F20948"/>
    <w:rsid w:val="00F44647"/>
    <w:rsid w:val="00F53C5A"/>
    <w:rsid w:val="00F5672E"/>
    <w:rsid w:val="00F57148"/>
    <w:rsid w:val="00F77C3C"/>
    <w:rsid w:val="00F83FC7"/>
    <w:rsid w:val="00F94069"/>
    <w:rsid w:val="00F96108"/>
    <w:rsid w:val="00FA509A"/>
    <w:rsid w:val="00FC12D4"/>
    <w:rsid w:val="00FC1DAA"/>
    <w:rsid w:val="00FD4CF6"/>
    <w:rsid w:val="00FF2321"/>
    <w:rsid w:val="00FF2D7F"/>
    <w:rsid w:val="05336D46"/>
    <w:rsid w:val="0E205AB9"/>
    <w:rsid w:val="16263C66"/>
    <w:rsid w:val="1722157F"/>
    <w:rsid w:val="18492F9B"/>
    <w:rsid w:val="1B571487"/>
    <w:rsid w:val="240905AE"/>
    <w:rsid w:val="284A12D9"/>
    <w:rsid w:val="2BAD4138"/>
    <w:rsid w:val="2BD3666C"/>
    <w:rsid w:val="2C1105D9"/>
    <w:rsid w:val="2D9A21F3"/>
    <w:rsid w:val="55682608"/>
    <w:rsid w:val="5BC67AEE"/>
    <w:rsid w:val="62A02D53"/>
    <w:rsid w:val="679A69FC"/>
    <w:rsid w:val="6B6B2F26"/>
    <w:rsid w:val="6C470257"/>
    <w:rsid w:val="7AFE2ABC"/>
    <w:rsid w:val="7D2536B7"/>
    <w:rsid w:val="7D9E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Indent"/>
    <w:basedOn w:val="1"/>
    <w:link w:val="15"/>
    <w:qFormat/>
    <w:uiPriority w:val="0"/>
    <w:pPr>
      <w:spacing w:line="520" w:lineRule="exact"/>
      <w:ind w:left="570"/>
    </w:pPr>
    <w:rPr>
      <w:rFonts w:ascii="方正仿宋简体" w:hAnsi="创艺简仿宋" w:eastAsia="方正仿宋简体" w:cs="Times New Roman"/>
      <w:sz w:val="24"/>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1">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2">
    <w:name w:val="HTML 预设格式 Char"/>
    <w:basedOn w:val="10"/>
    <w:link w:val="7"/>
    <w:qFormat/>
    <w:uiPriority w:val="99"/>
    <w:rPr>
      <w:rFonts w:ascii="宋体" w:hAnsi="宋体" w:eastAsia="宋体" w:cs="宋体"/>
      <w:kern w:val="0"/>
      <w:sz w:val="24"/>
      <w:szCs w:val="24"/>
    </w:rPr>
  </w:style>
  <w:style w:type="paragraph" w:styleId="13">
    <w:name w:val="List Paragraph"/>
    <w:basedOn w:val="1"/>
    <w:qFormat/>
    <w:uiPriority w:val="34"/>
    <w:pPr>
      <w:ind w:firstLine="420" w:firstLineChars="200"/>
    </w:pPr>
  </w:style>
  <w:style w:type="character" w:customStyle="1" w:styleId="14">
    <w:name w:val="批注框文本 Char"/>
    <w:basedOn w:val="10"/>
    <w:link w:val="4"/>
    <w:semiHidden/>
    <w:qFormat/>
    <w:uiPriority w:val="99"/>
    <w:rPr>
      <w:sz w:val="18"/>
      <w:szCs w:val="18"/>
    </w:rPr>
  </w:style>
  <w:style w:type="character" w:customStyle="1" w:styleId="15">
    <w:name w:val="正文文本缩进 Char"/>
    <w:basedOn w:val="10"/>
    <w:link w:val="3"/>
    <w:qFormat/>
    <w:uiPriority w:val="0"/>
    <w:rPr>
      <w:rFonts w:ascii="方正仿宋简体" w:hAnsi="创艺简仿宋" w:eastAsia="方正仿宋简体" w:cs="Times New Roman"/>
      <w:sz w:val="24"/>
      <w:szCs w:val="20"/>
    </w:rPr>
  </w:style>
  <w:style w:type="paragraph" w:customStyle="1" w:styleId="16">
    <w:name w:val="采购二级"/>
    <w:basedOn w:val="1"/>
    <w:link w:val="17"/>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17">
    <w:name w:val="采购二级 Char"/>
    <w:basedOn w:val="10"/>
    <w:link w:val="16"/>
    <w:qFormat/>
    <w:uiPriority w:val="0"/>
    <w:rPr>
      <w:rFonts w:ascii="仿宋" w:hAnsi="仿宋" w:eastAsia="仿宋" w:cs="Times New Roman"/>
      <w:b/>
      <w:sz w:val="24"/>
      <w:szCs w:val="24"/>
    </w:rPr>
  </w:style>
  <w:style w:type="character" w:customStyle="1" w:styleId="18">
    <w:name w:val="页眉 Char"/>
    <w:basedOn w:val="10"/>
    <w:link w:val="6"/>
    <w:semiHidden/>
    <w:qFormat/>
    <w:uiPriority w:val="99"/>
    <w:rPr>
      <w:sz w:val="18"/>
      <w:szCs w:val="18"/>
    </w:rPr>
  </w:style>
  <w:style w:type="character" w:customStyle="1" w:styleId="19">
    <w:name w:val="页脚 Char"/>
    <w:basedOn w:val="10"/>
    <w:link w:val="5"/>
    <w:semiHidden/>
    <w:qFormat/>
    <w:uiPriority w:val="99"/>
    <w:rPr>
      <w:sz w:val="18"/>
      <w:szCs w:val="18"/>
    </w:rPr>
  </w:style>
  <w:style w:type="character" w:customStyle="1" w:styleId="20">
    <w:name w:val="Bid_正文 Char"/>
    <w:link w:val="21"/>
    <w:qFormat/>
    <w:locked/>
    <w:uiPriority w:val="0"/>
    <w:rPr>
      <w:rFonts w:ascii="Times New Roman" w:hAnsi="Times New Roman"/>
      <w:sz w:val="24"/>
    </w:rPr>
  </w:style>
  <w:style w:type="paragraph" w:customStyle="1" w:styleId="21">
    <w:name w:val="Bid_正文"/>
    <w:basedOn w:val="2"/>
    <w:link w:val="20"/>
    <w:qFormat/>
    <w:uiPriority w:val="0"/>
    <w:pPr>
      <w:spacing w:line="360" w:lineRule="auto"/>
      <w:ind w:firstLine="480"/>
    </w:pPr>
    <w:rPr>
      <w:rFonts w:ascii="Times New Roman" w:hAnsi="Times New Roman"/>
      <w:sz w:val="24"/>
    </w:rPr>
  </w:style>
  <w:style w:type="paragraph" w:customStyle="1" w:styleId="22">
    <w:name w:val="采购正文"/>
    <w:link w:val="23"/>
    <w:qFormat/>
    <w:uiPriority w:val="0"/>
    <w:pPr>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23">
    <w:name w:val="采购正文 Char"/>
    <w:link w:val="22"/>
    <w:qFormat/>
    <w:uiPriority w:val="0"/>
    <w:rPr>
      <w:rFonts w:ascii="仿宋" w:hAnsi="仿宋" w:eastAsia="仿宋"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602</Words>
  <Characters>3432</Characters>
  <Lines>28</Lines>
  <Paragraphs>8</Paragraphs>
  <TotalTime>15</TotalTime>
  <ScaleCrop>false</ScaleCrop>
  <LinksUpToDate>false</LinksUpToDate>
  <CharactersWithSpaces>4026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2018-05-28T04:43:00Z</dcterms:created>
  <dc:creator>微软中国</dc:creator>
  <cp:lastModifiedBy>Administrator</cp:lastModifiedBy>
  <cp:lastPrinted>2023-02-16T02:17:00Z</cp:lastPrinted>
  <dcterms:modified xsi:type="dcterms:W3CDTF">2024-05-07T09:54:15Z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0CC524C4F7BE461CB65A3BB33847FCE6_13</vt:lpwstr>
  </property>
</Properties>
</file>