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克拉玛依市中西医结合医院（市人民医院）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裂隙灯显微镜采购需求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参数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项目名称及数量：</w:t>
      </w:r>
    </w:p>
    <w:tbl>
      <w:tblPr>
        <w:tblStyle w:val="10"/>
        <w:tblW w:w="95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6"/>
        <w:gridCol w:w="1408"/>
        <w:gridCol w:w="964"/>
        <w:gridCol w:w="1630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裂隙灯显微镜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42000</w:t>
            </w:r>
          </w:p>
        </w:tc>
      </w:tr>
    </w:tbl>
    <w:p>
      <w:pPr>
        <w:numPr>
          <w:ilvl w:val="0"/>
          <w:numId w:val="1"/>
        </w:numPr>
        <w:spacing w:line="42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资质要求：</w:t>
      </w:r>
    </w:p>
    <w:p>
      <w:pPr>
        <w:numPr>
          <w:ilvl w:val="0"/>
          <w:numId w:val="0"/>
        </w:numPr>
        <w:spacing w:line="420" w:lineRule="exact"/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(一)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基本资质条件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line="420" w:lineRule="exact"/>
        <w:ind w:firstLine="48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必须符合政府采购法第二十二条规定的基本条件，同时符合该项目特定条件。</w:t>
      </w:r>
    </w:p>
    <w:p>
      <w:pPr>
        <w:spacing w:line="4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）联合体投标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</w:rPr>
        <w:t>本项目不接受联合体投标</w:t>
      </w:r>
    </w:p>
    <w:p>
      <w:pPr>
        <w:spacing w:line="420" w:lineRule="exact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）特殊资格条件</w:t>
      </w:r>
    </w:p>
    <w:p>
      <w:pPr>
        <w:spacing w:line="420" w:lineRule="exact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 xml:space="preserve">1.具备生产或销售医疗设备资质的企业或公司，并提供营业执照。         </w:t>
      </w:r>
    </w:p>
    <w:p>
      <w:pPr>
        <w:spacing w:line="420" w:lineRule="exact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2.效期内的《医疗器械生产（经营）企业许可证》或《医疗器械经营企业备案证》。</w:t>
      </w:r>
    </w:p>
    <w:p>
      <w:pPr>
        <w:spacing w:line="420" w:lineRule="exact"/>
        <w:rPr>
          <w:rFonts w:hint="eastAsia" w:ascii="仿宋" w:hAnsi="仿宋" w:eastAsia="仿宋" w:cs="仿宋"/>
          <w:bCs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 xml:space="preserve">3.所投产品具有在有效期内的《中华人民共和国医疗器械注册证》。                           </w:t>
      </w:r>
    </w:p>
    <w:p>
      <w:pPr>
        <w:pStyle w:val="9"/>
        <w:shd w:val="clear" w:color="auto" w:fill="FFFFFF"/>
        <w:spacing w:before="0" w:beforeAutospacing="0" w:after="150" w:afterAutospacing="0"/>
        <w:ind w:right="30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三、技术参数及配置要求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：</w:t>
      </w:r>
    </w:p>
    <w:p>
      <w:pPr>
        <w:spacing w:line="300" w:lineRule="exac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（一）裂隙灯显微镜</w:t>
      </w:r>
    </w:p>
    <w:p>
      <w:pPr>
        <w:spacing w:line="300" w:lineRule="exact"/>
        <w:rPr>
          <w:rFonts w:cs="Calibri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</w:t>
      </w:r>
      <w:r>
        <w:rPr>
          <w:rFonts w:cs="Calibri"/>
          <w:szCs w:val="21"/>
        </w:rPr>
        <w:t>倍率形式</w:t>
      </w:r>
      <w:r>
        <w:rPr>
          <w:rFonts w:hint="eastAsia" w:cs="Calibri"/>
          <w:szCs w:val="21"/>
          <w:lang w:eastAsia="zh-CN"/>
        </w:rPr>
        <w:t>：</w:t>
      </w:r>
      <w:r>
        <w:rPr>
          <w:rFonts w:cs="Calibri"/>
          <w:szCs w:val="21"/>
        </w:rPr>
        <w:t>转鼓式5级变倍</w:t>
      </w:r>
    </w:p>
    <w:p>
      <w:pPr>
        <w:spacing w:line="300" w:lineRule="exact"/>
        <w:rPr>
          <w:rFonts w:cs="Calibri"/>
          <w:szCs w:val="21"/>
        </w:rPr>
      </w:pPr>
      <w:r>
        <w:rPr>
          <w:rFonts w:hint="eastAsia" w:cs="Calibri"/>
          <w:szCs w:val="21"/>
          <w:lang w:val="en-US" w:eastAsia="zh-CN"/>
        </w:rPr>
        <w:t>2.</w:t>
      </w:r>
      <w:r>
        <w:rPr>
          <w:rFonts w:cs="Calibri"/>
          <w:szCs w:val="21"/>
        </w:rPr>
        <w:t>目镜</w:t>
      </w:r>
      <w:r>
        <w:rPr>
          <w:rFonts w:hint="eastAsia" w:cs="Calibri"/>
          <w:szCs w:val="21"/>
          <w:lang w:eastAsia="zh-CN"/>
        </w:rPr>
        <w:t>：</w:t>
      </w:r>
      <w:r>
        <w:rPr>
          <w:rFonts w:cs="Calibri"/>
          <w:szCs w:val="21"/>
        </w:rPr>
        <w:tab/>
      </w:r>
      <w:r>
        <w:rPr>
          <w:rFonts w:cs="Calibri"/>
          <w:szCs w:val="21"/>
        </w:rPr>
        <w:t>12.5×</w:t>
      </w:r>
    </w:p>
    <w:p>
      <w:pPr>
        <w:spacing w:line="300" w:lineRule="exact"/>
        <w:rPr>
          <w:rFonts w:cs="Calibri"/>
          <w:szCs w:val="21"/>
        </w:rPr>
      </w:pPr>
      <w:r>
        <w:rPr>
          <w:rFonts w:hint="eastAsia" w:cs="Calibri"/>
          <w:szCs w:val="21"/>
          <w:lang w:val="en-US" w:eastAsia="zh-CN"/>
        </w:rPr>
        <w:t>3.</w:t>
      </w:r>
      <w:r>
        <w:rPr>
          <w:rFonts w:cs="Calibri"/>
          <w:szCs w:val="21"/>
        </w:rPr>
        <w:t>总倍率/视场直径</w:t>
      </w:r>
      <w:r>
        <w:rPr>
          <w:rFonts w:hint="eastAsia" w:cs="Calibri"/>
          <w:szCs w:val="21"/>
          <w:lang w:eastAsia="zh-CN"/>
        </w:rPr>
        <w:t>：</w:t>
      </w:r>
      <w:r>
        <w:rPr>
          <w:rFonts w:cs="Calibri"/>
          <w:szCs w:val="21"/>
        </w:rPr>
        <w:t>6×/</w:t>
      </w:r>
      <w:r>
        <w:rPr>
          <w:rFonts w:cs="Calibri"/>
          <w:szCs w:val="21"/>
        </w:rPr>
        <w:sym w:font="Symbol" w:char="F0C6"/>
      </w:r>
      <w:r>
        <w:rPr>
          <w:rFonts w:cs="Calibri"/>
          <w:szCs w:val="21"/>
        </w:rPr>
        <w:t>33mm</w:t>
      </w:r>
      <w:r>
        <w:rPr>
          <w:rFonts w:hint="eastAsia" w:cs="Calibri"/>
          <w:szCs w:val="21"/>
        </w:rPr>
        <w:t xml:space="preserve">  </w:t>
      </w:r>
      <w:r>
        <w:rPr>
          <w:rFonts w:cs="Calibri"/>
          <w:szCs w:val="21"/>
        </w:rPr>
        <w:t>10×/</w:t>
      </w:r>
      <w:r>
        <w:rPr>
          <w:rFonts w:cs="Calibri"/>
          <w:szCs w:val="21"/>
        </w:rPr>
        <w:sym w:font="Symbol" w:char="F0C6"/>
      </w:r>
      <w:r>
        <w:rPr>
          <w:rFonts w:cs="Calibri"/>
          <w:szCs w:val="21"/>
        </w:rPr>
        <w:t>22.5mm</w:t>
      </w:r>
      <w:r>
        <w:rPr>
          <w:rFonts w:hint="eastAsia" w:cs="Calibri"/>
          <w:szCs w:val="21"/>
        </w:rPr>
        <w:t xml:space="preserve">  </w:t>
      </w:r>
      <w:r>
        <w:rPr>
          <w:rFonts w:cs="Calibri"/>
          <w:szCs w:val="21"/>
        </w:rPr>
        <w:t>16×/</w:t>
      </w:r>
      <w:r>
        <w:rPr>
          <w:rFonts w:cs="Calibri"/>
          <w:szCs w:val="21"/>
        </w:rPr>
        <w:sym w:font="Symbol" w:char="F0C6"/>
      </w:r>
      <w:r>
        <w:rPr>
          <w:rFonts w:cs="Calibri"/>
          <w:szCs w:val="21"/>
        </w:rPr>
        <w:t>14mm</w:t>
      </w:r>
    </w:p>
    <w:p>
      <w:pPr>
        <w:spacing w:line="300" w:lineRule="exact"/>
        <w:ind w:firstLine="2100" w:firstLineChars="1000"/>
        <w:rPr>
          <w:rFonts w:cs="Calibri"/>
          <w:szCs w:val="21"/>
        </w:rPr>
      </w:pPr>
      <w:r>
        <w:rPr>
          <w:rFonts w:cs="Calibri"/>
          <w:szCs w:val="21"/>
        </w:rPr>
        <w:t>25×/</w:t>
      </w:r>
      <w:r>
        <w:rPr>
          <w:rFonts w:cs="Calibri"/>
          <w:szCs w:val="21"/>
        </w:rPr>
        <w:sym w:font="Symbol" w:char="F0C6"/>
      </w:r>
      <w:r>
        <w:rPr>
          <w:rFonts w:cs="Calibri"/>
          <w:szCs w:val="21"/>
        </w:rPr>
        <w:t>8.8mm</w:t>
      </w:r>
      <w:r>
        <w:rPr>
          <w:rFonts w:hint="eastAsia" w:cs="Calibri"/>
          <w:szCs w:val="21"/>
        </w:rPr>
        <w:t xml:space="preserve">       </w:t>
      </w:r>
      <w:r>
        <w:rPr>
          <w:rFonts w:cs="Calibri"/>
          <w:szCs w:val="21"/>
        </w:rPr>
        <w:t>40×/</w:t>
      </w:r>
      <w:r>
        <w:rPr>
          <w:rFonts w:cs="Calibri"/>
          <w:szCs w:val="21"/>
        </w:rPr>
        <w:sym w:font="Symbol" w:char="F0C6"/>
      </w:r>
      <w:r>
        <w:rPr>
          <w:rFonts w:cs="Calibri"/>
          <w:szCs w:val="21"/>
        </w:rPr>
        <w:t>5.5mm</w:t>
      </w:r>
    </w:p>
    <w:p>
      <w:pPr>
        <w:spacing w:line="300" w:lineRule="exact"/>
        <w:rPr>
          <w:rFonts w:cs="Calibri"/>
          <w:szCs w:val="21"/>
        </w:rPr>
      </w:pPr>
      <w:r>
        <w:rPr>
          <w:rFonts w:hint="eastAsia" w:cs="Calibri"/>
          <w:szCs w:val="21"/>
        </w:rPr>
        <w:t>*</w:t>
      </w:r>
      <w:r>
        <w:rPr>
          <w:rFonts w:hint="eastAsia" w:cs="Calibri"/>
          <w:szCs w:val="21"/>
          <w:lang w:val="en-US" w:eastAsia="zh-CN"/>
        </w:rPr>
        <w:t>4.</w:t>
      </w:r>
      <w:r>
        <w:rPr>
          <w:rFonts w:cs="Calibri"/>
          <w:szCs w:val="21"/>
        </w:rPr>
        <w:t>瞳距调节范围</w:t>
      </w:r>
      <w:r>
        <w:rPr>
          <w:rFonts w:hint="eastAsia" w:cs="Calibri"/>
          <w:szCs w:val="21"/>
        </w:rPr>
        <w:t xml:space="preserve"> </w:t>
      </w:r>
      <w:r>
        <w:rPr>
          <w:rFonts w:hint="eastAsia" w:cs="Calibri"/>
          <w:szCs w:val="21"/>
          <w:lang w:eastAsia="zh-CN"/>
        </w:rPr>
        <w:t>：</w:t>
      </w:r>
      <w:r>
        <w:rPr>
          <w:rFonts w:cs="Calibri"/>
          <w:szCs w:val="21"/>
        </w:rPr>
        <w:t>55mm～75mm</w:t>
      </w:r>
    </w:p>
    <w:p>
      <w:pPr>
        <w:autoSpaceDE w:val="0"/>
        <w:autoSpaceDN w:val="0"/>
        <w:adjustRightInd w:val="0"/>
        <w:spacing w:line="360" w:lineRule="auto"/>
        <w:rPr>
          <w:rFonts w:cs="Calibri"/>
          <w:szCs w:val="21"/>
        </w:rPr>
      </w:pPr>
      <w:r>
        <w:rPr>
          <w:rFonts w:hint="eastAsia" w:cs="Calibri"/>
          <w:szCs w:val="21"/>
        </w:rPr>
        <w:t>*</w:t>
      </w:r>
      <w:r>
        <w:rPr>
          <w:rFonts w:hint="eastAsia" w:cs="Calibri"/>
          <w:szCs w:val="21"/>
          <w:lang w:val="en-US" w:eastAsia="zh-CN"/>
        </w:rPr>
        <w:t>5.</w:t>
      </w:r>
      <w:r>
        <w:rPr>
          <w:rFonts w:cs="Calibri"/>
          <w:szCs w:val="21"/>
        </w:rPr>
        <w:t>屈光度调节</w:t>
      </w:r>
      <w:r>
        <w:rPr>
          <w:rFonts w:hint="eastAsia" w:cs="Calibri"/>
          <w:szCs w:val="21"/>
          <w:lang w:eastAsia="zh-CN"/>
        </w:rPr>
        <w:t>：</w:t>
      </w:r>
      <w:r>
        <w:rPr>
          <w:rFonts w:cs="Calibri"/>
          <w:szCs w:val="21"/>
        </w:rPr>
        <w:t>-5D～+3D</w:t>
      </w:r>
    </w:p>
    <w:p>
      <w:pPr>
        <w:spacing w:line="300" w:lineRule="exact"/>
        <w:rPr>
          <w:rFonts w:cs="Calibri"/>
          <w:szCs w:val="21"/>
        </w:rPr>
      </w:pPr>
      <w:r>
        <w:rPr>
          <w:rFonts w:hint="eastAsia" w:cs="Calibri"/>
          <w:szCs w:val="21"/>
          <w:lang w:val="en-US" w:eastAsia="zh-CN"/>
        </w:rPr>
        <w:t>6.</w:t>
      </w:r>
      <w:r>
        <w:rPr>
          <w:rFonts w:cs="Calibri"/>
          <w:szCs w:val="21"/>
        </w:rPr>
        <w:t>裂隙宽度</w:t>
      </w:r>
      <w:r>
        <w:rPr>
          <w:rFonts w:hint="eastAsia" w:cs="Calibri"/>
          <w:szCs w:val="21"/>
          <w:lang w:eastAsia="zh-CN"/>
        </w:rPr>
        <w:t>：</w:t>
      </w:r>
      <w:r>
        <w:rPr>
          <w:rFonts w:cs="Calibri"/>
          <w:szCs w:val="21"/>
        </w:rPr>
        <w:tab/>
      </w:r>
      <w:r>
        <w:rPr>
          <w:rFonts w:cs="Calibri"/>
          <w:szCs w:val="21"/>
        </w:rPr>
        <w:t>0mm～14mm连续可调（在14mm时，裂隙呈圆形）</w:t>
      </w:r>
    </w:p>
    <w:p>
      <w:pPr>
        <w:spacing w:line="300" w:lineRule="exact"/>
        <w:rPr>
          <w:rFonts w:cs="Calibri"/>
          <w:szCs w:val="21"/>
        </w:rPr>
      </w:pPr>
      <w:r>
        <w:rPr>
          <w:rFonts w:hint="eastAsia" w:cs="Calibri"/>
          <w:szCs w:val="21"/>
          <w:lang w:val="en-US" w:eastAsia="zh-CN"/>
        </w:rPr>
        <w:t>7.</w:t>
      </w:r>
      <w:r>
        <w:rPr>
          <w:rFonts w:cs="Calibri"/>
          <w:szCs w:val="21"/>
        </w:rPr>
        <w:t>裂隙长度（葫芦孔）</w:t>
      </w:r>
      <w:r>
        <w:rPr>
          <w:rFonts w:hint="eastAsia" w:cs="Calibri"/>
          <w:szCs w:val="21"/>
          <w:lang w:eastAsia="zh-CN"/>
        </w:rPr>
        <w:t>：</w:t>
      </w:r>
      <w:r>
        <w:rPr>
          <w:rFonts w:cs="Calibri"/>
          <w:szCs w:val="21"/>
        </w:rPr>
        <w:t>1mm～14mm连续可调</w:t>
      </w:r>
    </w:p>
    <w:p>
      <w:pPr>
        <w:spacing w:line="300" w:lineRule="exact"/>
        <w:rPr>
          <w:rFonts w:cs="Calibri"/>
          <w:szCs w:val="21"/>
        </w:rPr>
      </w:pPr>
      <w:r>
        <w:rPr>
          <w:rFonts w:hint="eastAsia" w:cs="Calibri"/>
          <w:szCs w:val="21"/>
          <w:lang w:val="en-US" w:eastAsia="zh-CN"/>
        </w:rPr>
        <w:t>8.</w:t>
      </w:r>
      <w:r>
        <w:rPr>
          <w:rFonts w:cs="Calibri"/>
          <w:szCs w:val="21"/>
        </w:rPr>
        <w:t>光斑直径</w:t>
      </w:r>
      <w:r>
        <w:rPr>
          <w:rFonts w:hint="eastAsia" w:cs="Calibri"/>
          <w:szCs w:val="21"/>
          <w:lang w:eastAsia="zh-CN"/>
        </w:rPr>
        <w:t>：</w:t>
      </w:r>
      <w:r>
        <w:rPr>
          <w:rFonts w:cs="Calibri"/>
          <w:szCs w:val="21"/>
        </w:rPr>
        <w:tab/>
      </w:r>
      <w:r>
        <w:rPr>
          <w:rFonts w:cs="Calibri"/>
          <w:szCs w:val="21"/>
        </w:rPr>
        <w:sym w:font="Symbol" w:char="F0C6"/>
      </w:r>
      <w:r>
        <w:rPr>
          <w:rFonts w:cs="Calibri"/>
          <w:szCs w:val="21"/>
        </w:rPr>
        <w:t>0.2mm、</w:t>
      </w:r>
      <w:r>
        <w:rPr>
          <w:rFonts w:cs="Calibri"/>
          <w:szCs w:val="21"/>
        </w:rPr>
        <w:sym w:font="Symbol" w:char="F0C6"/>
      </w:r>
      <w:r>
        <w:rPr>
          <w:rFonts w:cs="Calibri"/>
          <w:szCs w:val="21"/>
        </w:rPr>
        <w:t>1mm、</w:t>
      </w:r>
      <w:r>
        <w:rPr>
          <w:rFonts w:cs="Calibri"/>
          <w:szCs w:val="21"/>
        </w:rPr>
        <w:sym w:font="Symbol" w:char="F0C6"/>
      </w:r>
      <w:r>
        <w:rPr>
          <w:rFonts w:cs="Calibri"/>
          <w:szCs w:val="21"/>
        </w:rPr>
        <w:t>2mm、</w:t>
      </w:r>
      <w:r>
        <w:rPr>
          <w:rFonts w:cs="Calibri"/>
          <w:szCs w:val="21"/>
        </w:rPr>
        <w:sym w:font="Symbol" w:char="F0C6"/>
      </w:r>
      <w:r>
        <w:rPr>
          <w:rFonts w:cs="Calibri"/>
          <w:szCs w:val="21"/>
        </w:rPr>
        <w:t>5mm、</w:t>
      </w:r>
      <w:r>
        <w:rPr>
          <w:rFonts w:cs="Calibri"/>
          <w:szCs w:val="21"/>
        </w:rPr>
        <w:sym w:font="Symbol" w:char="F0C6"/>
      </w:r>
      <w:r>
        <w:rPr>
          <w:rFonts w:cs="Calibri"/>
          <w:szCs w:val="21"/>
        </w:rPr>
        <w:t>10mm、</w:t>
      </w:r>
      <w:r>
        <w:rPr>
          <w:rFonts w:cs="Calibri"/>
          <w:szCs w:val="21"/>
        </w:rPr>
        <w:sym w:font="Symbol" w:char="F0C6"/>
      </w:r>
      <w:r>
        <w:rPr>
          <w:rFonts w:cs="Calibri"/>
          <w:szCs w:val="21"/>
        </w:rPr>
        <w:t>14mm</w:t>
      </w:r>
    </w:p>
    <w:p>
      <w:pPr>
        <w:spacing w:line="300" w:lineRule="exact"/>
        <w:rPr>
          <w:rFonts w:cs="Calibri"/>
          <w:szCs w:val="21"/>
        </w:rPr>
      </w:pPr>
      <w:r>
        <w:rPr>
          <w:rFonts w:hint="eastAsia" w:cs="Calibri"/>
          <w:szCs w:val="21"/>
          <w:lang w:val="en-US" w:eastAsia="zh-CN"/>
        </w:rPr>
        <w:t>9.</w:t>
      </w:r>
      <w:r>
        <w:rPr>
          <w:rFonts w:cs="Calibri"/>
          <w:szCs w:val="21"/>
        </w:rPr>
        <w:t>裂隙角度</w:t>
      </w:r>
      <w:r>
        <w:rPr>
          <w:rFonts w:hint="eastAsia" w:cs="Calibri"/>
          <w:szCs w:val="21"/>
          <w:lang w:eastAsia="zh-CN"/>
        </w:rPr>
        <w:t>：</w:t>
      </w:r>
      <w:r>
        <w:rPr>
          <w:rFonts w:cs="Calibri"/>
          <w:szCs w:val="21"/>
        </w:rPr>
        <w:tab/>
      </w:r>
      <w:r>
        <w:rPr>
          <w:rFonts w:cs="Calibri"/>
          <w:szCs w:val="21"/>
        </w:rPr>
        <w:t>0</w:t>
      </w:r>
      <w:r>
        <w:rPr>
          <w:rFonts w:cs="Calibri"/>
          <w:szCs w:val="21"/>
        </w:rPr>
        <w:sym w:font="Symbol" w:char="F0B0"/>
      </w:r>
      <w:r>
        <w:rPr>
          <w:rFonts w:cs="Calibri"/>
          <w:szCs w:val="21"/>
        </w:rPr>
        <w:t>～180</w:t>
      </w:r>
      <w:r>
        <w:rPr>
          <w:rFonts w:cs="Calibri"/>
          <w:szCs w:val="21"/>
        </w:rPr>
        <w:sym w:font="Symbol" w:char="F0B0"/>
      </w:r>
      <w:r>
        <w:rPr>
          <w:rFonts w:cs="Calibri"/>
          <w:szCs w:val="21"/>
        </w:rPr>
        <w:t>由垂直到水平方向连续可调</w:t>
      </w:r>
    </w:p>
    <w:p>
      <w:pPr>
        <w:spacing w:line="300" w:lineRule="exact"/>
        <w:rPr>
          <w:rFonts w:cs="Calibri"/>
          <w:szCs w:val="21"/>
        </w:rPr>
      </w:pPr>
      <w:r>
        <w:rPr>
          <w:rFonts w:hint="eastAsia" w:cs="Calibri"/>
          <w:szCs w:val="21"/>
        </w:rPr>
        <w:t>*</w:t>
      </w:r>
      <w:r>
        <w:rPr>
          <w:rFonts w:hint="eastAsia" w:cs="Calibri"/>
          <w:szCs w:val="21"/>
          <w:lang w:val="en-US" w:eastAsia="zh-CN"/>
        </w:rPr>
        <w:t>10</w:t>
      </w:r>
      <w:r>
        <w:rPr>
          <w:rFonts w:cs="Calibri"/>
          <w:szCs w:val="21"/>
        </w:rPr>
        <w:t>裂隙倾斜</w:t>
      </w:r>
      <w:r>
        <w:rPr>
          <w:rFonts w:cs="Calibri"/>
          <w:szCs w:val="21"/>
        </w:rPr>
        <w:tab/>
      </w:r>
      <w:r>
        <w:rPr>
          <w:rFonts w:hint="eastAsia" w:cs="Calibri"/>
          <w:szCs w:val="21"/>
          <w:lang w:eastAsia="zh-CN"/>
        </w:rPr>
        <w:t>：</w:t>
      </w:r>
      <w:r>
        <w:rPr>
          <w:rFonts w:cs="Calibri"/>
          <w:szCs w:val="21"/>
        </w:rPr>
        <w:t>5</w:t>
      </w:r>
      <w:r>
        <w:rPr>
          <w:rFonts w:cs="Calibri"/>
          <w:szCs w:val="21"/>
        </w:rPr>
        <w:sym w:font="Symbol" w:char="F0B0"/>
      </w:r>
      <w:r>
        <w:rPr>
          <w:rFonts w:cs="Calibri"/>
          <w:szCs w:val="21"/>
        </w:rPr>
        <w:t>、10</w:t>
      </w:r>
      <w:r>
        <w:rPr>
          <w:rFonts w:cs="Calibri"/>
          <w:szCs w:val="21"/>
        </w:rPr>
        <w:sym w:font="Symbol" w:char="F0B0"/>
      </w:r>
      <w:r>
        <w:rPr>
          <w:rFonts w:cs="Calibri"/>
          <w:szCs w:val="21"/>
        </w:rPr>
        <w:t>、15</w:t>
      </w:r>
      <w:r>
        <w:rPr>
          <w:rFonts w:cs="Calibri"/>
          <w:szCs w:val="21"/>
        </w:rPr>
        <w:sym w:font="Symbol" w:char="F0B0"/>
      </w:r>
      <w:r>
        <w:rPr>
          <w:rFonts w:cs="Calibri"/>
          <w:szCs w:val="21"/>
        </w:rPr>
        <w:t>、20</w:t>
      </w:r>
      <w:r>
        <w:rPr>
          <w:rFonts w:cs="Calibri"/>
          <w:szCs w:val="21"/>
        </w:rPr>
        <w:sym w:font="Symbol" w:char="F0B0"/>
      </w:r>
      <w:r>
        <w:rPr>
          <w:rFonts w:cs="Calibri"/>
          <w:szCs w:val="21"/>
        </w:rPr>
        <w:t>四档</w:t>
      </w:r>
    </w:p>
    <w:p>
      <w:pPr>
        <w:autoSpaceDE w:val="0"/>
        <w:autoSpaceDN w:val="0"/>
        <w:adjustRightInd w:val="0"/>
        <w:spacing w:line="360" w:lineRule="auto"/>
        <w:rPr>
          <w:rFonts w:hint="eastAsia" w:cs="Calibri"/>
          <w:szCs w:val="21"/>
        </w:rPr>
      </w:pPr>
      <w:r>
        <w:rPr>
          <w:rFonts w:hint="eastAsia" w:cs="Calibri"/>
          <w:szCs w:val="21"/>
          <w:lang w:val="en-US" w:eastAsia="zh-CN"/>
        </w:rPr>
        <w:t>11.</w:t>
      </w:r>
      <w:r>
        <w:rPr>
          <w:rFonts w:cs="Calibri"/>
          <w:szCs w:val="21"/>
        </w:rPr>
        <w:t>滤色片</w:t>
      </w:r>
      <w:r>
        <w:rPr>
          <w:rFonts w:hint="eastAsia" w:cs="Calibri"/>
          <w:szCs w:val="21"/>
          <w:lang w:eastAsia="zh-CN"/>
        </w:rPr>
        <w:t>：</w:t>
      </w:r>
      <w:r>
        <w:rPr>
          <w:rFonts w:cs="Calibri"/>
          <w:szCs w:val="21"/>
        </w:rPr>
        <w:t>隔热片、减光片、无赤片、钴兰片</w:t>
      </w:r>
    </w:p>
    <w:p>
      <w:pPr>
        <w:topLinePunct/>
        <w:autoSpaceDN w:val="0"/>
        <w:adjustRightInd w:val="0"/>
        <w:snapToGrid w:val="0"/>
        <w:spacing w:line="42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、项目商务需求</w:t>
      </w:r>
    </w:p>
    <w:p>
      <w:pPr>
        <w:snapToGrid w:val="0"/>
        <w:spacing w:line="42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1.签订</w:t>
      </w:r>
      <w:r>
        <w:rPr>
          <w:rFonts w:hint="eastAsia" w:ascii="仿宋" w:hAnsi="仿宋" w:eastAsia="仿宋" w:cs="仿宋"/>
          <w:sz w:val="24"/>
          <w:szCs w:val="24"/>
        </w:rPr>
        <w:t>合同及交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货</w:t>
      </w:r>
      <w:r>
        <w:rPr>
          <w:rFonts w:hint="eastAsia" w:ascii="仿宋" w:hAnsi="仿宋" w:eastAsia="仿宋" w:cs="仿宋"/>
          <w:sz w:val="24"/>
          <w:szCs w:val="24"/>
        </w:rPr>
        <w:t>时间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：要求中标公司在中标公示结束后7个工作日内与采购人完善合同签订等手续；自</w:t>
      </w:r>
      <w:r>
        <w:rPr>
          <w:rFonts w:hint="eastAsia" w:ascii="仿宋" w:hAnsi="仿宋" w:eastAsia="仿宋" w:cs="仿宋"/>
          <w:sz w:val="24"/>
          <w:szCs w:val="24"/>
        </w:rPr>
        <w:t>签订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合同之</w:t>
      </w:r>
      <w:r>
        <w:rPr>
          <w:rFonts w:hint="eastAsia" w:ascii="仿宋" w:hAnsi="仿宋" w:eastAsia="仿宋" w:cs="仿宋"/>
          <w:sz w:val="24"/>
          <w:szCs w:val="24"/>
        </w:rPr>
        <w:t>日起保证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0天内完成安装调试并验收投入使用。</w:t>
      </w:r>
    </w:p>
    <w:p>
      <w:pPr>
        <w:snapToGrid w:val="0"/>
        <w:spacing w:line="420" w:lineRule="exac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2.交货地点：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克拉玛依市中西医结合医院（市人民医院）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3.验收方式：双方当场验收并签字确认。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zh-CN"/>
        </w:rPr>
        <w:t>、付款方式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双方签订合同后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30日内</w:t>
      </w:r>
      <w:r>
        <w:rPr>
          <w:rFonts w:hint="eastAsia" w:ascii="仿宋" w:hAnsi="仿宋" w:eastAsia="仿宋" w:cs="仿宋"/>
          <w:sz w:val="24"/>
          <w:szCs w:val="24"/>
        </w:rPr>
        <w:t>支付预付款30%；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安装验收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合格</w:t>
      </w:r>
      <w:r>
        <w:rPr>
          <w:rFonts w:hint="eastAsia" w:ascii="仿宋" w:hAnsi="仿宋" w:eastAsia="仿宋" w:cs="仿宋"/>
          <w:sz w:val="24"/>
          <w:szCs w:val="24"/>
        </w:rPr>
        <w:t>，正常使用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3个月后支</w:t>
      </w:r>
      <w:r>
        <w:rPr>
          <w:rFonts w:hint="eastAsia" w:ascii="仿宋" w:hAnsi="仿宋" w:eastAsia="仿宋" w:cs="仿宋"/>
          <w:sz w:val="24"/>
          <w:szCs w:val="24"/>
        </w:rPr>
        <w:t>付货款65%；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其余5%款额在产品使用中无质量问题，且履行售后服务承诺后将余款无息汇入中标人指定的账户。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4.具体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以合同约定为准。</w:t>
      </w:r>
    </w:p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六、服务要求</w:t>
      </w:r>
    </w:p>
    <w:p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(1) 对中标设备免费保修三年, 维护保养每年两次，终身维修服务；软件升级免费；免费提供接口服务；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(2)保修期内因质量问题造成设备不能使用的无条件换新品；</w:t>
      </w:r>
    </w:p>
    <w:p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(3)接到用户报修电话后立即响应，12小时内到现场(节假日照常服务)开始处理故障；</w:t>
      </w:r>
    </w:p>
    <w:p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按照医院使用需求，如必须与医院在用系统做对接，为实现数据互联互通，软件接口产生的费用包含在项目预算中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</w:rPr>
        <w:t>其他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厂家现场安装和操作培训，技术培训学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习。</w:t>
      </w:r>
    </w:p>
    <w:p>
      <w:pPr>
        <w:topLinePunct/>
        <w:autoSpaceDN w:val="0"/>
        <w:adjustRightInd w:val="0"/>
        <w:snapToGrid w:val="0"/>
        <w:spacing w:line="42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zh-CN"/>
        </w:rPr>
        <w:t>、违约责任</w:t>
      </w:r>
    </w:p>
    <w:p>
      <w:pPr>
        <w:snapToGrid w:val="0"/>
        <w:spacing w:line="420" w:lineRule="exac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zh-CN"/>
        </w:rPr>
        <w:t>1.若非采购人原因，中标方不能按要求提供产品的，采购人有权解除合同。</w:t>
      </w:r>
    </w:p>
    <w:p>
      <w:pPr>
        <w:snapToGrid w:val="0"/>
        <w:spacing w:line="42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zh-CN"/>
        </w:rPr>
        <w:t>2.中标方不按合同和采购文件技术标准提供产品，对质量问题和技术问题不进行整改的，采购人可以不予支付货款并有权解除合同。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八、上传附件要求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.上传相关资质、投标产品规格、品牌、型号、技术参数、产品说明书彩页、产品注册证、有效检验报告、配置清单及售后服务承诺；</w:t>
      </w: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2.上传统一竞价采购报价单（见附件）。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附件：</w:t>
      </w:r>
    </w:p>
    <w:p>
      <w:pPr>
        <w:spacing w:line="460" w:lineRule="exact"/>
        <w:ind w:firstLine="2711" w:firstLineChars="9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spacing w:line="460" w:lineRule="exact"/>
        <w:ind w:firstLine="2711" w:firstLineChars="9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spacing w:line="460" w:lineRule="exact"/>
        <w:ind w:firstLine="2711" w:firstLineChars="900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竞价采购报价单</w:t>
      </w:r>
    </w:p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</w:p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名称(公章)：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　　           　　　　　　</w:t>
      </w:r>
    </w:p>
    <w:tbl>
      <w:tblPr>
        <w:tblStyle w:val="10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514"/>
        <w:gridCol w:w="886"/>
        <w:gridCol w:w="734"/>
        <w:gridCol w:w="1367"/>
        <w:gridCol w:w="1126"/>
        <w:gridCol w:w="1206"/>
        <w:gridCol w:w="1300"/>
        <w:gridCol w:w="894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tblHeader/>
          <w:jc w:val="center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品牌规格型号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制造商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价</w:t>
            </w:r>
          </w:p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金额</w:t>
            </w:r>
          </w:p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响应/偏离招标要求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交货期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裂隙灯显微镜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仪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1台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法人或被授权人签字：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　　　　　　　　　　　</w:t>
      </w:r>
    </w:p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注：1、如果按单价计算的结果与总价不一致，以单价为准修正总价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01970"/>
    <w:multiLevelType w:val="singleLevel"/>
    <w:tmpl w:val="24A019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ZjBhNzc4MTI3MDJkNjAwY2JiZjllOGVmNzBmNzgifQ=="/>
  </w:docVars>
  <w:rsids>
    <w:rsidRoot w:val="2AF93CFA"/>
    <w:rsid w:val="02167F60"/>
    <w:rsid w:val="03EC2CE1"/>
    <w:rsid w:val="04DA204D"/>
    <w:rsid w:val="06647018"/>
    <w:rsid w:val="0ADF3617"/>
    <w:rsid w:val="0E032DD4"/>
    <w:rsid w:val="10DA55E0"/>
    <w:rsid w:val="120D6539"/>
    <w:rsid w:val="121835D9"/>
    <w:rsid w:val="132148A7"/>
    <w:rsid w:val="1325608D"/>
    <w:rsid w:val="13B07A5F"/>
    <w:rsid w:val="18B27029"/>
    <w:rsid w:val="18BD7801"/>
    <w:rsid w:val="19A16A35"/>
    <w:rsid w:val="1A393214"/>
    <w:rsid w:val="1B450BBA"/>
    <w:rsid w:val="1BA0514A"/>
    <w:rsid w:val="1CDC2825"/>
    <w:rsid w:val="1DEE17DE"/>
    <w:rsid w:val="1E0E040E"/>
    <w:rsid w:val="1E611302"/>
    <w:rsid w:val="1EA0383C"/>
    <w:rsid w:val="1EFF322D"/>
    <w:rsid w:val="22143813"/>
    <w:rsid w:val="22AA7086"/>
    <w:rsid w:val="232A38DE"/>
    <w:rsid w:val="24ED40A4"/>
    <w:rsid w:val="2600103D"/>
    <w:rsid w:val="266E1CF5"/>
    <w:rsid w:val="27AB08FB"/>
    <w:rsid w:val="28283967"/>
    <w:rsid w:val="284B693D"/>
    <w:rsid w:val="29B90621"/>
    <w:rsid w:val="29EA0022"/>
    <w:rsid w:val="2AF93CFA"/>
    <w:rsid w:val="2C4E123C"/>
    <w:rsid w:val="2F5C531E"/>
    <w:rsid w:val="34573326"/>
    <w:rsid w:val="34F56E8D"/>
    <w:rsid w:val="35085004"/>
    <w:rsid w:val="35145363"/>
    <w:rsid w:val="357D1875"/>
    <w:rsid w:val="366B15CE"/>
    <w:rsid w:val="36EB0497"/>
    <w:rsid w:val="371B7647"/>
    <w:rsid w:val="38EC3F2A"/>
    <w:rsid w:val="3A2F1A99"/>
    <w:rsid w:val="3C4E0712"/>
    <w:rsid w:val="3E6F6229"/>
    <w:rsid w:val="3F200818"/>
    <w:rsid w:val="3F333A0C"/>
    <w:rsid w:val="401F1F22"/>
    <w:rsid w:val="409317E7"/>
    <w:rsid w:val="40A17AF0"/>
    <w:rsid w:val="40BF6A75"/>
    <w:rsid w:val="413B25EF"/>
    <w:rsid w:val="419A7C27"/>
    <w:rsid w:val="41BC1A2B"/>
    <w:rsid w:val="42341833"/>
    <w:rsid w:val="43370788"/>
    <w:rsid w:val="45686BD6"/>
    <w:rsid w:val="457B04FD"/>
    <w:rsid w:val="48810A74"/>
    <w:rsid w:val="49A16C20"/>
    <w:rsid w:val="4A072DCC"/>
    <w:rsid w:val="4C911713"/>
    <w:rsid w:val="4CAB718C"/>
    <w:rsid w:val="51347AAB"/>
    <w:rsid w:val="51713785"/>
    <w:rsid w:val="51EA1B46"/>
    <w:rsid w:val="529A7A1C"/>
    <w:rsid w:val="53874BDE"/>
    <w:rsid w:val="53BD7E88"/>
    <w:rsid w:val="54B6771D"/>
    <w:rsid w:val="554F5BCE"/>
    <w:rsid w:val="59EB236C"/>
    <w:rsid w:val="5DE93A50"/>
    <w:rsid w:val="61E1069C"/>
    <w:rsid w:val="61F3336F"/>
    <w:rsid w:val="62820296"/>
    <w:rsid w:val="63273EDD"/>
    <w:rsid w:val="658E168F"/>
    <w:rsid w:val="66F0470E"/>
    <w:rsid w:val="6B482179"/>
    <w:rsid w:val="6B8603BC"/>
    <w:rsid w:val="6CD001C6"/>
    <w:rsid w:val="6CF81D57"/>
    <w:rsid w:val="6D6157FB"/>
    <w:rsid w:val="6DA31AF4"/>
    <w:rsid w:val="71240C38"/>
    <w:rsid w:val="714D038F"/>
    <w:rsid w:val="75A21AB9"/>
    <w:rsid w:val="75F67608"/>
    <w:rsid w:val="763A7634"/>
    <w:rsid w:val="78154C1F"/>
    <w:rsid w:val="79304051"/>
    <w:rsid w:val="7C70351E"/>
    <w:rsid w:val="7E864B7F"/>
    <w:rsid w:val="7EB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8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Arial" w:hAnsi="Arial"/>
      <w:sz w:val="24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rFonts w:ascii="宋体" w:hAnsi="宋体" w:eastAsia="宋体"/>
      <w:sz w:val="28"/>
      <w:szCs w:val="28"/>
    </w:rPr>
  </w:style>
  <w:style w:type="paragraph" w:styleId="6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styleId="8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2023-08-24T09:00:00Z</dcterms:created>
  <dc:creator>糖糖藏在蔸蔸里</dc:creator>
  <cp:lastModifiedBy>Administrator</cp:lastModifiedBy>
  <dcterms:modified xsi:type="dcterms:W3CDTF">2024-04-30T02:56:09Z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6A0CB1A94B1E4094863CFCB177D39131_13</vt:lpwstr>
  </property>
</Properties>
</file>