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23992">
      <w:pPr>
        <w:spacing w:line="143" w:lineRule="exact"/>
        <w:rPr>
          <w:rFonts w:hint="eastAsia" w:ascii="宋体" w:hAnsi="宋体" w:eastAsia="宋体" w:cs="宋体"/>
          <w:snapToGrid w:val="0"/>
          <w:color w:val="000000"/>
          <w:spacing w:val="1"/>
          <w:kern w:val="0"/>
          <w:sz w:val="32"/>
          <w:szCs w:val="32"/>
          <w:lang w:val="en-US" w:eastAsia="zh-CN" w:bidi="ar-SA"/>
        </w:rPr>
      </w:pPr>
    </w:p>
    <w:p w14:paraId="2FCEC062">
      <w:pPr>
        <w:spacing w:line="143" w:lineRule="exact"/>
        <w:rPr>
          <w:rFonts w:hint="eastAsia" w:ascii="宋体" w:hAnsi="宋体" w:eastAsia="宋体" w:cs="宋体"/>
          <w:snapToGrid w:val="0"/>
          <w:color w:val="000000"/>
          <w:spacing w:val="1"/>
          <w:kern w:val="0"/>
          <w:sz w:val="32"/>
          <w:szCs w:val="32"/>
          <w:lang w:val="en-US" w:eastAsia="zh-CN" w:bidi="ar-SA"/>
        </w:rPr>
      </w:pPr>
    </w:p>
    <w:p w14:paraId="60826FD7">
      <w:pPr>
        <w:ind w:firstLine="1600" w:firstLineChars="500"/>
        <w:rPr>
          <w:rFonts w:ascii="仿宋" w:hAnsi="仿宋" w:eastAsia="仿宋" w:cs="仿宋"/>
          <w:sz w:val="32"/>
          <w:szCs w:val="32"/>
        </w:rPr>
      </w:pPr>
      <w:r>
        <w:rPr>
          <w:rFonts w:hint="eastAsia" w:ascii="仿宋" w:hAnsi="仿宋" w:eastAsia="仿宋" w:cs="仿宋"/>
          <w:sz w:val="32"/>
          <w:szCs w:val="32"/>
          <w:lang w:val="en-US" w:eastAsia="zh-CN"/>
        </w:rPr>
        <w:t>采光</w:t>
      </w:r>
      <w:r>
        <w:rPr>
          <w:rFonts w:hint="eastAsia" w:ascii="仿宋" w:hAnsi="仿宋" w:eastAsia="仿宋" w:cs="仿宋"/>
          <w:sz w:val="32"/>
          <w:szCs w:val="32"/>
        </w:rPr>
        <w:t>照明改造项目竞价供应商要求</w:t>
      </w:r>
    </w:p>
    <w:p w14:paraId="2EE0B948">
      <w:pPr>
        <w:ind w:firstLine="640" w:firstLineChars="200"/>
        <w:rPr>
          <w:rFonts w:ascii="仿宋" w:hAnsi="仿宋" w:eastAsia="仿宋" w:cs="仿宋"/>
          <w:sz w:val="32"/>
          <w:szCs w:val="32"/>
        </w:rPr>
      </w:pPr>
      <w:r>
        <w:rPr>
          <w:rFonts w:hint="eastAsia" w:ascii="仿宋" w:hAnsi="仿宋" w:eastAsia="仿宋" w:cs="仿宋"/>
          <w:sz w:val="32"/>
          <w:szCs w:val="32"/>
        </w:rPr>
        <w:t>一.竞价单位为克拉玛依市区企业或者拥有售后网点的其他企业，以保证后续服务的即时性便利性，竞价时需上传供应商营业执照、克拉玛依市售后维修维护网点证明。</w:t>
      </w:r>
    </w:p>
    <w:p w14:paraId="74728989">
      <w:pPr>
        <w:ind w:firstLine="640" w:firstLineChars="200"/>
        <w:rPr>
          <w:rFonts w:ascii="仿宋" w:hAnsi="仿宋" w:eastAsia="仿宋" w:cs="仿宋"/>
          <w:sz w:val="32"/>
          <w:szCs w:val="32"/>
        </w:rPr>
      </w:pPr>
      <w:r>
        <w:rPr>
          <w:rFonts w:hint="eastAsia" w:ascii="仿宋" w:hAnsi="仿宋" w:eastAsia="仿宋" w:cs="仿宋"/>
          <w:sz w:val="32"/>
          <w:szCs w:val="32"/>
        </w:rPr>
        <w:t>二.质保时间需要在报价单中体现，</w:t>
      </w:r>
      <w:r>
        <w:rPr>
          <w:rFonts w:hint="eastAsia" w:ascii="仿宋" w:hAnsi="仿宋" w:eastAsia="仿宋" w:cs="仿宋"/>
          <w:sz w:val="32"/>
          <w:szCs w:val="32"/>
          <w:lang w:val="en-US" w:eastAsia="zh-CN"/>
        </w:rPr>
        <w:t>质保期内</w:t>
      </w:r>
      <w:r>
        <w:rPr>
          <w:rFonts w:hint="eastAsia" w:ascii="仿宋" w:hAnsi="仿宋" w:eastAsia="仿宋" w:cs="仿宋"/>
          <w:sz w:val="32"/>
          <w:szCs w:val="32"/>
        </w:rPr>
        <w:t>保障维修服务响应时间1小时以内。</w:t>
      </w:r>
    </w:p>
    <w:p w14:paraId="2A9B56A9">
      <w:pPr>
        <w:ind w:firstLine="640" w:firstLineChars="200"/>
        <w:rPr>
          <w:rFonts w:ascii="仿宋" w:hAnsi="仿宋" w:eastAsia="仿宋" w:cs="仿宋"/>
          <w:sz w:val="32"/>
          <w:szCs w:val="32"/>
        </w:rPr>
      </w:pPr>
      <w:r>
        <w:rPr>
          <w:rFonts w:hint="eastAsia" w:ascii="仿宋" w:hAnsi="仿宋" w:eastAsia="仿宋" w:cs="仿宋"/>
          <w:sz w:val="32"/>
          <w:szCs w:val="32"/>
        </w:rPr>
        <w:t>三.提供近三年来诚信记录及无违法犯罪记录。</w:t>
      </w:r>
    </w:p>
    <w:p w14:paraId="798E1B4B">
      <w:pPr>
        <w:ind w:firstLine="640" w:firstLineChars="200"/>
        <w:rPr>
          <w:rFonts w:ascii="仿宋" w:hAnsi="仿宋" w:eastAsia="仿宋" w:cs="仿宋"/>
          <w:sz w:val="32"/>
          <w:szCs w:val="32"/>
        </w:rPr>
      </w:pPr>
      <w:r>
        <w:rPr>
          <w:rFonts w:hint="eastAsia" w:ascii="仿宋" w:hAnsi="仿宋" w:eastAsia="仿宋" w:cs="仿宋"/>
          <w:sz w:val="32"/>
          <w:szCs w:val="32"/>
        </w:rPr>
        <w:t>四.结算要求：1.提供审计资料(开工报告、竣工报告、竣工交接证明书、验收单、校园安全协议书、政采云成交合同，审计版预算书、工程定案单)2.提供真实结算资料与影像，并装订成册，与监理方严格核对工作量，3.本项目由区财政局委托审计，校方不参与最终审计结算价格，以区财政局定价为结算依据，费用问题校方单方面不予以调整。</w:t>
      </w:r>
    </w:p>
    <w:p w14:paraId="04055002">
      <w:pPr>
        <w:ind w:firstLine="640" w:firstLineChars="200"/>
        <w:rPr>
          <w:rFonts w:ascii="仿宋" w:hAnsi="仿宋" w:eastAsia="仿宋" w:cs="仿宋"/>
          <w:sz w:val="32"/>
          <w:szCs w:val="32"/>
        </w:rPr>
      </w:pPr>
      <w:r>
        <w:rPr>
          <w:rFonts w:hint="eastAsia" w:ascii="仿宋" w:hAnsi="仿宋" w:eastAsia="仿宋" w:cs="仿宋"/>
          <w:sz w:val="32"/>
          <w:szCs w:val="32"/>
        </w:rPr>
        <w:t>五.参与本次竞价需上传</w:t>
      </w:r>
      <w:bookmarkStart w:id="0" w:name="_GoBack"/>
      <w:r>
        <w:rPr>
          <w:rFonts w:hint="eastAsia" w:ascii="仿宋" w:hAnsi="仿宋" w:eastAsia="仿宋" w:cs="仿宋"/>
          <w:sz w:val="32"/>
          <w:szCs w:val="32"/>
        </w:rPr>
        <w:t>现场勘测记录表、营业执照</w:t>
      </w:r>
      <w:r>
        <w:rPr>
          <w:rFonts w:hint="eastAsia" w:ascii="仿宋" w:hAnsi="仿宋" w:eastAsia="仿宋" w:cs="仿宋"/>
          <w:sz w:val="32"/>
          <w:szCs w:val="32"/>
          <w:lang w:eastAsia="zh-CN"/>
        </w:rPr>
        <w:t>、</w:t>
      </w:r>
      <w:r>
        <w:rPr>
          <w:rFonts w:hint="eastAsia" w:ascii="仿宋" w:hAnsi="仿宋" w:eastAsia="仿宋" w:cs="仿宋"/>
          <w:sz w:val="32"/>
          <w:szCs w:val="32"/>
        </w:rPr>
        <w:t>资质证书、克拉玛依市区售后维修维护网点证明、报价单含质保时间、产品CCC认证，及竞价参数中要求的其他相关证明。</w:t>
      </w:r>
    </w:p>
    <w:bookmarkEnd w:id="0"/>
    <w:p w14:paraId="4CBE721F">
      <w:pPr>
        <w:ind w:firstLine="640" w:firstLineChars="200"/>
        <w:rPr>
          <w:rFonts w:ascii="仿宋" w:hAnsi="仿宋" w:eastAsia="仿宋" w:cs="仿宋"/>
          <w:sz w:val="32"/>
          <w:szCs w:val="32"/>
        </w:rPr>
      </w:pPr>
      <w:r>
        <w:rPr>
          <w:rFonts w:hint="eastAsia" w:ascii="仿宋" w:hAnsi="仿宋" w:eastAsia="仿宋" w:cs="仿宋"/>
          <w:sz w:val="32"/>
          <w:szCs w:val="32"/>
        </w:rPr>
        <w:t>六.中标后三天之内递交企业承诺书，到期不提交者，视为自动放弃。企业承诺书内容应包含或不限于企业能完全响应校方所列服务要求，保证施工安全规范，服务质量达到合同要求，一旦违约，中标企业承担所有法律责任后果。</w:t>
      </w:r>
    </w:p>
    <w:p w14:paraId="5C27BD29">
      <w:pPr>
        <w:ind w:firstLine="640" w:firstLineChars="200"/>
        <w:rPr>
          <w:rFonts w:hint="eastAsia" w:ascii="仿宋" w:hAnsi="仿宋" w:eastAsia="仿宋" w:cs="仿宋"/>
          <w:sz w:val="32"/>
          <w:szCs w:val="32"/>
        </w:rPr>
      </w:pPr>
      <w:r>
        <w:rPr>
          <w:rFonts w:hint="eastAsia" w:ascii="仿宋" w:hAnsi="仿宋" w:eastAsia="仿宋" w:cs="仿宋"/>
          <w:sz w:val="32"/>
          <w:szCs w:val="32"/>
        </w:rPr>
        <w:t>七.无法100%响应以上要求的竞价报价默认视为无效报价。</w:t>
      </w:r>
    </w:p>
    <w:p w14:paraId="78495453">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八.中标后需提供灯具样品，满足参数要求视为有效竞价产品.</w:t>
      </w:r>
    </w:p>
    <w:p w14:paraId="1393F1EA">
      <w:pPr>
        <w:spacing w:before="297" w:line="219" w:lineRule="auto"/>
        <w:outlineLvl w:val="0"/>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工程内容：</w:t>
      </w:r>
    </w:p>
    <w:p w14:paraId="6B92D5D4">
      <w:pPr>
        <w:ind w:firstLine="320" w:firstLineChars="100"/>
        <w:rPr>
          <w:rFonts w:hint="default" w:ascii="仿宋" w:hAnsi="仿宋" w:eastAsia="仿宋" w:cs="仿宋"/>
          <w:sz w:val="32"/>
          <w:szCs w:val="32"/>
          <w:lang w:val="en-US" w:eastAsia="zh-CN"/>
        </w:rPr>
      </w:pPr>
    </w:p>
    <w:tbl>
      <w:tblPr>
        <w:tblStyle w:val="7"/>
        <w:tblW w:w="7803"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2876"/>
        <w:gridCol w:w="1381"/>
        <w:gridCol w:w="2368"/>
      </w:tblGrid>
      <w:tr w14:paraId="22D3B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78" w:type="dxa"/>
          </w:tcPr>
          <w:p w14:paraId="5D089043">
            <w:pPr>
              <w:pStyle w:val="6"/>
              <w:spacing w:before="47"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序号</w:t>
            </w:r>
          </w:p>
        </w:tc>
        <w:tc>
          <w:tcPr>
            <w:tcW w:w="2876" w:type="dxa"/>
          </w:tcPr>
          <w:p w14:paraId="4FDA304A">
            <w:pPr>
              <w:pStyle w:val="6"/>
              <w:spacing w:before="47"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维修改造内容</w:t>
            </w:r>
          </w:p>
        </w:tc>
        <w:tc>
          <w:tcPr>
            <w:tcW w:w="1381" w:type="dxa"/>
          </w:tcPr>
          <w:p w14:paraId="7F022F91">
            <w:pPr>
              <w:pStyle w:val="6"/>
              <w:spacing w:before="47"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数量</w:t>
            </w:r>
          </w:p>
        </w:tc>
        <w:tc>
          <w:tcPr>
            <w:tcW w:w="2368" w:type="dxa"/>
          </w:tcPr>
          <w:p w14:paraId="26EF6C6C">
            <w:pPr>
              <w:pStyle w:val="6"/>
              <w:spacing w:before="47"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备注</w:t>
            </w:r>
          </w:p>
        </w:tc>
      </w:tr>
      <w:tr w14:paraId="6FF2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178" w:type="dxa"/>
          </w:tcPr>
          <w:p w14:paraId="2747F25E">
            <w:pPr>
              <w:pStyle w:val="6"/>
              <w:spacing w:before="96" w:line="176" w:lineRule="auto"/>
              <w:ind w:left="364"/>
              <w:rPr>
                <w:snapToGrid w:val="0"/>
                <w:color w:val="000000"/>
                <w:spacing w:val="1"/>
                <w:kern w:val="0"/>
                <w:sz w:val="32"/>
                <w:szCs w:val="32"/>
                <w:lang w:eastAsia="zh-CN"/>
              </w:rPr>
            </w:pPr>
            <w:r>
              <w:rPr>
                <w:rFonts w:hint="eastAsia"/>
                <w:snapToGrid w:val="0"/>
                <w:color w:val="000000"/>
                <w:spacing w:val="1"/>
                <w:kern w:val="0"/>
                <w:sz w:val="32"/>
                <w:szCs w:val="32"/>
                <w:lang w:eastAsia="zh-CN"/>
              </w:rPr>
              <w:t>1</w:t>
            </w:r>
          </w:p>
        </w:tc>
        <w:tc>
          <w:tcPr>
            <w:tcW w:w="2876" w:type="dxa"/>
          </w:tcPr>
          <w:p w14:paraId="30028D86">
            <w:pPr>
              <w:pStyle w:val="6"/>
              <w:spacing w:before="47"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教室护眼灯及安装</w:t>
            </w:r>
          </w:p>
        </w:tc>
        <w:tc>
          <w:tcPr>
            <w:tcW w:w="1381" w:type="dxa"/>
          </w:tcPr>
          <w:p w14:paraId="0311DF52">
            <w:pPr>
              <w:pStyle w:val="6"/>
              <w:spacing w:before="54" w:line="217" w:lineRule="auto"/>
              <w:jc w:val="center"/>
              <w:rPr>
                <w:snapToGrid w:val="0"/>
                <w:color w:val="000000"/>
                <w:spacing w:val="1"/>
                <w:kern w:val="0"/>
                <w:sz w:val="32"/>
                <w:szCs w:val="32"/>
                <w:lang w:eastAsia="zh-CN"/>
              </w:rPr>
            </w:pPr>
            <w:r>
              <w:rPr>
                <w:rFonts w:hint="eastAsia"/>
                <w:snapToGrid w:val="0"/>
                <w:color w:val="000000"/>
                <w:spacing w:val="1"/>
                <w:kern w:val="0"/>
                <w:sz w:val="32"/>
                <w:szCs w:val="32"/>
                <w:lang w:val="en-US" w:eastAsia="zh-CN"/>
              </w:rPr>
              <w:t>2</w:t>
            </w:r>
            <w:r>
              <w:rPr>
                <w:rFonts w:hint="eastAsia"/>
                <w:snapToGrid w:val="0"/>
                <w:color w:val="000000"/>
                <w:spacing w:val="1"/>
                <w:kern w:val="0"/>
                <w:sz w:val="32"/>
                <w:szCs w:val="32"/>
                <w:lang w:val="en-US" w:eastAsia="zh-CN"/>
                <w:woUserID w:val="1"/>
              </w:rPr>
              <w:t>60</w:t>
            </w:r>
            <w:r>
              <w:rPr>
                <w:rFonts w:hint="eastAsia"/>
                <w:snapToGrid w:val="0"/>
                <w:color w:val="000000"/>
                <w:spacing w:val="1"/>
                <w:kern w:val="0"/>
                <w:sz w:val="32"/>
                <w:szCs w:val="32"/>
                <w:lang w:eastAsia="zh-CN"/>
              </w:rPr>
              <w:t>盏</w:t>
            </w:r>
          </w:p>
        </w:tc>
        <w:tc>
          <w:tcPr>
            <w:tcW w:w="2368" w:type="dxa"/>
          </w:tcPr>
          <w:p w14:paraId="4038A17D">
            <w:pPr>
              <w:pStyle w:val="6"/>
              <w:spacing w:before="47" w:line="219" w:lineRule="auto"/>
              <w:ind w:left="267"/>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包含电线等材料</w:t>
            </w:r>
          </w:p>
        </w:tc>
      </w:tr>
      <w:tr w14:paraId="5C2C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78" w:type="dxa"/>
          </w:tcPr>
          <w:p w14:paraId="39F9AEFF">
            <w:pPr>
              <w:pStyle w:val="6"/>
              <w:spacing w:before="96" w:line="176" w:lineRule="auto"/>
              <w:ind w:left="364"/>
              <w:rPr>
                <w:snapToGrid w:val="0"/>
                <w:color w:val="000000"/>
                <w:spacing w:val="1"/>
                <w:kern w:val="0"/>
                <w:sz w:val="32"/>
                <w:szCs w:val="32"/>
                <w:lang w:eastAsia="zh-CN"/>
              </w:rPr>
            </w:pPr>
            <w:r>
              <w:rPr>
                <w:rFonts w:hint="eastAsia"/>
                <w:snapToGrid w:val="0"/>
                <w:color w:val="000000"/>
                <w:spacing w:val="1"/>
                <w:kern w:val="0"/>
                <w:sz w:val="32"/>
                <w:szCs w:val="32"/>
                <w:lang w:eastAsia="zh-CN"/>
              </w:rPr>
              <w:t>2</w:t>
            </w:r>
          </w:p>
        </w:tc>
        <w:tc>
          <w:tcPr>
            <w:tcW w:w="2876" w:type="dxa"/>
          </w:tcPr>
          <w:p w14:paraId="7CCDDDAC">
            <w:pPr>
              <w:pStyle w:val="6"/>
              <w:spacing w:before="50" w:line="219" w:lineRule="auto"/>
              <w:jc w:val="center"/>
              <w:rPr>
                <w:rFonts w:hint="default"/>
                <w:snapToGrid w:val="0"/>
                <w:color w:val="000000"/>
                <w:spacing w:val="1"/>
                <w:kern w:val="0"/>
                <w:sz w:val="32"/>
                <w:szCs w:val="32"/>
                <w:lang w:val="en-US" w:eastAsia="zh-CN"/>
              </w:rPr>
            </w:pPr>
            <w:r>
              <w:rPr>
                <w:rFonts w:hint="eastAsia"/>
                <w:snapToGrid w:val="0"/>
                <w:color w:val="000000"/>
                <w:spacing w:val="1"/>
                <w:kern w:val="0"/>
                <w:sz w:val="32"/>
                <w:szCs w:val="32"/>
                <w:lang w:val="en-US" w:eastAsia="zh-CN"/>
              </w:rPr>
              <w:t>黑板灯</w:t>
            </w:r>
          </w:p>
        </w:tc>
        <w:tc>
          <w:tcPr>
            <w:tcW w:w="1381" w:type="dxa"/>
          </w:tcPr>
          <w:p w14:paraId="7ABA26D9">
            <w:pPr>
              <w:pStyle w:val="6"/>
              <w:spacing w:before="49" w:line="219" w:lineRule="auto"/>
              <w:jc w:val="center"/>
              <w:rPr>
                <w:rFonts w:hint="default"/>
                <w:snapToGrid w:val="0"/>
                <w:color w:val="000000"/>
                <w:spacing w:val="1"/>
                <w:kern w:val="0"/>
                <w:sz w:val="32"/>
                <w:szCs w:val="32"/>
                <w:lang w:val="en-US" w:eastAsia="zh-CN"/>
              </w:rPr>
            </w:pPr>
            <w:r>
              <w:rPr>
                <w:rFonts w:hint="eastAsia"/>
                <w:snapToGrid w:val="0"/>
                <w:color w:val="000000"/>
                <w:spacing w:val="1"/>
                <w:kern w:val="0"/>
                <w:sz w:val="32"/>
                <w:szCs w:val="32"/>
                <w:lang w:val="en-US" w:eastAsia="zh-CN"/>
              </w:rPr>
              <w:t>40盏</w:t>
            </w:r>
          </w:p>
        </w:tc>
        <w:tc>
          <w:tcPr>
            <w:tcW w:w="2368" w:type="dxa"/>
          </w:tcPr>
          <w:p w14:paraId="1060C962">
            <w:pPr>
              <w:pStyle w:val="6"/>
              <w:spacing w:before="49" w:line="219" w:lineRule="auto"/>
              <w:ind w:left="217"/>
              <w:jc w:val="center"/>
              <w:rPr>
                <w:snapToGrid w:val="0"/>
                <w:color w:val="000000"/>
                <w:spacing w:val="1"/>
                <w:kern w:val="0"/>
                <w:sz w:val="32"/>
                <w:szCs w:val="32"/>
                <w:lang w:eastAsia="zh-CN"/>
              </w:rPr>
            </w:pPr>
            <w:r>
              <w:rPr>
                <w:rFonts w:hint="eastAsia"/>
                <w:snapToGrid w:val="0"/>
                <w:color w:val="000000"/>
                <w:spacing w:val="1"/>
                <w:kern w:val="0"/>
                <w:sz w:val="32"/>
                <w:szCs w:val="32"/>
                <w:lang w:eastAsia="zh-CN"/>
              </w:rPr>
              <w:t>包含电线等材料</w:t>
            </w:r>
          </w:p>
        </w:tc>
      </w:tr>
      <w:tr w14:paraId="3CD3A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178" w:type="dxa"/>
          </w:tcPr>
          <w:p w14:paraId="7A54976C">
            <w:pPr>
              <w:pStyle w:val="6"/>
              <w:spacing w:before="115" w:line="172" w:lineRule="auto"/>
              <w:ind w:left="364"/>
              <w:rPr>
                <w:snapToGrid w:val="0"/>
                <w:color w:val="000000"/>
                <w:spacing w:val="1"/>
                <w:kern w:val="0"/>
                <w:sz w:val="32"/>
                <w:szCs w:val="32"/>
                <w:lang w:eastAsia="zh-CN"/>
              </w:rPr>
            </w:pPr>
            <w:r>
              <w:rPr>
                <w:rFonts w:hint="eastAsia"/>
                <w:snapToGrid w:val="0"/>
                <w:color w:val="000000"/>
                <w:spacing w:val="1"/>
                <w:kern w:val="0"/>
                <w:sz w:val="32"/>
                <w:szCs w:val="32"/>
                <w:lang w:val="en-US" w:eastAsia="zh-CN"/>
              </w:rPr>
              <w:t>3</w:t>
            </w:r>
          </w:p>
        </w:tc>
        <w:tc>
          <w:tcPr>
            <w:tcW w:w="2876" w:type="dxa"/>
            <w:shd w:val="clear" w:color="auto" w:fill="auto"/>
          </w:tcPr>
          <w:p w14:paraId="1B9F934D">
            <w:pPr>
              <w:pStyle w:val="6"/>
              <w:spacing w:before="50" w:line="219" w:lineRule="auto"/>
              <w:jc w:val="center"/>
              <w:rPr>
                <w:rFonts w:hint="default"/>
                <w:snapToGrid w:val="0"/>
                <w:color w:val="000000"/>
                <w:spacing w:val="1"/>
                <w:kern w:val="0"/>
                <w:sz w:val="32"/>
                <w:szCs w:val="32"/>
                <w:lang w:val="en-US" w:eastAsia="zh-CN"/>
              </w:rPr>
            </w:pPr>
            <w:r>
              <w:rPr>
                <w:rFonts w:hint="eastAsia"/>
                <w:snapToGrid w:val="0"/>
                <w:color w:val="000000"/>
                <w:spacing w:val="1"/>
                <w:kern w:val="0"/>
                <w:sz w:val="32"/>
                <w:szCs w:val="32"/>
                <w:lang w:val="en-US" w:eastAsia="zh-CN"/>
              </w:rPr>
              <w:t>教室开关插座</w:t>
            </w:r>
          </w:p>
        </w:tc>
        <w:tc>
          <w:tcPr>
            <w:tcW w:w="1381" w:type="dxa"/>
            <w:shd w:val="clear" w:color="auto" w:fill="auto"/>
          </w:tcPr>
          <w:p w14:paraId="6C3483C8">
            <w:pPr>
              <w:pStyle w:val="6"/>
              <w:spacing w:before="49" w:line="219" w:lineRule="auto"/>
              <w:jc w:val="center"/>
              <w:rPr>
                <w:snapToGrid w:val="0"/>
                <w:color w:val="000000"/>
                <w:spacing w:val="1"/>
                <w:kern w:val="0"/>
                <w:sz w:val="32"/>
                <w:szCs w:val="32"/>
                <w:lang w:eastAsia="zh-CN"/>
              </w:rPr>
            </w:pPr>
            <w:r>
              <w:rPr>
                <w:rFonts w:hint="eastAsia"/>
                <w:snapToGrid w:val="0"/>
                <w:color w:val="000000"/>
                <w:spacing w:val="1"/>
                <w:kern w:val="0"/>
                <w:sz w:val="32"/>
                <w:szCs w:val="32"/>
                <w:lang w:val="en-US" w:eastAsia="zh-CN"/>
              </w:rPr>
              <w:t>项</w:t>
            </w:r>
          </w:p>
        </w:tc>
        <w:tc>
          <w:tcPr>
            <w:tcW w:w="2368" w:type="dxa"/>
            <w:shd w:val="clear" w:color="auto" w:fill="auto"/>
          </w:tcPr>
          <w:p w14:paraId="65803D95">
            <w:pPr>
              <w:pStyle w:val="6"/>
              <w:spacing w:before="49" w:line="219" w:lineRule="auto"/>
              <w:jc w:val="center"/>
              <w:rPr>
                <w:rFonts w:hint="default"/>
                <w:snapToGrid w:val="0"/>
                <w:color w:val="000000"/>
                <w:spacing w:val="1"/>
                <w:kern w:val="0"/>
                <w:sz w:val="32"/>
                <w:szCs w:val="32"/>
                <w:lang w:val="en-US" w:eastAsia="zh-CN"/>
              </w:rPr>
            </w:pPr>
            <w:r>
              <w:rPr>
                <w:rFonts w:hint="eastAsia"/>
                <w:snapToGrid w:val="0"/>
                <w:color w:val="000000"/>
                <w:spacing w:val="1"/>
                <w:kern w:val="0"/>
                <w:sz w:val="32"/>
                <w:szCs w:val="32"/>
                <w:lang w:val="en-US" w:eastAsia="zh-CN"/>
              </w:rPr>
              <w:t>按更换教室数量</w:t>
            </w:r>
          </w:p>
        </w:tc>
      </w:tr>
      <w:tr w14:paraId="22AE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78" w:type="dxa"/>
            <w:shd w:val="clear" w:color="auto" w:fill="auto"/>
            <w:vAlign w:val="top"/>
          </w:tcPr>
          <w:p w14:paraId="64740D6D">
            <w:pPr>
              <w:pStyle w:val="6"/>
              <w:spacing w:before="115" w:line="172" w:lineRule="auto"/>
              <w:ind w:left="364" w:leftChars="0"/>
              <w:rPr>
                <w:rFonts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val="en-US" w:eastAsia="zh-CN"/>
              </w:rPr>
              <w:t>4</w:t>
            </w:r>
          </w:p>
        </w:tc>
        <w:tc>
          <w:tcPr>
            <w:tcW w:w="2876" w:type="dxa"/>
            <w:shd w:val="clear" w:color="auto" w:fill="auto"/>
            <w:vAlign w:val="top"/>
          </w:tcPr>
          <w:p w14:paraId="5DF67F35">
            <w:pPr>
              <w:pStyle w:val="6"/>
              <w:spacing w:before="63" w:line="218" w:lineRule="auto"/>
              <w:jc w:val="center"/>
              <w:rPr>
                <w:rFonts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eastAsia="zh-CN"/>
              </w:rPr>
              <w:t>拆除后灯具位置需要坑洞填补</w:t>
            </w:r>
          </w:p>
        </w:tc>
        <w:tc>
          <w:tcPr>
            <w:tcW w:w="1381" w:type="dxa"/>
            <w:shd w:val="clear" w:color="auto" w:fill="auto"/>
            <w:vAlign w:val="top"/>
          </w:tcPr>
          <w:p w14:paraId="33FC5D0A">
            <w:pPr>
              <w:pStyle w:val="6"/>
              <w:spacing w:before="49" w:line="219" w:lineRule="auto"/>
              <w:jc w:val="center"/>
              <w:rPr>
                <w:rFonts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val="en-US" w:eastAsia="zh-CN"/>
              </w:rPr>
              <w:t>项</w:t>
            </w:r>
          </w:p>
        </w:tc>
        <w:tc>
          <w:tcPr>
            <w:tcW w:w="2368" w:type="dxa"/>
            <w:shd w:val="clear" w:color="auto" w:fill="auto"/>
            <w:vAlign w:val="top"/>
          </w:tcPr>
          <w:p w14:paraId="29133579">
            <w:pPr>
              <w:pStyle w:val="6"/>
              <w:spacing w:before="49" w:line="219" w:lineRule="auto"/>
              <w:jc w:val="center"/>
              <w:rPr>
                <w:rFonts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eastAsia="zh-CN"/>
              </w:rPr>
              <w:t>再进行面层修复，乳胶漆粉刷两遍</w:t>
            </w:r>
          </w:p>
        </w:tc>
      </w:tr>
      <w:tr w14:paraId="18E6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78" w:type="dxa"/>
            <w:shd w:val="clear" w:color="auto" w:fill="auto"/>
            <w:vAlign w:val="top"/>
          </w:tcPr>
          <w:p w14:paraId="400450B8">
            <w:pPr>
              <w:pStyle w:val="6"/>
              <w:spacing w:before="115" w:line="172" w:lineRule="auto"/>
              <w:ind w:left="364" w:leftChars="0"/>
              <w:rPr>
                <w:rFonts w:hint="eastAsia"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val="en-US" w:eastAsia="zh-CN"/>
              </w:rPr>
              <w:t>5</w:t>
            </w:r>
          </w:p>
        </w:tc>
        <w:tc>
          <w:tcPr>
            <w:tcW w:w="2876" w:type="dxa"/>
            <w:shd w:val="clear" w:color="auto" w:fill="auto"/>
            <w:vAlign w:val="top"/>
          </w:tcPr>
          <w:p w14:paraId="5A1A5BBD">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snapToGrid w:val="0"/>
                <w:color w:val="000000"/>
                <w:spacing w:val="1"/>
                <w:kern w:val="0"/>
                <w:sz w:val="32"/>
                <w:szCs w:val="32"/>
                <w:lang w:eastAsia="zh-CN"/>
              </w:rPr>
              <w:t>材料搬运、家政保洁、垃圾清运</w:t>
            </w:r>
          </w:p>
        </w:tc>
        <w:tc>
          <w:tcPr>
            <w:tcW w:w="1381" w:type="dxa"/>
            <w:shd w:val="clear" w:color="auto" w:fill="auto"/>
            <w:vAlign w:val="top"/>
          </w:tcPr>
          <w:p w14:paraId="5A7BB730">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rPr>
              <w:t>项</w:t>
            </w:r>
          </w:p>
        </w:tc>
        <w:tc>
          <w:tcPr>
            <w:tcW w:w="2368" w:type="dxa"/>
            <w:shd w:val="clear" w:color="auto" w:fill="auto"/>
            <w:vAlign w:val="top"/>
          </w:tcPr>
          <w:p w14:paraId="68AF8EA2">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rPr>
              <w:t>在施工期间，所有运输及搬运费用自行勘察，结算不予以调整</w:t>
            </w:r>
          </w:p>
        </w:tc>
      </w:tr>
    </w:tbl>
    <w:p w14:paraId="06BA3E45">
      <w:pPr>
        <w:numPr>
          <w:ilvl w:val="0"/>
          <w:numId w:val="0"/>
        </w:numPr>
        <w:rPr>
          <w:rFonts w:hint="default" w:ascii="仿宋" w:hAnsi="仿宋" w:eastAsia="仿宋" w:cs="仿宋"/>
          <w:sz w:val="32"/>
          <w:szCs w:val="32"/>
          <w:lang w:val="en-US" w:eastAsia="zh-CN"/>
        </w:rPr>
      </w:pPr>
    </w:p>
    <w:p w14:paraId="1B6E9990">
      <w:pPr>
        <w:numPr>
          <w:ilvl w:val="0"/>
          <w:numId w:val="0"/>
        </w:numPr>
        <w:rPr>
          <w:rFonts w:hint="default" w:ascii="仿宋" w:hAnsi="仿宋" w:eastAsia="仿宋" w:cs="仿宋"/>
          <w:sz w:val="32"/>
          <w:szCs w:val="32"/>
          <w:lang w:val="en-US" w:eastAsia="zh-CN"/>
        </w:rPr>
      </w:pPr>
    </w:p>
    <w:p w14:paraId="5F4B30EE">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F80A8EB">
      <w:pPr>
        <w:numPr>
          <w:ilvl w:val="0"/>
          <w:numId w:val="0"/>
        </w:numPr>
        <w:rPr>
          <w:rFonts w:hint="default" w:ascii="仿宋" w:hAnsi="仿宋" w:eastAsia="仿宋" w:cs="仿宋"/>
          <w:sz w:val="32"/>
          <w:szCs w:val="32"/>
          <w:lang w:val="en-US" w:eastAsia="zh-CN"/>
        </w:rPr>
      </w:pPr>
    </w:p>
    <w:p w14:paraId="6CB4A27C">
      <w:pPr>
        <w:rPr>
          <w:rFonts w:ascii="仿宋" w:hAnsi="仿宋" w:eastAsia="仿宋" w:cs="仿宋"/>
          <w:sz w:val="32"/>
          <w:szCs w:val="32"/>
        </w:rPr>
      </w:pPr>
      <w:r>
        <w:rPr>
          <w:rFonts w:hint="eastAsia" w:ascii="仿宋" w:hAnsi="仿宋" w:eastAsia="仿宋" w:cs="仿宋"/>
          <w:sz w:val="32"/>
          <w:szCs w:val="32"/>
        </w:rPr>
        <w:t>参数要求</w:t>
      </w:r>
    </w:p>
    <w:tbl>
      <w:tblPr>
        <w:tblStyle w:val="4"/>
        <w:tblpPr w:leftFromText="180" w:rightFromText="180" w:vertAnchor="text" w:horzAnchor="page" w:tblpX="1265" w:tblpY="264"/>
        <w:tblOverlap w:val="never"/>
        <w:tblW w:w="9797" w:type="dxa"/>
        <w:tblInd w:w="0" w:type="dxa"/>
        <w:tblLayout w:type="fixed"/>
        <w:tblCellMar>
          <w:top w:w="0" w:type="dxa"/>
          <w:left w:w="108" w:type="dxa"/>
          <w:bottom w:w="0" w:type="dxa"/>
          <w:right w:w="108" w:type="dxa"/>
        </w:tblCellMar>
      </w:tblPr>
      <w:tblGrid>
        <w:gridCol w:w="792"/>
        <w:gridCol w:w="1157"/>
        <w:gridCol w:w="7848"/>
      </w:tblGrid>
      <w:tr w14:paraId="2209B9D7">
        <w:tblPrEx>
          <w:tblCellMar>
            <w:top w:w="0" w:type="dxa"/>
            <w:left w:w="108" w:type="dxa"/>
            <w:bottom w:w="0" w:type="dxa"/>
            <w:right w:w="108" w:type="dxa"/>
          </w:tblCellMar>
        </w:tblPrEx>
        <w:trPr>
          <w:trHeight w:val="79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BCE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01E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产品名称</w:t>
            </w:r>
          </w:p>
        </w:tc>
        <w:tc>
          <w:tcPr>
            <w:tcW w:w="7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47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产品简要及参数介绍</w:t>
            </w:r>
          </w:p>
        </w:tc>
      </w:tr>
      <w:tr w14:paraId="6D4ACCFB">
        <w:tblPrEx>
          <w:tblCellMar>
            <w:top w:w="0" w:type="dxa"/>
            <w:left w:w="108" w:type="dxa"/>
            <w:bottom w:w="0" w:type="dxa"/>
            <w:right w:w="108" w:type="dxa"/>
          </w:tblCellMar>
        </w:tblPrEx>
        <w:trPr>
          <w:trHeight w:val="7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A46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A1C8">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bidi="ar"/>
              </w:rPr>
              <w:t>LED教室灯</w:t>
            </w:r>
            <w:r>
              <w:rPr>
                <w:rFonts w:hint="eastAsia" w:ascii="仿宋" w:hAnsi="仿宋" w:eastAsia="仿宋" w:cs="仿宋"/>
                <w:color w:val="000000"/>
                <w:kern w:val="0"/>
                <w:sz w:val="28"/>
                <w:szCs w:val="28"/>
                <w:lang w:val="en-US" w:eastAsia="zh-CN" w:bidi="ar"/>
              </w:rPr>
              <w:t>和黑板灯</w:t>
            </w:r>
          </w:p>
        </w:tc>
        <w:tc>
          <w:tcPr>
            <w:tcW w:w="7848" w:type="dxa"/>
            <w:tcBorders>
              <w:top w:val="single" w:color="000000" w:sz="4" w:space="0"/>
              <w:left w:val="single" w:color="000000" w:sz="4" w:space="0"/>
              <w:bottom w:val="single" w:color="000000" w:sz="4" w:space="0"/>
              <w:right w:val="single" w:color="000000" w:sz="4" w:space="0"/>
            </w:tcBorders>
            <w:shd w:val="clear" w:color="auto" w:fill="auto"/>
          </w:tcPr>
          <w:p w14:paraId="0861ACD9">
            <w:pPr>
              <w:widowControl/>
              <w:numPr>
                <w:ilvl w:val="0"/>
                <w:numId w:val="1"/>
              </w:numPr>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LED教室灯的灯具长度≥1000mm，宽度≥250mm；为了保证吊装灯具的牢固性和安全性，LED教室灯具背板及主架构须为金属材质，背板表面做喷涂或阳极氧化工艺处理。（提供产品技术规格书佐证）</w:t>
            </w:r>
            <w:r>
              <w:rPr>
                <w:rFonts w:hint="eastAsia" w:ascii="等线" w:hAnsi="等线" w:eastAsia="等线" w:cs="等线"/>
                <w:color w:val="000000"/>
                <w:kern w:val="0"/>
                <w:sz w:val="18"/>
                <w:szCs w:val="18"/>
                <w:lang w:bidi="ar"/>
              </w:rPr>
              <w:br w:type="textWrapping"/>
            </w:r>
            <w:r>
              <w:rPr>
                <w:rFonts w:hint="eastAsia" w:ascii="等线" w:hAnsi="等线" w:eastAsia="等线" w:cs="等线"/>
                <w:color w:val="000000"/>
                <w:kern w:val="0"/>
                <w:sz w:val="18"/>
                <w:szCs w:val="18"/>
                <w:lang w:bidi="ar"/>
              </w:rPr>
              <w:t>2、L</w:t>
            </w:r>
            <w:r>
              <w:rPr>
                <w:rFonts w:ascii="等线" w:hAnsi="等线" w:eastAsia="等线" w:cs="等线"/>
                <w:color w:val="000000"/>
                <w:kern w:val="0"/>
                <w:sz w:val="18"/>
                <w:szCs w:val="18"/>
                <w:lang w:bidi="ar"/>
              </w:rPr>
              <w:t>ED</w:t>
            </w:r>
            <w:r>
              <w:rPr>
                <w:rFonts w:hint="eastAsia" w:ascii="等线" w:hAnsi="等线" w:eastAsia="等线" w:cs="等线"/>
                <w:color w:val="000000"/>
                <w:kern w:val="0"/>
                <w:sz w:val="18"/>
                <w:szCs w:val="18"/>
                <w:lang w:bidi="ar"/>
              </w:rPr>
              <w:t>教室灯应采用先进的格栅防眩设计，格栅应采用</w:t>
            </w:r>
            <w:r>
              <w:rPr>
                <w:rFonts w:ascii="等线" w:hAnsi="等线" w:eastAsia="等线" w:cs="等线"/>
                <w:color w:val="000000"/>
                <w:kern w:val="0"/>
                <w:sz w:val="18"/>
                <w:szCs w:val="18"/>
                <w:lang w:bidi="ar"/>
              </w:rPr>
              <w:t>表面真空镀铝</w:t>
            </w:r>
            <w:r>
              <w:rPr>
                <w:rFonts w:hint="eastAsia" w:ascii="等线" w:hAnsi="等线" w:eastAsia="等线" w:cs="等线"/>
                <w:color w:val="000000"/>
                <w:kern w:val="0"/>
                <w:sz w:val="18"/>
                <w:szCs w:val="18"/>
                <w:lang w:bidi="ar"/>
              </w:rPr>
              <w:t>工艺。（提供相关检测报告证明</w:t>
            </w:r>
          </w:p>
          <w:p w14:paraId="3A285333">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3、LED教室灯色温（或相关色温）4300-5300K，显色指数Ra≥95、R9≥90，色容差≤5 SDCM，色品空间不一致性≤0.004。</w:t>
            </w:r>
          </w:p>
          <w:p w14:paraId="68223B8E">
            <w:pPr>
              <w:widowControl/>
              <w:numPr>
                <w:ilvl w:val="0"/>
                <w:numId w:val="2"/>
              </w:numPr>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LED教室灯背面向上半球发射光通量占总光通量百分比≧10%；正面背面的相关色温偏差应≤100K。</w:t>
            </w:r>
          </w:p>
          <w:p w14:paraId="58CAA136">
            <w:pPr>
              <w:widowControl/>
              <w:numPr>
                <w:ilvl w:val="0"/>
                <w:numId w:val="2"/>
              </w:numPr>
              <w:jc w:val="left"/>
              <w:textAlignment w:val="top"/>
              <w:rPr>
                <w:rFonts w:ascii="等线" w:hAnsi="等线" w:eastAsia="等线" w:cs="等线"/>
                <w:color w:val="000000"/>
                <w:kern w:val="0"/>
                <w:sz w:val="18"/>
                <w:szCs w:val="18"/>
                <w:lang w:bidi="ar"/>
              </w:rPr>
            </w:pP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LED教室灯额定功率≤36W，单颗功率≤1</w:t>
            </w:r>
            <w:r>
              <w:rPr>
                <w:rFonts w:ascii="等线" w:hAnsi="等线" w:eastAsia="等线" w:cs="等线"/>
                <w:color w:val="000000"/>
                <w:kern w:val="0"/>
                <w:sz w:val="18"/>
                <w:szCs w:val="18"/>
                <w:lang w:bidi="ar"/>
              </w:rPr>
              <w:t>W</w:t>
            </w:r>
            <w:r>
              <w:rPr>
                <w:rFonts w:hint="eastAsia" w:ascii="等线" w:hAnsi="等线" w:eastAsia="等线" w:cs="等线"/>
                <w:color w:val="000000"/>
                <w:kern w:val="0"/>
                <w:sz w:val="18"/>
                <w:szCs w:val="18"/>
                <w:lang w:bidi="ar"/>
              </w:rPr>
              <w:t>，光源额定总功率是灯具额定功率的</w:t>
            </w:r>
            <w:r>
              <w:rPr>
                <w:rFonts w:ascii="等线" w:hAnsi="等线" w:eastAsia="等线" w:cs="等线"/>
                <w:color w:val="000000"/>
                <w:kern w:val="0"/>
                <w:sz w:val="18"/>
                <w:szCs w:val="18"/>
                <w:lang w:bidi="ar"/>
              </w:rPr>
              <w:t>3</w:t>
            </w:r>
            <w:r>
              <w:rPr>
                <w:rFonts w:hint="eastAsia" w:ascii="等线" w:hAnsi="等线" w:eastAsia="等线" w:cs="等线"/>
                <w:color w:val="000000"/>
                <w:kern w:val="0"/>
                <w:sz w:val="18"/>
                <w:szCs w:val="18"/>
                <w:lang w:bidi="ar"/>
              </w:rPr>
              <w:t>.5倍或以上，且IP防护等级≥IP40。</w:t>
            </w:r>
          </w:p>
          <w:p w14:paraId="3C56BE76">
            <w:pPr>
              <w:widowControl/>
              <w:numPr>
                <w:ilvl w:val="0"/>
                <w:numId w:val="2"/>
              </w:numPr>
              <w:jc w:val="left"/>
              <w:textAlignment w:val="top"/>
              <w:rPr>
                <w:rFonts w:ascii="等线" w:hAnsi="等线" w:eastAsia="等线" w:cs="等线"/>
                <w:color w:val="000000"/>
                <w:kern w:val="0"/>
                <w:sz w:val="18"/>
                <w:szCs w:val="18"/>
                <w:lang w:bidi="ar"/>
              </w:rPr>
            </w:pP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LED教室灯至少依据《GB/T26572》、《GB/T 39560》标准通过电器电子产品ROHS认证。</w:t>
            </w:r>
          </w:p>
          <w:p w14:paraId="3DD0C60B">
            <w:pPr>
              <w:widowControl/>
              <w:numPr>
                <w:ilvl w:val="0"/>
                <w:numId w:val="2"/>
              </w:numPr>
              <w:jc w:val="left"/>
              <w:textAlignment w:val="top"/>
              <w:rPr>
                <w:rFonts w:ascii="等线" w:hAnsi="等线" w:eastAsia="等线" w:cs="等线"/>
                <w:color w:val="000000"/>
                <w:kern w:val="0"/>
                <w:sz w:val="18"/>
                <w:szCs w:val="18"/>
                <w:lang w:bidi="ar"/>
              </w:rPr>
            </w:pP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LED教室灯通过频闪无显著影响认证。</w:t>
            </w:r>
          </w:p>
          <w:p w14:paraId="2FD607B1">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8、LED教室灯视网膜蓝光危害类别等级为RG0（或0类危险）。</w:t>
            </w:r>
          </w:p>
          <w:p w14:paraId="2939708A">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9、</w:t>
            </w: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LED教室灯至少依据《GB/T5700》标准测试教室现场光环境，教室(课桌面)最大与最小融合照度之比≤10。</w:t>
            </w:r>
          </w:p>
          <w:p w14:paraId="1ECA4E09">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10、</w:t>
            </w: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LED教室灯至少依据《GB40070》标准通过教室灯具青少年近视防控五星级认证。</w:t>
            </w:r>
          </w:p>
          <w:p w14:paraId="65DFB2D0">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11、</w:t>
            </w:r>
            <w:r>
              <w:rPr>
                <w:rFonts w:hint="eastAsia" w:ascii="等线" w:hAnsi="等线" w:eastAsia="等线" w:cs="等线"/>
                <w:b/>
                <w:bCs/>
                <w:color w:val="000000"/>
                <w:kern w:val="0"/>
                <w:sz w:val="18"/>
                <w:szCs w:val="18"/>
                <w:lang w:bidi="ar"/>
              </w:rPr>
              <w:t>★</w:t>
            </w:r>
            <w:r>
              <w:rPr>
                <w:rFonts w:hint="eastAsia" w:ascii="等线" w:hAnsi="等线" w:eastAsia="等线" w:cs="等线"/>
                <w:color w:val="000000"/>
                <w:kern w:val="0"/>
                <w:sz w:val="18"/>
                <w:szCs w:val="18"/>
                <w:lang w:bidi="ar"/>
              </w:rPr>
              <w:t>LED教室灯至少依据《GB/T13379》标准满足教室维持平均照度满足300lx-750lx，照度均匀度≥0.8，统一眩光值≤16，且通过教室优选照明设备认证。</w:t>
            </w:r>
          </w:p>
          <w:p w14:paraId="6AD0D378">
            <w:pPr>
              <w:widowControl/>
              <w:jc w:val="left"/>
              <w:textAlignment w:val="top"/>
              <w:rPr>
                <w:rFonts w:ascii="等线" w:hAnsi="等线" w:eastAsia="等线" w:cs="等线"/>
                <w:b/>
                <w:bCs/>
                <w:color w:val="000000"/>
                <w:kern w:val="0"/>
                <w:sz w:val="18"/>
                <w:szCs w:val="18"/>
                <w:lang w:bidi="ar"/>
              </w:rPr>
            </w:pPr>
            <w:r>
              <w:rPr>
                <w:rFonts w:hint="eastAsia" w:ascii="等线" w:hAnsi="等线" w:eastAsia="等线" w:cs="等线"/>
                <w:b/>
                <w:bCs/>
                <w:color w:val="000000"/>
                <w:kern w:val="0"/>
                <w:sz w:val="18"/>
                <w:szCs w:val="18"/>
                <w:lang w:bidi="ar"/>
              </w:rPr>
              <w:t>说明：</w:t>
            </w:r>
          </w:p>
          <w:p w14:paraId="3861897E">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b/>
                <w:bCs/>
                <w:color w:val="000000"/>
                <w:kern w:val="0"/>
                <w:sz w:val="18"/>
                <w:szCs w:val="18"/>
                <w:lang w:bidi="ar"/>
              </w:rPr>
              <w:t>1、标注“★”条款为核心指标，需提供国家认证认可的三方测机构出具的认证证书扫描件及全国认证认可信息公共服务平台查询结果截图证明（有效期内）</w:t>
            </w:r>
            <w:r>
              <w:rPr>
                <w:rFonts w:hint="eastAsia" w:ascii="等线" w:hAnsi="等线" w:eastAsia="等线" w:cs="等线"/>
                <w:color w:val="000000"/>
                <w:kern w:val="0"/>
                <w:sz w:val="18"/>
                <w:szCs w:val="18"/>
                <w:lang w:bidi="ar"/>
              </w:rPr>
              <w:t>。</w:t>
            </w:r>
          </w:p>
          <w:p w14:paraId="6CDD9806">
            <w:pPr>
              <w:widowControl/>
              <w:jc w:val="left"/>
              <w:textAlignment w:val="top"/>
              <w:rPr>
                <w:rFonts w:ascii="等线" w:hAnsi="等线" w:eastAsia="等线" w:cs="等线"/>
                <w:color w:val="000000"/>
                <w:kern w:val="0"/>
                <w:sz w:val="18"/>
                <w:szCs w:val="18"/>
                <w:lang w:bidi="ar"/>
              </w:rPr>
            </w:pPr>
            <w:r>
              <w:rPr>
                <w:rFonts w:hint="eastAsia" w:ascii="等线" w:hAnsi="等线" w:eastAsia="等线" w:cs="等线"/>
                <w:b/>
                <w:bCs/>
                <w:color w:val="000000"/>
                <w:kern w:val="0"/>
                <w:sz w:val="18"/>
                <w:szCs w:val="18"/>
                <w:lang w:bidi="ar"/>
              </w:rPr>
              <w:t>2、未标注“★”条款为一般指标，需提供所投产品的技术规格书或相关检测报告佐证，特殊情况需提供所投样品来佐证。否则视为无效投标。</w:t>
            </w:r>
          </w:p>
        </w:tc>
      </w:tr>
    </w:tbl>
    <w:p w14:paraId="7F76683C">
      <w:pPr>
        <w:numPr>
          <w:ilvl w:val="0"/>
          <w:numId w:val="0"/>
        </w:numPr>
        <w:rPr>
          <w:rFonts w:hint="default" w:ascii="仿宋" w:hAnsi="仿宋" w:eastAsia="仿宋" w:cs="仿宋"/>
          <w:sz w:val="32"/>
          <w:szCs w:val="32"/>
          <w:lang w:val="en-US" w:eastAsia="zh-CN"/>
        </w:rPr>
      </w:pPr>
    </w:p>
    <w:p w14:paraId="0AEFFD41">
      <w:pPr>
        <w:numPr>
          <w:ilvl w:val="0"/>
          <w:numId w:val="0"/>
        </w:numPr>
        <w:rPr>
          <w:rFonts w:hint="default" w:ascii="仿宋" w:hAnsi="仿宋" w:eastAsia="仿宋" w:cs="仿宋"/>
          <w:sz w:val="32"/>
          <w:szCs w:val="32"/>
          <w:lang w:val="en-US" w:eastAsia="zh-CN"/>
        </w:rPr>
      </w:pPr>
    </w:p>
    <w:p w14:paraId="1A108026">
      <w:pPr>
        <w:numPr>
          <w:ilvl w:val="0"/>
          <w:numId w:val="0"/>
        </w:numPr>
        <w:rPr>
          <w:rFonts w:hint="default" w:ascii="仿宋" w:hAnsi="仿宋" w:eastAsia="仿宋" w:cs="仿宋"/>
          <w:sz w:val="32"/>
          <w:szCs w:val="32"/>
          <w:lang w:val="en-US" w:eastAsia="zh-CN"/>
        </w:rPr>
      </w:pPr>
    </w:p>
    <w:p w14:paraId="151F6E34">
      <w:pPr>
        <w:numPr>
          <w:ilvl w:val="0"/>
          <w:numId w:val="0"/>
        </w:numPr>
        <w:rPr>
          <w:rFonts w:hint="default" w:ascii="仿宋" w:hAnsi="仿宋" w:eastAsia="仿宋" w:cs="仿宋"/>
          <w:sz w:val="32"/>
          <w:szCs w:val="32"/>
          <w:lang w:val="en-US" w:eastAsia="zh-CN"/>
        </w:rPr>
      </w:pPr>
    </w:p>
    <w:p w14:paraId="47002A2F">
      <w:pPr>
        <w:numPr>
          <w:ilvl w:val="0"/>
          <w:numId w:val="0"/>
        </w:numPr>
        <w:rPr>
          <w:rFonts w:hint="default" w:ascii="仿宋" w:hAnsi="仿宋" w:eastAsia="仿宋" w:cs="仿宋"/>
          <w:sz w:val="32"/>
          <w:szCs w:val="32"/>
          <w:lang w:val="en-US" w:eastAsia="zh-CN"/>
        </w:rPr>
      </w:pPr>
    </w:p>
    <w:tbl>
      <w:tblPr>
        <w:tblStyle w:val="4"/>
        <w:tblpPr w:leftFromText="180" w:rightFromText="180" w:vertAnchor="text" w:horzAnchor="page" w:tblpX="1265" w:tblpY="264"/>
        <w:tblOverlap w:val="never"/>
        <w:tblW w:w="9797" w:type="dxa"/>
        <w:tblInd w:w="0" w:type="dxa"/>
        <w:tblLayout w:type="fixed"/>
        <w:tblCellMar>
          <w:top w:w="0" w:type="dxa"/>
          <w:left w:w="108" w:type="dxa"/>
          <w:bottom w:w="0" w:type="dxa"/>
          <w:right w:w="108" w:type="dxa"/>
        </w:tblCellMar>
      </w:tblPr>
      <w:tblGrid>
        <w:gridCol w:w="792"/>
        <w:gridCol w:w="1157"/>
        <w:gridCol w:w="7848"/>
      </w:tblGrid>
      <w:tr w14:paraId="4BDD2C76">
        <w:tblPrEx>
          <w:tblCellMar>
            <w:top w:w="0" w:type="dxa"/>
            <w:left w:w="108" w:type="dxa"/>
            <w:bottom w:w="0" w:type="dxa"/>
            <w:right w:w="108" w:type="dxa"/>
          </w:tblCellMar>
        </w:tblPrEx>
        <w:trPr>
          <w:trHeight w:val="79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27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2A1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产品名称</w:t>
            </w:r>
          </w:p>
        </w:tc>
        <w:tc>
          <w:tcPr>
            <w:tcW w:w="7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050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产品简要及参数介绍</w:t>
            </w:r>
          </w:p>
        </w:tc>
      </w:tr>
      <w:tr w14:paraId="1B74AD1C">
        <w:tblPrEx>
          <w:tblCellMar>
            <w:top w:w="0" w:type="dxa"/>
            <w:left w:w="108" w:type="dxa"/>
            <w:bottom w:w="0" w:type="dxa"/>
            <w:right w:w="108" w:type="dxa"/>
          </w:tblCellMar>
        </w:tblPrEx>
        <w:trPr>
          <w:trHeight w:val="102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F6B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FF96">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黑板灯</w:t>
            </w:r>
          </w:p>
        </w:tc>
        <w:tc>
          <w:tcPr>
            <w:tcW w:w="7848" w:type="dxa"/>
            <w:tcBorders>
              <w:top w:val="single" w:color="000000" w:sz="4" w:space="0"/>
              <w:left w:val="single" w:color="000000" w:sz="4" w:space="0"/>
              <w:bottom w:val="single" w:color="000000" w:sz="4" w:space="0"/>
              <w:right w:val="single" w:color="000000" w:sz="4" w:space="0"/>
            </w:tcBorders>
            <w:shd w:val="clear" w:color="auto" w:fill="auto"/>
          </w:tcPr>
          <w:p w14:paraId="42AB1DD9">
            <w:pPr>
              <w:pStyle w:val="3"/>
              <w:keepNext w:val="0"/>
              <w:keepLines w:val="0"/>
              <w:widowControl/>
              <w:suppressLineNumbers w:val="0"/>
            </w:pPr>
            <w:r>
              <w:t xml:space="preserve">1、LED黑板灯长度≥1200mm，为一体式电镀格栅防眩灯具。（提供产品技术规格书佐证） </w:t>
            </w:r>
          </w:p>
          <w:p w14:paraId="725D2B06">
            <w:pPr>
              <w:pStyle w:val="3"/>
              <w:keepNext w:val="0"/>
              <w:keepLines w:val="0"/>
              <w:widowControl/>
              <w:suppressLineNumbers w:val="0"/>
            </w:pPr>
            <w:r>
              <w:t xml:space="preserve">2、LED黑板灯采用一体式航空铝型材灯体， 灯具外形应平整、无凹陷和毛刺，焊缝无透光现象，表面均匀、光洁，无流挂现象。（提供产品技术规格书佐证） </w:t>
            </w:r>
          </w:p>
          <w:p w14:paraId="1428A462">
            <w:pPr>
              <w:pStyle w:val="3"/>
              <w:keepNext w:val="0"/>
              <w:keepLines w:val="0"/>
              <w:widowControl/>
              <w:suppressLineNumbers w:val="0"/>
            </w:pPr>
            <w:r>
              <w:t xml:space="preserve">3、LED黑板灯功率因数PF≥0.95，灯具效能≥90lm/W。 </w:t>
            </w:r>
          </w:p>
          <w:p w14:paraId="43F43DC3">
            <w:pPr>
              <w:pStyle w:val="3"/>
              <w:keepNext w:val="0"/>
              <w:keepLines w:val="0"/>
              <w:widowControl/>
              <w:suppressLineNumbers w:val="0"/>
            </w:pPr>
            <w:r>
              <w:t xml:space="preserve">4、LED黑板灯色温（或相关色温）4300-5300K，显色指数Ra≥95、R9≥90，色容差≤5SDCM，色品空间不一致性≤0.004。（提供相关检测报告证明） </w:t>
            </w:r>
          </w:p>
          <w:p w14:paraId="54574B46">
            <w:pPr>
              <w:pStyle w:val="3"/>
              <w:keepNext w:val="0"/>
              <w:keepLines w:val="0"/>
              <w:widowControl/>
              <w:suppressLineNumbers w:val="0"/>
            </w:pPr>
            <w:r>
              <w:t xml:space="preserve">5、★ LED黑板灯额定功率≤36W，单颗功率≤1W，光源额定总功率是灯具额定功率的3.5倍或以上，且IP防护等级≥IP40。 </w:t>
            </w:r>
          </w:p>
          <w:p w14:paraId="5FE79E70">
            <w:pPr>
              <w:pStyle w:val="3"/>
              <w:keepNext w:val="0"/>
              <w:keepLines w:val="0"/>
              <w:widowControl/>
              <w:suppressLineNumbers w:val="0"/>
            </w:pPr>
            <w:r>
              <w:t xml:space="preserve">6、★LED黑板灯至少依据《GB/T26572》、《GB/T 39560》标准通过电器电子产品ROHS认证。 </w:t>
            </w:r>
          </w:p>
          <w:p w14:paraId="139A8C1F">
            <w:pPr>
              <w:pStyle w:val="3"/>
              <w:keepNext w:val="0"/>
              <w:keepLines w:val="0"/>
              <w:widowControl/>
              <w:suppressLineNumbers w:val="0"/>
            </w:pPr>
            <w:r>
              <w:t xml:space="preserve">7、LED黑板灯黑板灯通过频闪无危害或无频闪危害或无显著影响认证。 </w:t>
            </w:r>
          </w:p>
          <w:p w14:paraId="402242F5">
            <w:pPr>
              <w:pStyle w:val="3"/>
              <w:keepNext w:val="0"/>
              <w:keepLines w:val="0"/>
              <w:widowControl/>
              <w:suppressLineNumbers w:val="0"/>
            </w:pPr>
            <w:r>
              <w:t xml:space="preserve">8、LED黑板灯视网膜蓝光危害类别等级为RG0（或0类危险）。 </w:t>
            </w:r>
          </w:p>
          <w:p w14:paraId="26AE0A90">
            <w:pPr>
              <w:pStyle w:val="3"/>
              <w:keepNext w:val="0"/>
              <w:keepLines w:val="0"/>
              <w:widowControl/>
              <w:suppressLineNumbers w:val="0"/>
            </w:pPr>
            <w:r>
              <w:t xml:space="preserve">9、 LED黑板灯至少依据《GB/T5700》标准测试教室现场光环境，教室(课桌面)最大与最小融合照度之比≤10。 </w:t>
            </w:r>
          </w:p>
          <w:p w14:paraId="4A6BD429">
            <w:pPr>
              <w:pStyle w:val="3"/>
              <w:keepNext w:val="0"/>
              <w:keepLines w:val="0"/>
              <w:widowControl/>
              <w:suppressLineNumbers w:val="0"/>
              <w:rPr>
                <w:rFonts w:hint="eastAsia"/>
                <w:lang w:eastAsia="zh-CN"/>
              </w:rPr>
            </w:pPr>
            <w:r>
              <w:t xml:space="preserve">10、★LED黑板灯至少依据《GB40070》标准通过教室灯具青少年近视防控五星级认证 </w:t>
            </w:r>
            <w:r>
              <w:rPr>
                <w:rFonts w:hint="eastAsia"/>
                <w:lang w:eastAsia="zh-CN"/>
              </w:rPr>
              <w:t>。</w:t>
            </w:r>
          </w:p>
          <w:p w14:paraId="5311EA13">
            <w:pPr>
              <w:pStyle w:val="3"/>
              <w:keepNext w:val="0"/>
              <w:keepLines w:val="0"/>
              <w:widowControl/>
              <w:suppressLineNumbers w:val="0"/>
            </w:pPr>
            <w:r>
              <w:rPr>
                <w:rFonts w:hint="eastAsia"/>
                <w:lang w:val="en-US" w:eastAsia="zh-CN"/>
              </w:rPr>
              <w:t>1</w:t>
            </w:r>
            <w:r>
              <w:t xml:space="preserve">1、★LED黑板灯至少依据《GB/T13379》标准满足黑板维持平均照度满足500-1000lx，照度均匀度≥0.85，且通过教室优选照明设备认证。 </w:t>
            </w:r>
          </w:p>
          <w:p w14:paraId="3651E1B9">
            <w:pPr>
              <w:pStyle w:val="3"/>
              <w:keepNext w:val="0"/>
              <w:keepLines w:val="0"/>
              <w:widowControl/>
              <w:suppressLineNumbers w:val="0"/>
            </w:pPr>
            <w:r>
              <w:t xml:space="preserve">12、★LED黑板灯通过中国节能产品认证及中国环境标志产品认证。 </w:t>
            </w:r>
          </w:p>
          <w:p w14:paraId="7885A051">
            <w:pPr>
              <w:pStyle w:val="3"/>
              <w:keepNext w:val="0"/>
              <w:keepLines w:val="0"/>
              <w:widowControl/>
              <w:suppressLineNumbers w:val="0"/>
              <w:rPr>
                <w:rFonts w:hint="eastAsia" w:eastAsiaTheme="minorEastAsia"/>
                <w:lang w:eastAsia="zh-CN"/>
              </w:rPr>
            </w:pPr>
          </w:p>
          <w:p w14:paraId="2F7E30BA">
            <w:pPr>
              <w:widowControl/>
              <w:jc w:val="left"/>
              <w:textAlignment w:val="top"/>
              <w:rPr>
                <w:rFonts w:ascii="等线" w:hAnsi="等线" w:eastAsia="等线" w:cs="等线"/>
                <w:color w:val="000000"/>
                <w:kern w:val="0"/>
                <w:sz w:val="18"/>
                <w:szCs w:val="18"/>
                <w:lang w:bidi="ar"/>
              </w:rPr>
            </w:pPr>
          </w:p>
        </w:tc>
      </w:tr>
    </w:tbl>
    <w:p w14:paraId="2CDBDBFC">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80E5E"/>
    <w:multiLevelType w:val="singleLevel"/>
    <w:tmpl w:val="0B380E5E"/>
    <w:lvl w:ilvl="0" w:tentative="0">
      <w:start w:val="4"/>
      <w:numFmt w:val="decimal"/>
      <w:suff w:val="nothing"/>
      <w:lvlText w:val="%1、"/>
      <w:lvlJc w:val="left"/>
    </w:lvl>
  </w:abstractNum>
  <w:abstractNum w:abstractNumId="1">
    <w:nsid w:val="3DA2CE4C"/>
    <w:multiLevelType w:val="singleLevel"/>
    <w:tmpl w:val="3DA2CE4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C6D98"/>
    <w:rsid w:val="0F902AE6"/>
    <w:rsid w:val="18B74DA0"/>
    <w:rsid w:val="1C64631F"/>
    <w:rsid w:val="26741E85"/>
    <w:rsid w:val="268169ED"/>
    <w:rsid w:val="270C2C25"/>
    <w:rsid w:val="2805002B"/>
    <w:rsid w:val="30112B90"/>
    <w:rsid w:val="34BA40FA"/>
    <w:rsid w:val="352B55B3"/>
    <w:rsid w:val="35A70880"/>
    <w:rsid w:val="36D44738"/>
    <w:rsid w:val="3C351E3D"/>
    <w:rsid w:val="3F316DAB"/>
    <w:rsid w:val="3FB36C36"/>
    <w:rsid w:val="46782217"/>
    <w:rsid w:val="47906638"/>
    <w:rsid w:val="504B7B3A"/>
    <w:rsid w:val="58106935"/>
    <w:rsid w:val="58AC780A"/>
    <w:rsid w:val="5C1967A5"/>
    <w:rsid w:val="5D872FC1"/>
    <w:rsid w:val="65DA2B10"/>
    <w:rsid w:val="66967370"/>
    <w:rsid w:val="669C24AC"/>
    <w:rsid w:val="66F4234D"/>
    <w:rsid w:val="70AE52B6"/>
    <w:rsid w:val="70CC73DB"/>
    <w:rsid w:val="711E5ECD"/>
    <w:rsid w:val="77B05666"/>
    <w:rsid w:val="78A31478"/>
    <w:rsid w:val="79CD63C8"/>
    <w:rsid w:val="7BF546E1"/>
    <w:rsid w:val="7CAF2AE1"/>
    <w:rsid w:val="7D1257C1"/>
    <w:rsid w:val="ED97A7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1824</Words>
  <Characters>2102</Characters>
  <Lines>0</Lines>
  <Paragraphs>0</Paragraphs>
  <TotalTime>61</TotalTime>
  <ScaleCrop>false</ScaleCrop>
  <LinksUpToDate>false</LinksUpToDate>
  <CharactersWithSpaces>2595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2025-04-01T19:37:00Z</dcterms:created>
  <dc:creator>Administrator</dc:creator>
  <cp:lastModifiedBy>申浩</cp:lastModifiedBy>
  <dcterms:modified xsi:type="dcterms:W3CDTF">2025-06-24T11:32:14Z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eyJoZGlkIjoiOGEzYjg2NTk0YWNhN2U1ZjVlMzg0NWJiZTI3NjgyZmIiLCJ1c2VySWQiOiI5MjkxNjY4NTgifQ==</vt:lpwstr>
  </property>
  <property fmtid="{D5CDD505-2E9C-101B-9397-08002B2CF9AE}" pid="4" name="ICV">
    <vt:lpwstr>644FC5FC43A348FA83E5E598FF990678_13</vt:lpwstr>
  </property>
</Properties>
</file>