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Theme="majorEastAsia" w:hAnsiTheme="majorEastAsia" w:eastAsiaTheme="majorEastAsia" w:cstheme="majorEastAsia"/>
          <w:b/>
          <w:bCs/>
          <w:sz w:val="36"/>
          <w:szCs w:val="36"/>
        </w:rPr>
      </w:pPr>
      <w:r>
        <w:rPr>
          <w:rFonts w:hint="eastAsia" w:asciiTheme="majorEastAsia" w:hAnsiTheme="majorEastAsia" w:eastAsiaTheme="majorEastAsia" w:cstheme="majorEastAsia"/>
          <w:b/>
          <w:bCs/>
          <w:sz w:val="36"/>
          <w:szCs w:val="36"/>
          <w:lang w:val="en-US" w:eastAsia="zh-CN"/>
        </w:rPr>
        <w:t>克拉玛依区平安幼儿园大门</w:t>
      </w:r>
      <w:r>
        <w:rPr>
          <w:rFonts w:hint="eastAsia" w:asciiTheme="majorEastAsia" w:hAnsiTheme="majorEastAsia" w:eastAsiaTheme="majorEastAsia" w:cstheme="majorEastAsia"/>
          <w:b/>
          <w:bCs/>
          <w:sz w:val="36"/>
          <w:szCs w:val="36"/>
        </w:rPr>
        <w:t>采购需求</w:t>
      </w:r>
    </w:p>
    <w:p>
      <w:pPr>
        <w:pStyle w:val="16"/>
        <w:numPr>
          <w:ilvl w:val="0"/>
          <w:numId w:val="2"/>
        </w:numPr>
        <w:spacing w:line="460" w:lineRule="exact"/>
        <w:ind w:left="930" w:leftChars="0" w:firstLineChars="0"/>
        <w:rPr>
          <w:rFonts w:hint="eastAsia" w:ascii="仿宋" w:hAnsi="仿宋" w:eastAsia="仿宋" w:cs="仿宋"/>
          <w:b/>
          <w:sz w:val="32"/>
          <w:szCs w:val="32"/>
        </w:rPr>
      </w:pPr>
      <w:r>
        <w:rPr>
          <w:rFonts w:hint="eastAsia" w:ascii="仿宋" w:hAnsi="仿宋" w:eastAsia="仿宋" w:cs="仿宋"/>
          <w:b/>
          <w:sz w:val="32"/>
          <w:szCs w:val="32"/>
        </w:rPr>
        <w:t>投标人资格条件</w:t>
      </w:r>
    </w:p>
    <w:p>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（一）一般资格条件</w:t>
      </w:r>
    </w:p>
    <w:p>
      <w:pPr>
        <w:numPr>
          <w:ilvl w:val="0"/>
          <w:numId w:val="0"/>
        </w:numPr>
        <w:tabs>
          <w:tab w:val="left" w:pos="1134"/>
        </w:tabs>
        <w:snapToGrid w:val="0"/>
        <w:spacing w:line="460" w:lineRule="exact"/>
        <w:ind w:left="630" w:leftChars="0"/>
        <w:rPr>
          <w:rFonts w:hint="eastAsia" w:ascii="仿宋" w:hAnsi="仿宋" w:eastAsia="仿宋" w:cs="仿宋"/>
          <w:sz w:val="24"/>
          <w:szCs w:val="24"/>
        </w:rPr>
      </w:pPr>
      <w:r>
        <w:rPr>
          <w:rFonts w:hint="eastAsia" w:ascii="仿宋" w:hAnsi="仿宋" w:eastAsia="仿宋" w:cs="仿宋"/>
          <w:sz w:val="24"/>
          <w:szCs w:val="24"/>
          <w:lang w:val="en-US" w:eastAsia="zh-CN"/>
        </w:rPr>
        <w:t>1.</w:t>
      </w:r>
      <w:r>
        <w:rPr>
          <w:rFonts w:hint="eastAsia" w:ascii="仿宋" w:hAnsi="仿宋" w:eastAsia="仿宋" w:cs="仿宋"/>
          <w:sz w:val="24"/>
          <w:szCs w:val="24"/>
        </w:rPr>
        <w:t>具有独立承担民事责任的能力；</w:t>
      </w:r>
    </w:p>
    <w:p>
      <w:pPr>
        <w:tabs>
          <w:tab w:val="left" w:pos="1134"/>
        </w:tabs>
        <w:snapToGrid w:val="0"/>
        <w:spacing w:line="460" w:lineRule="exact"/>
        <w:ind w:firstLine="720" w:firstLineChars="300"/>
        <w:rPr>
          <w:rFonts w:hint="eastAsia" w:ascii="仿宋" w:hAnsi="仿宋" w:eastAsia="仿宋" w:cs="仿宋"/>
          <w:sz w:val="24"/>
          <w:szCs w:val="24"/>
        </w:rPr>
      </w:pPr>
      <w:r>
        <w:rPr>
          <w:rFonts w:hint="eastAsia" w:ascii="仿宋" w:hAnsi="仿宋" w:eastAsia="仿宋" w:cs="仿宋"/>
          <w:sz w:val="24"/>
          <w:szCs w:val="24"/>
        </w:rPr>
        <w:t>具有良好的商业信誉和健全的财务会计制度；</w:t>
      </w:r>
    </w:p>
    <w:p>
      <w:pPr>
        <w:numPr>
          <w:ilvl w:val="0"/>
          <w:numId w:val="0"/>
        </w:numPr>
        <w:tabs>
          <w:tab w:val="left" w:pos="1134"/>
        </w:tabs>
        <w:snapToGrid w:val="0"/>
        <w:spacing w:line="460" w:lineRule="exact"/>
        <w:ind w:left="630" w:leftChars="0"/>
        <w:rPr>
          <w:rFonts w:hint="eastAsia" w:ascii="仿宋" w:hAnsi="仿宋" w:eastAsia="仿宋" w:cs="仿宋"/>
          <w:sz w:val="24"/>
          <w:szCs w:val="24"/>
        </w:rPr>
      </w:pPr>
      <w:r>
        <w:rPr>
          <w:rFonts w:hint="eastAsia" w:ascii="仿宋" w:hAnsi="仿宋" w:eastAsia="仿宋" w:cs="仿宋"/>
          <w:sz w:val="24"/>
          <w:szCs w:val="24"/>
          <w:lang w:val="en-US" w:eastAsia="zh-CN"/>
        </w:rPr>
        <w:t>2.</w:t>
      </w:r>
      <w:r>
        <w:rPr>
          <w:rFonts w:hint="eastAsia" w:ascii="仿宋" w:hAnsi="仿宋" w:eastAsia="仿宋" w:cs="仿宋"/>
          <w:sz w:val="24"/>
          <w:szCs w:val="24"/>
        </w:rPr>
        <w:t>具有履行合同所必需的设备和专业技术能力；</w:t>
      </w:r>
    </w:p>
    <w:p>
      <w:pPr>
        <w:numPr>
          <w:ilvl w:val="0"/>
          <w:numId w:val="0"/>
        </w:numPr>
        <w:tabs>
          <w:tab w:val="left" w:pos="1134"/>
        </w:tabs>
        <w:snapToGrid w:val="0"/>
        <w:spacing w:line="460" w:lineRule="exact"/>
        <w:ind w:left="630" w:leftChars="0"/>
        <w:rPr>
          <w:rFonts w:hint="eastAsia" w:ascii="仿宋" w:hAnsi="仿宋" w:eastAsia="仿宋" w:cs="仿宋"/>
          <w:sz w:val="24"/>
          <w:szCs w:val="24"/>
        </w:rPr>
      </w:pPr>
      <w:r>
        <w:rPr>
          <w:rFonts w:hint="eastAsia" w:ascii="仿宋" w:hAnsi="仿宋" w:eastAsia="仿宋" w:cs="仿宋"/>
          <w:sz w:val="24"/>
          <w:szCs w:val="24"/>
          <w:lang w:val="en-US" w:eastAsia="zh-CN"/>
        </w:rPr>
        <w:t>3.</w:t>
      </w:r>
      <w:r>
        <w:rPr>
          <w:rFonts w:hint="eastAsia" w:ascii="仿宋" w:hAnsi="仿宋" w:eastAsia="仿宋" w:cs="仿宋"/>
          <w:sz w:val="24"/>
          <w:szCs w:val="24"/>
        </w:rPr>
        <w:t>有依法缴纳税收和社会保障资金的良好记录；</w:t>
      </w:r>
    </w:p>
    <w:p>
      <w:pPr>
        <w:numPr>
          <w:ilvl w:val="0"/>
          <w:numId w:val="0"/>
        </w:numPr>
        <w:tabs>
          <w:tab w:val="left" w:pos="1134"/>
        </w:tabs>
        <w:snapToGrid w:val="0"/>
        <w:spacing w:line="460" w:lineRule="exact"/>
        <w:ind w:left="630" w:leftChars="0"/>
        <w:rPr>
          <w:rFonts w:hint="eastAsia" w:ascii="仿宋" w:hAnsi="仿宋" w:eastAsia="仿宋" w:cs="仿宋"/>
          <w:sz w:val="24"/>
          <w:szCs w:val="24"/>
        </w:rPr>
      </w:pPr>
      <w:r>
        <w:rPr>
          <w:rFonts w:hint="eastAsia" w:ascii="仿宋" w:hAnsi="仿宋" w:eastAsia="仿宋" w:cs="仿宋"/>
          <w:sz w:val="24"/>
          <w:szCs w:val="24"/>
          <w:lang w:val="en-US" w:eastAsia="zh-CN"/>
        </w:rPr>
        <w:t>4.</w:t>
      </w:r>
      <w:r>
        <w:rPr>
          <w:rFonts w:hint="eastAsia" w:ascii="仿宋" w:hAnsi="仿宋" w:eastAsia="仿宋" w:cs="仿宋"/>
          <w:sz w:val="24"/>
          <w:szCs w:val="24"/>
        </w:rPr>
        <w:t>参加政府采购活动前三年内，未因违法经营受到刑事处罚或者责令停产停业、吊销许可证或者执照、较大数额罚款等行政处罚。</w:t>
      </w:r>
    </w:p>
    <w:p>
      <w:pPr>
        <w:tabs>
          <w:tab w:val="left" w:pos="1134"/>
        </w:tabs>
        <w:snapToGrid w:val="0"/>
        <w:spacing w:line="460" w:lineRule="exact"/>
        <w:ind w:left="480"/>
        <w:rPr>
          <w:rFonts w:hint="eastAsia" w:ascii="仿宋" w:hAnsi="仿宋" w:eastAsia="仿宋" w:cs="仿宋"/>
          <w:sz w:val="24"/>
          <w:szCs w:val="24"/>
        </w:rPr>
      </w:pPr>
      <w:r>
        <w:rPr>
          <w:rFonts w:hint="eastAsia" w:ascii="仿宋" w:hAnsi="仿宋" w:eastAsia="仿宋" w:cs="仿宋"/>
          <w:sz w:val="24"/>
          <w:szCs w:val="24"/>
        </w:rPr>
        <w:t>（二）特定资格条件</w:t>
      </w:r>
    </w:p>
    <w:p>
      <w:pPr>
        <w:numPr>
          <w:ilvl w:val="0"/>
          <w:numId w:val="0"/>
        </w:numPr>
        <w:spacing w:line="240" w:lineRule="auto"/>
        <w:ind w:leftChars="0" w:firstLine="720" w:firstLineChars="300"/>
        <w:jc w:val="both"/>
        <w:rPr>
          <w:rFonts w:hint="eastAsia" w:ascii="仿宋" w:hAnsi="仿宋" w:eastAsia="仿宋" w:cs="仿宋"/>
          <w:sz w:val="24"/>
          <w:szCs w:val="24"/>
          <w:lang w:eastAsia="zh-CN"/>
        </w:rPr>
      </w:pPr>
      <w:r>
        <w:rPr>
          <w:rFonts w:hint="eastAsia" w:ascii="仿宋" w:hAnsi="仿宋" w:eastAsia="仿宋" w:cs="仿宋"/>
          <w:sz w:val="24"/>
          <w:szCs w:val="24"/>
        </w:rPr>
        <w:t>须具备施工</w:t>
      </w:r>
      <w:r>
        <w:rPr>
          <w:rFonts w:hint="eastAsia" w:ascii="仿宋" w:hAnsi="仿宋" w:eastAsia="仿宋" w:cs="仿宋"/>
          <w:sz w:val="24"/>
          <w:szCs w:val="24"/>
          <w:lang w:val="en-US" w:eastAsia="zh-CN"/>
        </w:rPr>
        <w:t>总承包</w:t>
      </w:r>
      <w:r>
        <w:rPr>
          <w:rFonts w:hint="eastAsia" w:ascii="仿宋" w:hAnsi="仿宋" w:eastAsia="仿宋" w:cs="仿宋"/>
          <w:sz w:val="24"/>
          <w:szCs w:val="24"/>
        </w:rPr>
        <w:t>三级资质</w:t>
      </w:r>
      <w:r>
        <w:rPr>
          <w:rFonts w:hint="eastAsia" w:ascii="仿宋" w:hAnsi="仿宋" w:eastAsia="仿宋" w:cs="仿宋"/>
          <w:sz w:val="24"/>
          <w:szCs w:val="24"/>
          <w:lang w:eastAsia="zh-CN"/>
        </w:rPr>
        <w:t>，</w:t>
      </w:r>
      <w:r>
        <w:rPr>
          <w:rFonts w:hint="eastAsia" w:ascii="仿宋" w:hAnsi="仿宋" w:eastAsia="仿宋" w:cs="仿宋"/>
          <w:color w:val="auto"/>
          <w:sz w:val="24"/>
          <w:szCs w:val="24"/>
          <w:lang w:val="en-US" w:eastAsia="zh-CN"/>
        </w:rPr>
        <w:t>建筑机电安装施工三级资质；</w:t>
      </w:r>
      <w:r>
        <w:rPr>
          <w:rFonts w:hint="eastAsia" w:ascii="仿宋" w:hAnsi="仿宋" w:eastAsia="仿宋" w:cs="仿宋"/>
          <w:color w:val="auto"/>
          <w:sz w:val="28"/>
          <w:szCs w:val="28"/>
          <w:lang w:val="en-US" w:eastAsia="zh-CN"/>
        </w:rPr>
        <w:t xml:space="preserve">     </w:t>
      </w:r>
    </w:p>
    <w:p>
      <w:pPr>
        <w:spacing w:line="4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（三）联合体投标</w:t>
      </w:r>
    </w:p>
    <w:p>
      <w:pPr>
        <w:spacing w:line="460" w:lineRule="exact"/>
        <w:ind w:firstLine="720" w:firstLineChars="300"/>
        <w:rPr>
          <w:rFonts w:hint="eastAsia" w:ascii="仿宋" w:hAnsi="仿宋" w:eastAsia="仿宋" w:cs="仿宋"/>
          <w:sz w:val="24"/>
          <w:szCs w:val="24"/>
        </w:rPr>
      </w:pPr>
      <w:r>
        <w:rPr>
          <w:rFonts w:hint="eastAsia" w:ascii="仿宋" w:hAnsi="仿宋" w:eastAsia="仿宋" w:cs="仿宋"/>
          <w:sz w:val="24"/>
          <w:szCs w:val="24"/>
        </w:rPr>
        <w:t>本项目不接受联合体投标</w:t>
      </w:r>
    </w:p>
    <w:p>
      <w:pPr>
        <w:pStyle w:val="16"/>
        <w:numPr>
          <w:ilvl w:val="0"/>
          <w:numId w:val="2"/>
        </w:numPr>
        <w:spacing w:line="460" w:lineRule="exact"/>
        <w:ind w:left="930" w:leftChars="0" w:firstLineChars="0"/>
        <w:rPr>
          <w:rFonts w:hint="eastAsia" w:ascii="仿宋" w:hAnsi="仿宋" w:eastAsia="仿宋" w:cs="仿宋"/>
          <w:b/>
          <w:sz w:val="32"/>
          <w:szCs w:val="32"/>
        </w:rPr>
      </w:pPr>
      <w:r>
        <w:rPr>
          <w:rFonts w:hint="eastAsia" w:ascii="仿宋" w:hAnsi="仿宋" w:eastAsia="仿宋" w:cs="仿宋"/>
          <w:b/>
          <w:sz w:val="32"/>
          <w:szCs w:val="32"/>
        </w:rPr>
        <w:t>服务内容及要求</w:t>
      </w:r>
    </w:p>
    <w:p>
      <w:pPr>
        <w:spacing w:line="460" w:lineRule="exact"/>
        <w:rPr>
          <w:rFonts w:hint="eastAsia" w:ascii="仿宋" w:hAnsi="仿宋" w:eastAsia="仿宋" w:cs="仿宋"/>
          <w:color w:val="000000"/>
          <w:sz w:val="28"/>
          <w:szCs w:val="28"/>
        </w:rPr>
      </w:pPr>
      <w:bookmarkStart w:id="0" w:name="_Toc438456195"/>
      <w:r>
        <w:rPr>
          <w:rFonts w:hint="eastAsia" w:ascii="仿宋" w:hAnsi="仿宋" w:eastAsia="仿宋" w:cs="仿宋"/>
          <w:color w:val="000000"/>
          <w:sz w:val="28"/>
          <w:szCs w:val="28"/>
        </w:rPr>
        <w:t>（一）</w:t>
      </w:r>
      <w:bookmarkEnd w:id="0"/>
      <w:bookmarkStart w:id="1" w:name="_Toc490672253"/>
      <w:r>
        <w:rPr>
          <w:rFonts w:hint="eastAsia" w:ascii="仿宋" w:hAnsi="仿宋" w:eastAsia="仿宋" w:cs="仿宋"/>
          <w:color w:val="000000"/>
          <w:sz w:val="28"/>
          <w:szCs w:val="28"/>
        </w:rPr>
        <w:t>招标项目</w:t>
      </w:r>
      <w:bookmarkEnd w:id="1"/>
      <w:r>
        <w:rPr>
          <w:rFonts w:hint="eastAsia" w:ascii="仿宋" w:hAnsi="仿宋" w:eastAsia="仿宋" w:cs="仿宋"/>
          <w:color w:val="000000"/>
          <w:sz w:val="28"/>
          <w:szCs w:val="28"/>
        </w:rPr>
        <w:t>名称、预算、服务期限</w:t>
      </w:r>
    </w:p>
    <w:tbl>
      <w:tblPr>
        <w:tblStyle w:val="9"/>
        <w:tblpPr w:leftFromText="180" w:rightFromText="180" w:vertAnchor="text" w:horzAnchor="page" w:tblpX="1715" w:tblpY="146"/>
        <w:tblOverlap w:val="never"/>
        <w:tblW w:w="867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7"/>
        <w:gridCol w:w="2678"/>
        <w:gridCol w:w="1833"/>
        <w:gridCol w:w="2041"/>
        <w:gridCol w:w="13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trPr>
        <w:tc>
          <w:tcPr>
            <w:tcW w:w="767" w:type="dxa"/>
            <w:vAlign w:val="center"/>
          </w:tcPr>
          <w:p>
            <w:pPr>
              <w:pStyle w:val="3"/>
              <w:spacing w:line="400" w:lineRule="exact"/>
              <w:ind w:left="0"/>
              <w:jc w:val="center"/>
              <w:rPr>
                <w:rFonts w:ascii="仿宋" w:hAnsi="仿宋" w:eastAsia="仿宋"/>
                <w:b/>
                <w:sz w:val="28"/>
                <w:szCs w:val="28"/>
              </w:rPr>
            </w:pPr>
            <w:r>
              <w:rPr>
                <w:rFonts w:hint="eastAsia" w:ascii="仿宋" w:hAnsi="仿宋" w:eastAsia="仿宋"/>
                <w:b/>
                <w:sz w:val="28"/>
                <w:szCs w:val="28"/>
              </w:rPr>
              <w:t>序号</w:t>
            </w:r>
          </w:p>
        </w:tc>
        <w:tc>
          <w:tcPr>
            <w:tcW w:w="2678" w:type="dxa"/>
            <w:vAlign w:val="center"/>
          </w:tcPr>
          <w:p>
            <w:pPr>
              <w:pStyle w:val="3"/>
              <w:spacing w:line="400" w:lineRule="exact"/>
              <w:ind w:left="0"/>
              <w:jc w:val="center"/>
              <w:rPr>
                <w:rFonts w:ascii="仿宋" w:hAnsi="仿宋" w:eastAsia="仿宋"/>
                <w:b/>
                <w:sz w:val="28"/>
                <w:szCs w:val="28"/>
              </w:rPr>
            </w:pPr>
            <w:r>
              <w:rPr>
                <w:rFonts w:hint="eastAsia" w:ascii="仿宋" w:hAnsi="仿宋" w:eastAsia="仿宋"/>
                <w:b/>
                <w:sz w:val="28"/>
                <w:szCs w:val="28"/>
              </w:rPr>
              <w:t>项目名称</w:t>
            </w:r>
          </w:p>
        </w:tc>
        <w:tc>
          <w:tcPr>
            <w:tcW w:w="1833" w:type="dxa"/>
            <w:vAlign w:val="center"/>
          </w:tcPr>
          <w:p>
            <w:pPr>
              <w:pStyle w:val="3"/>
              <w:spacing w:line="400" w:lineRule="exact"/>
              <w:ind w:left="0"/>
              <w:jc w:val="center"/>
              <w:rPr>
                <w:rFonts w:ascii="仿宋" w:hAnsi="仿宋" w:eastAsia="仿宋"/>
                <w:b/>
                <w:sz w:val="28"/>
                <w:szCs w:val="28"/>
              </w:rPr>
            </w:pPr>
            <w:r>
              <w:rPr>
                <w:rFonts w:hint="eastAsia" w:ascii="仿宋" w:hAnsi="仿宋" w:eastAsia="仿宋"/>
                <w:b/>
                <w:sz w:val="28"/>
                <w:szCs w:val="28"/>
              </w:rPr>
              <w:t>采购预算</w:t>
            </w:r>
          </w:p>
          <w:p>
            <w:pPr>
              <w:pStyle w:val="3"/>
              <w:spacing w:line="400" w:lineRule="exact"/>
              <w:ind w:left="0"/>
              <w:jc w:val="center"/>
              <w:rPr>
                <w:rFonts w:ascii="仿宋" w:hAnsi="仿宋" w:eastAsia="仿宋"/>
                <w:b/>
                <w:sz w:val="28"/>
                <w:szCs w:val="28"/>
              </w:rPr>
            </w:pPr>
            <w:r>
              <w:rPr>
                <w:rFonts w:hint="eastAsia" w:ascii="仿宋" w:hAnsi="仿宋" w:eastAsia="仿宋"/>
                <w:b/>
                <w:sz w:val="28"/>
                <w:szCs w:val="28"/>
              </w:rPr>
              <w:t>（万元）</w:t>
            </w:r>
          </w:p>
        </w:tc>
        <w:tc>
          <w:tcPr>
            <w:tcW w:w="2041" w:type="dxa"/>
            <w:vAlign w:val="center"/>
          </w:tcPr>
          <w:p>
            <w:pPr>
              <w:pStyle w:val="3"/>
              <w:spacing w:line="400" w:lineRule="exact"/>
              <w:ind w:left="0"/>
              <w:jc w:val="center"/>
              <w:rPr>
                <w:rFonts w:ascii="仿宋" w:hAnsi="仿宋" w:eastAsia="仿宋"/>
                <w:b/>
                <w:sz w:val="28"/>
                <w:szCs w:val="28"/>
              </w:rPr>
            </w:pPr>
            <w:r>
              <w:rPr>
                <w:rFonts w:hint="eastAsia" w:ascii="仿宋" w:hAnsi="仿宋" w:eastAsia="仿宋"/>
                <w:b/>
                <w:sz w:val="28"/>
                <w:szCs w:val="28"/>
              </w:rPr>
              <w:t>工期</w:t>
            </w:r>
          </w:p>
        </w:tc>
        <w:tc>
          <w:tcPr>
            <w:tcW w:w="1359" w:type="dxa"/>
            <w:vAlign w:val="center"/>
          </w:tcPr>
          <w:p>
            <w:pPr>
              <w:pStyle w:val="3"/>
              <w:spacing w:line="400" w:lineRule="exact"/>
              <w:ind w:left="0"/>
              <w:jc w:val="center"/>
              <w:rPr>
                <w:rFonts w:ascii="仿宋" w:hAnsi="仿宋" w:eastAsia="仿宋"/>
                <w:b/>
                <w:sz w:val="28"/>
                <w:szCs w:val="28"/>
              </w:rPr>
            </w:pPr>
            <w:r>
              <w:rPr>
                <w:rFonts w:hint="eastAsia" w:ascii="仿宋" w:hAnsi="仿宋" w:eastAsia="仿宋"/>
                <w:b/>
                <w:sz w:val="28"/>
                <w:szCs w:val="2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trPr>
        <w:tc>
          <w:tcPr>
            <w:tcW w:w="767" w:type="dxa"/>
            <w:vAlign w:val="center"/>
          </w:tcPr>
          <w:p>
            <w:pPr>
              <w:pStyle w:val="3"/>
              <w:spacing w:line="400" w:lineRule="exact"/>
              <w:ind w:left="0"/>
              <w:jc w:val="center"/>
              <w:rPr>
                <w:rFonts w:ascii="仿宋" w:hAnsi="仿宋" w:eastAsia="仿宋"/>
                <w:sz w:val="28"/>
                <w:szCs w:val="28"/>
              </w:rPr>
            </w:pPr>
            <w:r>
              <w:rPr>
                <w:rFonts w:hint="eastAsia" w:ascii="仿宋" w:hAnsi="仿宋" w:eastAsia="仿宋"/>
                <w:sz w:val="28"/>
                <w:szCs w:val="28"/>
              </w:rPr>
              <w:t>1</w:t>
            </w:r>
          </w:p>
        </w:tc>
        <w:tc>
          <w:tcPr>
            <w:tcW w:w="2678" w:type="dxa"/>
            <w:vAlign w:val="center"/>
          </w:tcPr>
          <w:p>
            <w:pPr>
              <w:pStyle w:val="3"/>
              <w:spacing w:line="400" w:lineRule="exact"/>
              <w:ind w:left="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克拉玛依市平安幼儿园大门</w:t>
            </w:r>
            <w:r>
              <w:rPr>
                <w:rFonts w:hint="eastAsia" w:ascii="仿宋" w:hAnsi="仿宋" w:eastAsia="仿宋" w:cs="仿宋"/>
                <w:sz w:val="24"/>
                <w:szCs w:val="24"/>
              </w:rPr>
              <w:t>采购</w:t>
            </w:r>
            <w:r>
              <w:rPr>
                <w:rFonts w:hint="eastAsia" w:ascii="仿宋" w:hAnsi="仿宋" w:eastAsia="仿宋" w:cs="仿宋"/>
                <w:sz w:val="24"/>
                <w:szCs w:val="24"/>
                <w:lang w:val="en-US" w:eastAsia="zh-CN"/>
              </w:rPr>
              <w:t>项目</w:t>
            </w:r>
          </w:p>
        </w:tc>
        <w:tc>
          <w:tcPr>
            <w:tcW w:w="1833" w:type="dxa"/>
            <w:vAlign w:val="center"/>
          </w:tcPr>
          <w:p>
            <w:pPr>
              <w:pStyle w:val="3"/>
              <w:spacing w:line="400" w:lineRule="exact"/>
              <w:ind w:left="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14</w:t>
            </w:r>
            <w:r>
              <w:rPr>
                <w:rFonts w:hint="eastAsia" w:ascii="仿宋" w:hAnsi="仿宋" w:eastAsia="仿宋" w:cs="仿宋"/>
                <w:sz w:val="24"/>
                <w:szCs w:val="24"/>
              </w:rPr>
              <w:t>万元（含</w:t>
            </w:r>
            <w:r>
              <w:rPr>
                <w:rFonts w:hint="eastAsia" w:ascii="仿宋" w:hAnsi="仿宋" w:eastAsia="仿宋" w:cs="仿宋"/>
                <w:sz w:val="24"/>
                <w:szCs w:val="24"/>
                <w:lang w:val="en-US" w:eastAsia="zh-CN"/>
              </w:rPr>
              <w:t>土建安装及涉及到的所有</w:t>
            </w:r>
            <w:r>
              <w:rPr>
                <w:rFonts w:hint="eastAsia" w:ascii="仿宋" w:hAnsi="仿宋" w:eastAsia="仿宋" w:cs="仿宋"/>
                <w:sz w:val="24"/>
                <w:szCs w:val="24"/>
              </w:rPr>
              <w:t>费用）</w:t>
            </w:r>
          </w:p>
        </w:tc>
        <w:tc>
          <w:tcPr>
            <w:tcW w:w="2041" w:type="dxa"/>
            <w:vAlign w:val="center"/>
          </w:tcPr>
          <w:p>
            <w:pPr>
              <w:pStyle w:val="3"/>
              <w:spacing w:line="400" w:lineRule="exact"/>
              <w:ind w:left="0"/>
              <w:jc w:val="center"/>
              <w:rPr>
                <w:rFonts w:hint="eastAsia" w:ascii="仿宋" w:hAnsi="仿宋" w:eastAsia="仿宋" w:cs="仿宋"/>
                <w:sz w:val="24"/>
                <w:szCs w:val="24"/>
              </w:rPr>
            </w:pPr>
            <w:r>
              <w:rPr>
                <w:rFonts w:hint="eastAsia" w:ascii="仿宋" w:hAnsi="仿宋" w:eastAsia="仿宋" w:cs="仿宋"/>
                <w:kern w:val="0"/>
                <w:sz w:val="24"/>
                <w:szCs w:val="24"/>
              </w:rPr>
              <w:t>施工工期</w:t>
            </w:r>
            <w:r>
              <w:rPr>
                <w:rFonts w:hint="eastAsia" w:ascii="仿宋" w:hAnsi="仿宋" w:eastAsia="仿宋" w:cs="仿宋"/>
                <w:kern w:val="0"/>
                <w:sz w:val="24"/>
                <w:szCs w:val="24"/>
                <w:lang w:val="en-US" w:eastAsia="zh-CN"/>
              </w:rPr>
              <w:t>20</w:t>
            </w:r>
            <w:r>
              <w:rPr>
                <w:rFonts w:hint="eastAsia" w:ascii="仿宋" w:hAnsi="仿宋" w:eastAsia="仿宋" w:cs="仿宋"/>
                <w:kern w:val="0"/>
                <w:sz w:val="24"/>
                <w:szCs w:val="24"/>
              </w:rPr>
              <w:t>天</w:t>
            </w:r>
          </w:p>
        </w:tc>
        <w:tc>
          <w:tcPr>
            <w:tcW w:w="1359" w:type="dxa"/>
            <w:vAlign w:val="center"/>
          </w:tcPr>
          <w:p>
            <w:pPr>
              <w:pStyle w:val="3"/>
              <w:ind w:left="0"/>
              <w:jc w:val="left"/>
              <w:rPr>
                <w:rFonts w:ascii="仿宋" w:hAnsi="仿宋" w:eastAsia="仿宋"/>
                <w:sz w:val="28"/>
                <w:szCs w:val="28"/>
              </w:rPr>
            </w:pPr>
          </w:p>
        </w:tc>
      </w:tr>
    </w:tbl>
    <w:p>
      <w:pPr>
        <w:numPr>
          <w:ilvl w:val="0"/>
          <w:numId w:val="0"/>
        </w:numPr>
        <w:spacing w:line="460" w:lineRule="exact"/>
        <w:rPr>
          <w:rFonts w:hint="eastAsia" w:ascii="仿宋_GB2312" w:hAnsi="仿宋" w:eastAsia="仿宋_GB2312" w:cs="Times New Roman"/>
          <w:color w:val="000000"/>
          <w:sz w:val="32"/>
          <w:szCs w:val="32"/>
        </w:rPr>
      </w:pPr>
      <w:r>
        <w:rPr>
          <w:rFonts w:hint="eastAsia" w:ascii="仿宋_GB2312" w:hAnsi="仿宋" w:eastAsia="仿宋_GB2312" w:cs="Times New Roman"/>
          <w:color w:val="000000"/>
          <w:sz w:val="32"/>
          <w:szCs w:val="32"/>
          <w:lang w:eastAsia="zh-CN"/>
        </w:rPr>
        <w:t>（</w:t>
      </w:r>
      <w:r>
        <w:rPr>
          <w:rFonts w:hint="eastAsia" w:ascii="仿宋_GB2312" w:hAnsi="仿宋" w:eastAsia="仿宋_GB2312" w:cs="Times New Roman"/>
          <w:color w:val="000000"/>
          <w:sz w:val="28"/>
          <w:szCs w:val="28"/>
          <w:lang w:val="en-US" w:eastAsia="zh-CN"/>
        </w:rPr>
        <w:t>二</w:t>
      </w:r>
      <w:r>
        <w:rPr>
          <w:rFonts w:hint="eastAsia" w:ascii="仿宋_GB2312" w:hAnsi="仿宋" w:eastAsia="仿宋_GB2312" w:cs="Times New Roman"/>
          <w:color w:val="000000"/>
          <w:sz w:val="28"/>
          <w:szCs w:val="28"/>
          <w:lang w:eastAsia="zh-CN"/>
        </w:rPr>
        <w:t>）</w:t>
      </w:r>
      <w:r>
        <w:rPr>
          <w:rFonts w:hint="eastAsia" w:ascii="仿宋_GB2312" w:hAnsi="仿宋" w:eastAsia="仿宋_GB2312" w:cs="Times New Roman"/>
          <w:color w:val="000000"/>
          <w:sz w:val="28"/>
          <w:szCs w:val="28"/>
        </w:rPr>
        <w:t>项目基本情况及服务内容</w:t>
      </w:r>
    </w:p>
    <w:p>
      <w:pPr>
        <w:widowControl/>
        <w:ind w:left="1199" w:leftChars="114" w:hanging="960" w:hangingChars="400"/>
        <w:jc w:val="left"/>
        <w:rPr>
          <w:rFonts w:hint="default"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1.</w:t>
      </w:r>
      <w:r>
        <w:rPr>
          <w:rFonts w:hint="eastAsia" w:ascii="仿宋" w:hAnsi="仿宋" w:eastAsia="仿宋" w:cs="仿宋"/>
          <w:kern w:val="0"/>
          <w:sz w:val="24"/>
          <w:szCs w:val="24"/>
        </w:rPr>
        <w:t>项目地点：</w:t>
      </w:r>
      <w:r>
        <w:rPr>
          <w:rFonts w:hint="eastAsia" w:ascii="仿宋" w:hAnsi="仿宋" w:eastAsia="仿宋" w:cs="仿宋"/>
          <w:kern w:val="0"/>
          <w:sz w:val="24"/>
          <w:szCs w:val="24"/>
          <w:lang w:val="en-US" w:eastAsia="zh-CN"/>
        </w:rPr>
        <w:t>克拉玛依市平安幼儿园</w:t>
      </w:r>
    </w:p>
    <w:p>
      <w:pPr>
        <w:numPr>
          <w:ilvl w:val="0"/>
          <w:numId w:val="0"/>
        </w:numPr>
        <w:spacing w:line="240" w:lineRule="auto"/>
        <w:ind w:left="479" w:leftChars="114" w:hanging="240" w:hangingChars="1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lang w:val="en-US" w:eastAsia="zh-CN"/>
        </w:rPr>
        <w:t>2.</w:t>
      </w:r>
      <w:r>
        <w:rPr>
          <w:rFonts w:hint="eastAsia" w:ascii="仿宋" w:hAnsi="仿宋" w:eastAsia="仿宋" w:cs="仿宋"/>
          <w:kern w:val="0"/>
          <w:sz w:val="24"/>
          <w:szCs w:val="24"/>
          <w:highlight w:val="none"/>
        </w:rPr>
        <w:t>项目内容：</w:t>
      </w:r>
    </w:p>
    <w:p>
      <w:pPr>
        <w:numPr>
          <w:ilvl w:val="0"/>
          <w:numId w:val="0"/>
        </w:numPr>
        <w:spacing w:line="240" w:lineRule="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 xml:space="preserve">  （1）拆除原有大门及大门周边与本次安装无关的原有实施设备。</w:t>
      </w:r>
    </w:p>
    <w:p>
      <w:pPr>
        <w:numPr>
          <w:ilvl w:val="0"/>
          <w:numId w:val="0"/>
        </w:numPr>
        <w:spacing w:line="240" w:lineRule="auto"/>
        <w:ind w:firstLine="240" w:firstLineChars="100"/>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（2）人工开挖800*800*1000基础，C30混凝土浇筑并放好预埋件</w:t>
      </w:r>
    </w:p>
    <w:p>
      <w:pPr>
        <w:numPr>
          <w:ilvl w:val="0"/>
          <w:numId w:val="0"/>
        </w:numPr>
        <w:spacing w:line="240" w:lineRule="auto"/>
        <w:ind w:firstLine="240" w:firstLineChars="100"/>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更换悬浮大门一套长度15M，抗风系数、</w:t>
      </w:r>
    </w:p>
    <w:p>
      <w:pPr>
        <w:numPr>
          <w:ilvl w:val="0"/>
          <w:numId w:val="0"/>
        </w:numPr>
        <w:spacing w:line="240" w:lineRule="auto"/>
        <w:ind w:firstLine="240" w:firstLineChars="100"/>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（4）悬浮门完全打开后，门柱后15场地需要平整硬化后加装防护栏，防护栏材质不锈钢，间距10CM。</w:t>
      </w:r>
    </w:p>
    <w:p>
      <w:pPr>
        <w:numPr>
          <w:ilvl w:val="0"/>
          <w:numId w:val="0"/>
        </w:numPr>
        <w:spacing w:line="240" w:lineRule="auto"/>
        <w:ind w:firstLine="240" w:firstLineChars="100"/>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val="en-US" w:eastAsia="zh-CN"/>
        </w:rPr>
        <w:t>(5)</w:t>
      </w:r>
      <w:r>
        <w:rPr>
          <w:rFonts w:hint="eastAsia" w:ascii="仿宋" w:hAnsi="仿宋" w:eastAsia="仿宋" w:cs="仿宋"/>
          <w:sz w:val="24"/>
          <w:szCs w:val="24"/>
          <w:highlight w:val="none"/>
          <w:lang w:eastAsia="zh-CN"/>
        </w:rPr>
        <w:t>每日施工垃圾必须日清，一次不清罚款500元，垃圾必须装袋扎好口后运去施工区域，在运送垃圾或施工设备材料时应注意保护好电梯将电梯进行措施性保护如有损坏由中标方负全部维修责任。</w:t>
      </w:r>
    </w:p>
    <w:p>
      <w:pPr>
        <w:widowControl/>
        <w:ind w:firstLine="240" w:firstLineChars="100"/>
        <w:jc w:val="left"/>
        <w:rPr>
          <w:rFonts w:hint="default" w:ascii="仿宋" w:hAnsi="仿宋" w:eastAsia="仿宋" w:cs="仿宋"/>
          <w:sz w:val="24"/>
          <w:szCs w:val="24"/>
          <w:lang w:val="en-US" w:eastAsia="zh-CN"/>
        </w:rPr>
      </w:pPr>
      <w:r>
        <w:rPr>
          <w:rFonts w:hint="eastAsia" w:ascii="仿宋" w:hAnsi="仿宋" w:eastAsia="仿宋" w:cs="仿宋"/>
          <w:kern w:val="0"/>
          <w:sz w:val="24"/>
          <w:szCs w:val="24"/>
          <w:lang w:val="en-US" w:eastAsia="zh-CN"/>
        </w:rPr>
        <w:t>(6)</w:t>
      </w:r>
      <w:r>
        <w:rPr>
          <w:rFonts w:hint="eastAsia" w:ascii="仿宋" w:hAnsi="仿宋" w:eastAsia="仿宋" w:cs="仿宋"/>
          <w:kern w:val="0"/>
          <w:sz w:val="24"/>
          <w:szCs w:val="24"/>
          <w:lang w:eastAsia="zh-CN"/>
        </w:rPr>
        <w:t>施工时间</w:t>
      </w:r>
      <w:r>
        <w:rPr>
          <w:rFonts w:hint="eastAsia" w:ascii="仿宋" w:hAnsi="仿宋" w:eastAsia="仿宋" w:cs="仿宋"/>
          <w:kern w:val="0"/>
          <w:sz w:val="24"/>
          <w:szCs w:val="24"/>
          <w:lang w:val="en-US" w:eastAsia="zh-CN"/>
        </w:rPr>
        <w:t>周六、周日</w:t>
      </w:r>
      <w:r>
        <w:rPr>
          <w:rFonts w:hint="eastAsia" w:ascii="仿宋" w:hAnsi="仿宋" w:eastAsia="仿宋" w:cs="仿宋"/>
          <w:kern w:val="0"/>
          <w:sz w:val="24"/>
          <w:szCs w:val="24"/>
          <w:lang w:eastAsia="zh-CN"/>
        </w:rPr>
        <w:t>上午</w:t>
      </w:r>
      <w:r>
        <w:rPr>
          <w:rFonts w:hint="eastAsia" w:ascii="仿宋" w:hAnsi="仿宋" w:eastAsia="仿宋" w:cs="仿宋"/>
          <w:kern w:val="0"/>
          <w:sz w:val="24"/>
          <w:szCs w:val="24"/>
          <w:lang w:val="en-US" w:eastAsia="zh-CN"/>
        </w:rPr>
        <w:t>9</w:t>
      </w:r>
      <w:r>
        <w:rPr>
          <w:rFonts w:hint="eastAsia" w:ascii="仿宋" w:hAnsi="仿宋" w:eastAsia="仿宋" w:cs="仿宋"/>
          <w:kern w:val="0"/>
          <w:sz w:val="24"/>
          <w:szCs w:val="24"/>
          <w:lang w:eastAsia="zh-CN"/>
        </w:rPr>
        <w:t>点至中午13点，下午16点至下午20点；</w:t>
      </w:r>
    </w:p>
    <w:p>
      <w:pPr>
        <w:widowControl/>
        <w:ind w:firstLine="240" w:firstLineChars="100"/>
        <w:jc w:val="left"/>
        <w:rPr>
          <w:rFonts w:hint="eastAsia" w:ascii="仿宋" w:hAnsi="仿宋" w:eastAsia="仿宋" w:cs="仿宋"/>
          <w:kern w:val="0"/>
          <w:sz w:val="24"/>
          <w:szCs w:val="24"/>
          <w:lang w:eastAsia="zh-CN"/>
        </w:rPr>
      </w:pPr>
      <w:r>
        <w:rPr>
          <w:rFonts w:hint="eastAsia" w:ascii="仿宋" w:hAnsi="仿宋" w:eastAsia="仿宋" w:cs="仿宋"/>
          <w:kern w:val="0"/>
          <w:sz w:val="24"/>
          <w:szCs w:val="24"/>
          <w:lang w:val="en-US" w:eastAsia="zh-CN"/>
        </w:rPr>
        <w:t>(7)</w:t>
      </w:r>
      <w:r>
        <w:rPr>
          <w:rFonts w:hint="eastAsia" w:ascii="仿宋" w:hAnsi="仿宋" w:eastAsia="仿宋" w:cs="仿宋"/>
          <w:kern w:val="0"/>
          <w:sz w:val="24"/>
          <w:szCs w:val="24"/>
          <w:lang w:eastAsia="zh-CN"/>
        </w:rPr>
        <w:t>拆除</w:t>
      </w:r>
      <w:r>
        <w:rPr>
          <w:rFonts w:hint="eastAsia" w:ascii="仿宋" w:hAnsi="仿宋" w:eastAsia="仿宋" w:cs="仿宋"/>
          <w:kern w:val="0"/>
          <w:sz w:val="24"/>
          <w:szCs w:val="24"/>
          <w:lang w:val="en-US" w:eastAsia="zh-CN"/>
        </w:rPr>
        <w:t>彩砖</w:t>
      </w:r>
      <w:r>
        <w:rPr>
          <w:rFonts w:hint="eastAsia" w:ascii="仿宋" w:hAnsi="仿宋" w:eastAsia="仿宋" w:cs="仿宋"/>
          <w:kern w:val="0"/>
          <w:sz w:val="24"/>
          <w:szCs w:val="24"/>
          <w:lang w:eastAsia="zh-CN"/>
        </w:rPr>
        <w:t>及固定设施时不能进行暴力强拆注意施工方式方法，每日做好施工降尘防尘工作；</w:t>
      </w:r>
    </w:p>
    <w:p>
      <w:pPr>
        <w:widowControl/>
        <w:jc w:val="left"/>
        <w:rPr>
          <w:rFonts w:hint="eastAsia" w:ascii="仿宋" w:hAnsi="仿宋" w:eastAsia="仿宋" w:cs="仿宋"/>
          <w:b/>
          <w:bCs/>
          <w:color w:val="auto"/>
          <w:sz w:val="24"/>
          <w:szCs w:val="24"/>
          <w:u w:val="none"/>
          <w:lang w:val="en-US" w:eastAsia="zh-CN"/>
        </w:rPr>
      </w:pPr>
    </w:p>
    <w:p>
      <w:pPr>
        <w:numPr>
          <w:ilvl w:val="0"/>
          <w:numId w:val="0"/>
        </w:numPr>
        <w:spacing w:line="460" w:lineRule="exact"/>
        <w:rPr>
          <w:rFonts w:hint="eastAsia" w:ascii="仿宋" w:hAnsi="仿宋" w:eastAsia="仿宋" w:cs="仿宋"/>
          <w:b/>
          <w:bCs/>
          <w:color w:val="000000"/>
          <w:sz w:val="28"/>
          <w:szCs w:val="28"/>
        </w:rPr>
      </w:pPr>
      <w:r>
        <w:rPr>
          <w:rFonts w:hint="eastAsia" w:ascii="仿宋" w:hAnsi="仿宋" w:eastAsia="仿宋" w:cs="仿宋"/>
          <w:b/>
          <w:bCs/>
          <w:color w:val="000000"/>
          <w:sz w:val="28"/>
          <w:szCs w:val="28"/>
          <w:lang w:eastAsia="zh-CN"/>
        </w:rPr>
        <w:t>（</w:t>
      </w:r>
      <w:r>
        <w:rPr>
          <w:rFonts w:hint="eastAsia" w:ascii="仿宋" w:hAnsi="仿宋" w:eastAsia="仿宋" w:cs="仿宋"/>
          <w:b/>
          <w:bCs/>
          <w:color w:val="000000"/>
          <w:sz w:val="28"/>
          <w:szCs w:val="28"/>
          <w:lang w:val="en-US" w:eastAsia="zh-CN"/>
        </w:rPr>
        <w:t>三</w:t>
      </w:r>
      <w:r>
        <w:rPr>
          <w:rFonts w:hint="eastAsia" w:ascii="仿宋" w:hAnsi="仿宋" w:eastAsia="仿宋" w:cs="仿宋"/>
          <w:b/>
          <w:bCs/>
          <w:color w:val="000000"/>
          <w:sz w:val="28"/>
          <w:szCs w:val="28"/>
          <w:lang w:eastAsia="zh-CN"/>
        </w:rPr>
        <w:t>）</w:t>
      </w:r>
      <w:r>
        <w:rPr>
          <w:rFonts w:hint="eastAsia" w:ascii="仿宋" w:hAnsi="仿宋" w:eastAsia="仿宋" w:cs="仿宋"/>
          <w:b/>
          <w:bCs/>
          <w:color w:val="000000"/>
          <w:sz w:val="28"/>
          <w:szCs w:val="28"/>
        </w:rPr>
        <w:t>服务标准及考核办法</w:t>
      </w:r>
    </w:p>
    <w:p>
      <w:pPr>
        <w:numPr>
          <w:ilvl w:val="0"/>
          <w:numId w:val="0"/>
        </w:numPr>
        <w:spacing w:line="460" w:lineRule="exact"/>
        <w:rPr>
          <w:rFonts w:hint="eastAsia" w:ascii="仿宋" w:hAnsi="仿宋" w:eastAsia="仿宋" w:cs="仿宋"/>
          <w:color w:val="000000"/>
          <w:sz w:val="24"/>
          <w:szCs w:val="24"/>
        </w:rPr>
      </w:pPr>
      <w:r>
        <w:rPr>
          <w:rFonts w:hint="eastAsia" w:ascii="仿宋" w:hAnsi="仿宋" w:eastAsia="仿宋" w:cs="仿宋"/>
          <w:b w:val="0"/>
          <w:bCs w:val="0"/>
          <w:color w:val="000000"/>
          <w:sz w:val="24"/>
          <w:szCs w:val="24"/>
          <w:lang w:val="en-US" w:eastAsia="zh-CN"/>
        </w:rPr>
        <w:t>1</w:t>
      </w:r>
      <w:r>
        <w:rPr>
          <w:rFonts w:hint="eastAsia" w:ascii="仿宋" w:hAnsi="仿宋" w:eastAsia="仿宋" w:cs="仿宋"/>
          <w:b/>
          <w:bCs/>
          <w:color w:val="000000"/>
          <w:sz w:val="24"/>
          <w:szCs w:val="24"/>
          <w:lang w:val="en-US" w:eastAsia="zh-CN"/>
        </w:rPr>
        <w:t>.</w:t>
      </w:r>
      <w:r>
        <w:rPr>
          <w:rFonts w:hint="eastAsia" w:ascii="仿宋" w:hAnsi="仿宋" w:eastAsia="仿宋" w:cs="仿宋"/>
          <w:b/>
          <w:bCs/>
          <w:color w:val="000000"/>
          <w:sz w:val="24"/>
          <w:szCs w:val="24"/>
        </w:rPr>
        <w:t>响应时间：</w:t>
      </w:r>
      <w:r>
        <w:rPr>
          <w:rFonts w:hint="eastAsia" w:ascii="仿宋" w:hAnsi="仿宋" w:eastAsia="仿宋" w:cs="仿宋"/>
          <w:color w:val="000000"/>
          <w:sz w:val="24"/>
          <w:szCs w:val="24"/>
        </w:rPr>
        <w:t>质保期内，施工单位在接到维修通知后，20分钟内必须到达现场，进行紧急处理。</w:t>
      </w:r>
    </w:p>
    <w:p>
      <w:pPr>
        <w:numPr>
          <w:ilvl w:val="0"/>
          <w:numId w:val="0"/>
        </w:numPr>
        <w:spacing w:line="460" w:lineRule="exact"/>
        <w:rPr>
          <w:rFonts w:hint="eastAsia" w:ascii="仿宋" w:hAnsi="仿宋" w:eastAsia="仿宋" w:cs="仿宋"/>
          <w:b/>
          <w:bCs/>
          <w:color w:val="000000"/>
          <w:sz w:val="24"/>
          <w:szCs w:val="24"/>
        </w:rPr>
      </w:pPr>
      <w:r>
        <w:rPr>
          <w:rFonts w:hint="eastAsia" w:ascii="仿宋" w:hAnsi="仿宋" w:eastAsia="仿宋" w:cs="仿宋"/>
          <w:b/>
          <w:bCs/>
          <w:color w:val="000000"/>
          <w:sz w:val="24"/>
          <w:szCs w:val="24"/>
          <w:lang w:val="en-US" w:eastAsia="zh-CN"/>
        </w:rPr>
        <w:t>2.</w:t>
      </w:r>
      <w:r>
        <w:rPr>
          <w:rFonts w:hint="eastAsia" w:ascii="仿宋" w:hAnsi="仿宋" w:eastAsia="仿宋" w:cs="仿宋"/>
          <w:b/>
          <w:bCs/>
          <w:color w:val="000000"/>
          <w:sz w:val="24"/>
          <w:szCs w:val="24"/>
        </w:rPr>
        <w:t>施工安全：</w:t>
      </w:r>
    </w:p>
    <w:p>
      <w:pPr>
        <w:numPr>
          <w:ilvl w:val="0"/>
          <w:numId w:val="0"/>
        </w:numPr>
        <w:spacing w:line="460" w:lineRule="exact"/>
        <w:rPr>
          <w:rFonts w:hint="eastAsia" w:ascii="仿宋" w:hAnsi="仿宋" w:eastAsia="仿宋" w:cs="仿宋"/>
          <w:color w:val="000000"/>
          <w:sz w:val="24"/>
          <w:szCs w:val="24"/>
        </w:rPr>
      </w:pPr>
      <w:r>
        <w:rPr>
          <w:rFonts w:hint="eastAsia" w:ascii="仿宋" w:hAnsi="仿宋" w:eastAsia="仿宋" w:cs="仿宋"/>
          <w:color w:val="000000"/>
          <w:sz w:val="24"/>
          <w:szCs w:val="24"/>
          <w:lang w:eastAsia="zh-CN"/>
        </w:rPr>
        <w:t>（</w:t>
      </w:r>
      <w:r>
        <w:rPr>
          <w:rFonts w:hint="eastAsia" w:ascii="仿宋" w:hAnsi="仿宋" w:eastAsia="仿宋" w:cs="仿宋"/>
          <w:color w:val="000000"/>
          <w:sz w:val="24"/>
          <w:szCs w:val="24"/>
          <w:lang w:val="en-US" w:eastAsia="zh-CN"/>
        </w:rPr>
        <w:t>1</w:t>
      </w:r>
      <w:r>
        <w:rPr>
          <w:rFonts w:hint="eastAsia" w:ascii="仿宋" w:hAnsi="仿宋" w:eastAsia="仿宋" w:cs="仿宋"/>
          <w:color w:val="000000"/>
          <w:sz w:val="24"/>
          <w:szCs w:val="24"/>
          <w:lang w:eastAsia="zh-CN"/>
        </w:rPr>
        <w:t>）</w:t>
      </w:r>
      <w:r>
        <w:rPr>
          <w:rFonts w:hint="eastAsia" w:ascii="仿宋" w:hAnsi="仿宋" w:eastAsia="仿宋" w:cs="仿宋"/>
          <w:color w:val="000000"/>
          <w:sz w:val="24"/>
          <w:szCs w:val="24"/>
          <w:lang w:val="en-US" w:eastAsia="zh-CN"/>
        </w:rPr>
        <w:t>幼儿园</w:t>
      </w:r>
      <w:r>
        <w:rPr>
          <w:rFonts w:hint="eastAsia" w:ascii="仿宋" w:hAnsi="仿宋" w:eastAsia="仿宋" w:cs="仿宋"/>
          <w:color w:val="000000"/>
          <w:sz w:val="24"/>
          <w:szCs w:val="24"/>
        </w:rPr>
        <w:t>范围内进行的改造、装修等施工项目，工程的设计，建筑材料的选用，施工组织方案，消防措施等须报医院后勤保障部基建办批准后，方可施工。</w:t>
      </w:r>
    </w:p>
    <w:p>
      <w:pPr>
        <w:numPr>
          <w:ilvl w:val="0"/>
          <w:numId w:val="0"/>
        </w:numPr>
        <w:spacing w:line="460" w:lineRule="exact"/>
        <w:rPr>
          <w:rFonts w:hint="eastAsia" w:ascii="仿宋" w:hAnsi="仿宋" w:eastAsia="仿宋" w:cs="仿宋"/>
          <w:color w:val="000000"/>
          <w:sz w:val="24"/>
          <w:szCs w:val="24"/>
        </w:rPr>
      </w:pPr>
      <w:r>
        <w:rPr>
          <w:rFonts w:hint="eastAsia" w:ascii="仿宋" w:hAnsi="仿宋" w:eastAsia="仿宋" w:cs="仿宋"/>
          <w:color w:val="000000"/>
          <w:sz w:val="24"/>
          <w:szCs w:val="24"/>
          <w:lang w:eastAsia="zh-CN"/>
        </w:rPr>
        <w:t>（</w:t>
      </w:r>
      <w:r>
        <w:rPr>
          <w:rFonts w:hint="eastAsia" w:ascii="仿宋" w:hAnsi="仿宋" w:eastAsia="仿宋" w:cs="仿宋"/>
          <w:color w:val="000000"/>
          <w:sz w:val="24"/>
          <w:szCs w:val="24"/>
          <w:lang w:val="en-US" w:eastAsia="zh-CN"/>
        </w:rPr>
        <w:t>2</w:t>
      </w:r>
      <w:r>
        <w:rPr>
          <w:rFonts w:hint="eastAsia" w:ascii="仿宋" w:hAnsi="仿宋" w:eastAsia="仿宋" w:cs="仿宋"/>
          <w:color w:val="000000"/>
          <w:sz w:val="24"/>
          <w:szCs w:val="24"/>
          <w:lang w:eastAsia="zh-CN"/>
        </w:rPr>
        <w:t>）</w:t>
      </w:r>
      <w:r>
        <w:rPr>
          <w:rFonts w:hint="eastAsia" w:ascii="仿宋" w:hAnsi="仿宋" w:eastAsia="仿宋" w:cs="仿宋"/>
          <w:color w:val="000000"/>
          <w:sz w:val="24"/>
          <w:szCs w:val="24"/>
        </w:rPr>
        <w:t>施工单位进场施工之前，必须与医院签定消防安全责任书，施工现场的消防安全，由施工单位负主体责任，</w:t>
      </w:r>
      <w:r>
        <w:rPr>
          <w:rFonts w:hint="eastAsia" w:ascii="仿宋" w:hAnsi="仿宋" w:eastAsia="仿宋" w:cs="仿宋"/>
          <w:color w:val="000000"/>
          <w:sz w:val="24"/>
          <w:szCs w:val="24"/>
          <w:lang w:val="en-US" w:eastAsia="zh-CN"/>
        </w:rPr>
        <w:t>幼儿园后勤</w:t>
      </w:r>
      <w:r>
        <w:rPr>
          <w:rFonts w:hint="eastAsia" w:ascii="仿宋" w:hAnsi="仿宋" w:eastAsia="仿宋" w:cs="仿宋"/>
          <w:color w:val="000000"/>
          <w:sz w:val="24"/>
          <w:szCs w:val="24"/>
        </w:rPr>
        <w:t>部门负责日常管理，</w:t>
      </w:r>
      <w:r>
        <w:rPr>
          <w:rFonts w:hint="eastAsia" w:ascii="仿宋" w:hAnsi="仿宋" w:eastAsia="仿宋" w:cs="仿宋"/>
          <w:color w:val="000000"/>
          <w:sz w:val="24"/>
          <w:szCs w:val="24"/>
          <w:lang w:val="en-US" w:eastAsia="zh-CN"/>
        </w:rPr>
        <w:t>幼儿园</w:t>
      </w:r>
      <w:r>
        <w:rPr>
          <w:rFonts w:hint="eastAsia" w:ascii="仿宋" w:hAnsi="仿宋" w:eastAsia="仿宋" w:cs="仿宋"/>
          <w:color w:val="000000"/>
          <w:sz w:val="24"/>
          <w:szCs w:val="24"/>
        </w:rPr>
        <w:t>安全保卫科对施工现场消防安全工作进行督导。</w:t>
      </w:r>
    </w:p>
    <w:p>
      <w:pPr>
        <w:numPr>
          <w:ilvl w:val="0"/>
          <w:numId w:val="0"/>
        </w:numPr>
        <w:spacing w:line="460" w:lineRule="exact"/>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（3）</w:t>
      </w:r>
      <w:r>
        <w:rPr>
          <w:rFonts w:hint="eastAsia" w:ascii="仿宋" w:hAnsi="仿宋" w:eastAsia="仿宋" w:cs="仿宋"/>
          <w:color w:val="000000"/>
          <w:sz w:val="24"/>
          <w:szCs w:val="24"/>
        </w:rPr>
        <w:t>施工单位进场施工时，必须先到</w:t>
      </w:r>
      <w:r>
        <w:rPr>
          <w:rFonts w:hint="eastAsia" w:ascii="仿宋" w:hAnsi="仿宋" w:eastAsia="仿宋" w:cs="仿宋"/>
          <w:color w:val="000000"/>
          <w:sz w:val="24"/>
          <w:szCs w:val="24"/>
          <w:lang w:val="en-US" w:eastAsia="zh-CN"/>
        </w:rPr>
        <w:t>幼儿园</w:t>
      </w:r>
      <w:r>
        <w:rPr>
          <w:rFonts w:hint="eastAsia" w:ascii="仿宋" w:hAnsi="仿宋" w:eastAsia="仿宋" w:cs="仿宋"/>
          <w:color w:val="000000"/>
          <w:sz w:val="24"/>
          <w:szCs w:val="24"/>
        </w:rPr>
        <w:t>安全保卫科办理进场施工登记。施工方必须确定一名施工现场负责人，全面负责施工现场的施工安全工作，必须做好施工区域的安全防护，避免施工过程中造成毗邻居民生活区安全隐患。</w:t>
      </w:r>
    </w:p>
    <w:p>
      <w:pPr>
        <w:numPr>
          <w:ilvl w:val="0"/>
          <w:numId w:val="0"/>
        </w:numPr>
        <w:spacing w:line="460" w:lineRule="exact"/>
        <w:rPr>
          <w:rFonts w:hint="eastAsia" w:ascii="仿宋" w:hAnsi="仿宋" w:eastAsia="仿宋" w:cs="仿宋"/>
          <w:color w:val="000000"/>
          <w:sz w:val="24"/>
          <w:szCs w:val="24"/>
        </w:rPr>
      </w:pPr>
      <w:r>
        <w:rPr>
          <w:rFonts w:hint="eastAsia" w:ascii="仿宋" w:hAnsi="仿宋" w:eastAsia="仿宋" w:cs="仿宋"/>
          <w:color w:val="000000"/>
          <w:sz w:val="24"/>
          <w:szCs w:val="24"/>
          <w:lang w:eastAsia="zh-CN"/>
        </w:rPr>
        <w:t>（</w:t>
      </w:r>
      <w:r>
        <w:rPr>
          <w:rFonts w:hint="eastAsia" w:ascii="仿宋" w:hAnsi="仿宋" w:eastAsia="仿宋" w:cs="仿宋"/>
          <w:color w:val="000000"/>
          <w:sz w:val="24"/>
          <w:szCs w:val="24"/>
          <w:lang w:val="en-US" w:eastAsia="zh-CN"/>
        </w:rPr>
        <w:t>4</w:t>
      </w:r>
      <w:r>
        <w:rPr>
          <w:rFonts w:hint="eastAsia" w:ascii="仿宋" w:hAnsi="仿宋" w:eastAsia="仿宋" w:cs="仿宋"/>
          <w:color w:val="000000"/>
          <w:sz w:val="24"/>
          <w:szCs w:val="24"/>
          <w:lang w:eastAsia="zh-CN"/>
        </w:rPr>
        <w:t>）</w:t>
      </w:r>
      <w:r>
        <w:rPr>
          <w:rFonts w:hint="eastAsia" w:ascii="仿宋" w:hAnsi="仿宋" w:eastAsia="仿宋" w:cs="仿宋"/>
          <w:color w:val="000000"/>
          <w:sz w:val="24"/>
          <w:szCs w:val="24"/>
        </w:rPr>
        <w:t>施工中使用的电器设备必须符合消防安全，严格防火措施，禁止违章作业，临时用电必须经过安全保卫科、后勤保障部基建办同意，在电工协助下接电源，施工打开的电缆孔洞须及时进行防火封堵。</w:t>
      </w:r>
    </w:p>
    <w:p>
      <w:pPr>
        <w:numPr>
          <w:ilvl w:val="0"/>
          <w:numId w:val="0"/>
        </w:numPr>
        <w:spacing w:line="460" w:lineRule="exact"/>
        <w:rPr>
          <w:rFonts w:hint="eastAsia" w:ascii="仿宋" w:hAnsi="仿宋" w:eastAsia="仿宋" w:cs="仿宋"/>
          <w:color w:val="000000"/>
          <w:sz w:val="24"/>
          <w:szCs w:val="24"/>
        </w:rPr>
      </w:pPr>
      <w:r>
        <w:rPr>
          <w:rFonts w:hint="eastAsia" w:ascii="仿宋" w:hAnsi="仿宋" w:eastAsia="仿宋" w:cs="仿宋"/>
          <w:color w:val="000000"/>
          <w:sz w:val="24"/>
          <w:szCs w:val="24"/>
          <w:lang w:eastAsia="zh-CN"/>
        </w:rPr>
        <w:t>（</w:t>
      </w:r>
      <w:r>
        <w:rPr>
          <w:rFonts w:hint="eastAsia" w:ascii="仿宋" w:hAnsi="仿宋" w:eastAsia="仿宋" w:cs="仿宋"/>
          <w:color w:val="000000"/>
          <w:sz w:val="24"/>
          <w:szCs w:val="24"/>
          <w:lang w:val="en-US" w:eastAsia="zh-CN"/>
        </w:rPr>
        <w:t>5</w:t>
      </w:r>
      <w:r>
        <w:rPr>
          <w:rFonts w:hint="eastAsia" w:ascii="仿宋" w:hAnsi="仿宋" w:eastAsia="仿宋" w:cs="仿宋"/>
          <w:color w:val="000000"/>
          <w:sz w:val="24"/>
          <w:szCs w:val="24"/>
          <w:lang w:eastAsia="zh-CN"/>
        </w:rPr>
        <w:t>）</w:t>
      </w:r>
      <w:r>
        <w:rPr>
          <w:rFonts w:hint="eastAsia" w:ascii="仿宋" w:hAnsi="仿宋" w:eastAsia="仿宋" w:cs="仿宋"/>
          <w:color w:val="000000"/>
          <w:sz w:val="24"/>
          <w:szCs w:val="24"/>
        </w:rPr>
        <w:t>施工中不准大面积使用脱漆剂等易燃液体，尽可能避免现场进行喷漆作业。如必须在现场喷漆时，要有良好的通风和防止明火的措施。不得将易燃易爆物品存放在施工现场内，施工中必须使用的易燃易爆化学物品，应限当日施工用量带入施工区域，禁止在作业场所分装、调料。</w:t>
      </w:r>
    </w:p>
    <w:p>
      <w:pPr>
        <w:numPr>
          <w:ilvl w:val="0"/>
          <w:numId w:val="0"/>
        </w:numPr>
        <w:spacing w:line="460" w:lineRule="exact"/>
        <w:rPr>
          <w:rFonts w:hint="eastAsia" w:ascii="仿宋" w:hAnsi="仿宋" w:eastAsia="仿宋" w:cs="仿宋"/>
          <w:color w:val="000000"/>
          <w:sz w:val="24"/>
          <w:szCs w:val="24"/>
        </w:rPr>
      </w:pPr>
      <w:r>
        <w:rPr>
          <w:rFonts w:hint="eastAsia" w:ascii="仿宋" w:hAnsi="仿宋" w:eastAsia="仿宋" w:cs="仿宋"/>
          <w:color w:val="000000"/>
          <w:sz w:val="24"/>
          <w:szCs w:val="24"/>
          <w:lang w:eastAsia="zh-CN"/>
        </w:rPr>
        <w:t>（</w:t>
      </w:r>
      <w:r>
        <w:rPr>
          <w:rFonts w:hint="eastAsia" w:ascii="仿宋" w:hAnsi="仿宋" w:eastAsia="仿宋" w:cs="仿宋"/>
          <w:color w:val="000000"/>
          <w:sz w:val="24"/>
          <w:szCs w:val="24"/>
          <w:lang w:val="en-US" w:eastAsia="zh-CN"/>
        </w:rPr>
        <w:t>6</w:t>
      </w:r>
      <w:r>
        <w:rPr>
          <w:rFonts w:hint="eastAsia" w:ascii="仿宋" w:hAnsi="仿宋" w:eastAsia="仿宋" w:cs="仿宋"/>
          <w:color w:val="000000"/>
          <w:sz w:val="24"/>
          <w:szCs w:val="24"/>
          <w:lang w:eastAsia="zh-CN"/>
        </w:rPr>
        <w:t>）</w:t>
      </w:r>
      <w:r>
        <w:rPr>
          <w:rFonts w:hint="eastAsia" w:ascii="仿宋" w:hAnsi="仿宋" w:eastAsia="仿宋" w:cs="仿宋"/>
          <w:color w:val="000000"/>
          <w:sz w:val="24"/>
          <w:szCs w:val="24"/>
        </w:rPr>
        <w:t>焊、割等动火作业必须经</w:t>
      </w:r>
      <w:r>
        <w:rPr>
          <w:rFonts w:hint="eastAsia" w:ascii="仿宋" w:hAnsi="仿宋" w:eastAsia="仿宋" w:cs="仿宋"/>
          <w:color w:val="000000"/>
          <w:sz w:val="24"/>
          <w:szCs w:val="24"/>
          <w:lang w:val="en-US" w:eastAsia="zh-CN"/>
        </w:rPr>
        <w:t>幼儿园</w:t>
      </w:r>
      <w:r>
        <w:rPr>
          <w:rFonts w:hint="eastAsia" w:ascii="仿宋" w:hAnsi="仿宋" w:eastAsia="仿宋" w:cs="仿宋"/>
          <w:color w:val="000000"/>
          <w:sz w:val="24"/>
          <w:szCs w:val="24"/>
        </w:rPr>
        <w:t>安全保卫科审批办证，氧气瓶、乙炔瓶、易燃易爆物品的距离应符合有关规定，并采取有效的安全隔离措施。</w:t>
      </w:r>
    </w:p>
    <w:p>
      <w:pPr>
        <w:numPr>
          <w:ilvl w:val="0"/>
          <w:numId w:val="0"/>
        </w:numPr>
        <w:spacing w:line="460" w:lineRule="exact"/>
        <w:rPr>
          <w:rFonts w:hint="eastAsia" w:ascii="仿宋" w:hAnsi="仿宋" w:eastAsia="仿宋" w:cs="仿宋"/>
          <w:color w:val="000000"/>
          <w:sz w:val="24"/>
          <w:szCs w:val="24"/>
        </w:rPr>
      </w:pPr>
      <w:r>
        <w:rPr>
          <w:rFonts w:hint="eastAsia" w:ascii="仿宋" w:hAnsi="仿宋" w:eastAsia="仿宋" w:cs="仿宋"/>
          <w:color w:val="000000"/>
          <w:sz w:val="24"/>
          <w:szCs w:val="24"/>
          <w:lang w:eastAsia="zh-CN"/>
        </w:rPr>
        <w:t>（</w:t>
      </w:r>
      <w:r>
        <w:rPr>
          <w:rFonts w:hint="eastAsia" w:ascii="仿宋" w:hAnsi="仿宋" w:eastAsia="仿宋" w:cs="仿宋"/>
          <w:color w:val="000000"/>
          <w:sz w:val="24"/>
          <w:szCs w:val="24"/>
          <w:lang w:val="en-US" w:eastAsia="zh-CN"/>
        </w:rPr>
        <w:t>7</w:t>
      </w:r>
      <w:r>
        <w:rPr>
          <w:rFonts w:hint="eastAsia" w:ascii="仿宋" w:hAnsi="仿宋" w:eastAsia="仿宋" w:cs="仿宋"/>
          <w:color w:val="000000"/>
          <w:sz w:val="24"/>
          <w:szCs w:val="24"/>
          <w:lang w:eastAsia="zh-CN"/>
        </w:rPr>
        <w:t>）</w:t>
      </w:r>
      <w:r>
        <w:rPr>
          <w:rFonts w:hint="eastAsia" w:ascii="仿宋" w:hAnsi="仿宋" w:eastAsia="仿宋" w:cs="仿宋"/>
          <w:color w:val="000000"/>
          <w:sz w:val="24"/>
          <w:szCs w:val="24"/>
        </w:rPr>
        <w:t>工程施工不得影响建筑消防设施，在施工前对各类消防监控探头进行防灰防尘保护，避免造成消防系统损坏和误报。</w:t>
      </w:r>
    </w:p>
    <w:p>
      <w:pPr>
        <w:numPr>
          <w:ilvl w:val="0"/>
          <w:numId w:val="0"/>
        </w:numPr>
        <w:spacing w:line="460" w:lineRule="exact"/>
        <w:rPr>
          <w:rFonts w:hint="eastAsia" w:ascii="仿宋" w:hAnsi="仿宋" w:eastAsia="仿宋" w:cs="仿宋"/>
          <w:color w:val="000000"/>
          <w:sz w:val="24"/>
          <w:szCs w:val="24"/>
        </w:rPr>
      </w:pPr>
      <w:r>
        <w:rPr>
          <w:rFonts w:hint="eastAsia" w:ascii="仿宋" w:hAnsi="仿宋" w:eastAsia="仿宋" w:cs="仿宋"/>
          <w:color w:val="000000"/>
          <w:sz w:val="24"/>
          <w:szCs w:val="24"/>
          <w:lang w:eastAsia="zh-CN"/>
        </w:rPr>
        <w:t>（</w:t>
      </w:r>
      <w:r>
        <w:rPr>
          <w:rFonts w:hint="eastAsia" w:ascii="仿宋" w:hAnsi="仿宋" w:eastAsia="仿宋" w:cs="仿宋"/>
          <w:color w:val="000000"/>
          <w:sz w:val="24"/>
          <w:szCs w:val="24"/>
          <w:lang w:val="en-US" w:eastAsia="zh-CN"/>
        </w:rPr>
        <w:t>8</w:t>
      </w:r>
      <w:r>
        <w:rPr>
          <w:rFonts w:hint="eastAsia" w:ascii="仿宋" w:hAnsi="仿宋" w:eastAsia="仿宋" w:cs="仿宋"/>
          <w:color w:val="000000"/>
          <w:sz w:val="24"/>
          <w:szCs w:val="24"/>
          <w:lang w:eastAsia="zh-CN"/>
        </w:rPr>
        <w:t>）</w:t>
      </w:r>
      <w:r>
        <w:rPr>
          <w:rFonts w:hint="eastAsia" w:ascii="仿宋" w:hAnsi="仿宋" w:eastAsia="仿宋" w:cs="仿宋"/>
          <w:color w:val="000000"/>
          <w:sz w:val="24"/>
          <w:szCs w:val="24"/>
        </w:rPr>
        <w:t>如果施工中有局部、短时间影响原有消防设施．设备的使用功能时，须事先制定详细施工计划和防护措施，报</w:t>
      </w:r>
      <w:r>
        <w:rPr>
          <w:rFonts w:hint="eastAsia" w:ascii="仿宋" w:hAnsi="仿宋" w:eastAsia="仿宋" w:cs="仿宋"/>
          <w:color w:val="000000"/>
          <w:sz w:val="24"/>
          <w:szCs w:val="24"/>
          <w:lang w:val="en-US" w:eastAsia="zh-CN"/>
        </w:rPr>
        <w:t>幼儿园</w:t>
      </w:r>
      <w:r>
        <w:rPr>
          <w:rFonts w:hint="eastAsia" w:ascii="仿宋" w:hAnsi="仿宋" w:eastAsia="仿宋" w:cs="仿宋"/>
          <w:color w:val="000000"/>
          <w:sz w:val="24"/>
          <w:szCs w:val="24"/>
        </w:rPr>
        <w:t>安全保卫科同意后方可施工操作。</w:t>
      </w:r>
    </w:p>
    <w:p>
      <w:pPr>
        <w:numPr>
          <w:ilvl w:val="0"/>
          <w:numId w:val="0"/>
        </w:numPr>
        <w:spacing w:line="460" w:lineRule="exact"/>
        <w:rPr>
          <w:rFonts w:hint="eastAsia" w:ascii="仿宋" w:hAnsi="仿宋" w:eastAsia="仿宋" w:cs="仿宋"/>
          <w:color w:val="000000"/>
          <w:sz w:val="24"/>
          <w:szCs w:val="24"/>
        </w:rPr>
      </w:pPr>
      <w:r>
        <w:rPr>
          <w:rFonts w:hint="eastAsia" w:ascii="仿宋" w:hAnsi="仿宋" w:eastAsia="仿宋" w:cs="仿宋"/>
          <w:color w:val="000000"/>
          <w:sz w:val="24"/>
          <w:szCs w:val="24"/>
          <w:lang w:eastAsia="zh-CN"/>
        </w:rPr>
        <w:t>（</w:t>
      </w:r>
      <w:r>
        <w:rPr>
          <w:rFonts w:hint="eastAsia" w:ascii="仿宋" w:hAnsi="仿宋" w:eastAsia="仿宋" w:cs="仿宋"/>
          <w:color w:val="000000"/>
          <w:sz w:val="24"/>
          <w:szCs w:val="24"/>
          <w:lang w:val="en-US" w:eastAsia="zh-CN"/>
        </w:rPr>
        <w:t>9</w:t>
      </w:r>
      <w:r>
        <w:rPr>
          <w:rFonts w:hint="eastAsia" w:ascii="仿宋" w:hAnsi="仿宋" w:eastAsia="仿宋" w:cs="仿宋"/>
          <w:color w:val="000000"/>
          <w:sz w:val="24"/>
          <w:szCs w:val="24"/>
          <w:lang w:eastAsia="zh-CN"/>
        </w:rPr>
        <w:t>）</w:t>
      </w:r>
      <w:r>
        <w:rPr>
          <w:rFonts w:hint="eastAsia" w:ascii="仿宋" w:hAnsi="仿宋" w:eastAsia="仿宋" w:cs="仿宋"/>
          <w:color w:val="000000"/>
          <w:sz w:val="24"/>
          <w:szCs w:val="24"/>
        </w:rPr>
        <w:t>施工的堆料临时存放指定地点，不得圈占消防设备及消防通道，不得堵塞走廊、楼梯和疏散通道，施工垃圾不得堆放在毗邻居民生活区，必须每日一清。</w:t>
      </w:r>
    </w:p>
    <w:p>
      <w:pPr>
        <w:numPr>
          <w:ilvl w:val="0"/>
          <w:numId w:val="0"/>
        </w:numPr>
        <w:spacing w:line="460" w:lineRule="exact"/>
        <w:rPr>
          <w:rFonts w:hint="eastAsia" w:ascii="仿宋" w:hAnsi="仿宋" w:eastAsia="仿宋" w:cs="仿宋"/>
          <w:color w:val="000000"/>
          <w:sz w:val="24"/>
          <w:szCs w:val="24"/>
        </w:rPr>
      </w:pPr>
      <w:r>
        <w:rPr>
          <w:rFonts w:hint="eastAsia" w:ascii="仿宋" w:hAnsi="仿宋" w:eastAsia="仿宋" w:cs="仿宋"/>
          <w:color w:val="000000"/>
          <w:sz w:val="24"/>
          <w:szCs w:val="24"/>
          <w:lang w:eastAsia="zh-CN"/>
        </w:rPr>
        <w:t>（</w:t>
      </w:r>
      <w:r>
        <w:rPr>
          <w:rFonts w:hint="eastAsia" w:ascii="仿宋" w:hAnsi="仿宋" w:eastAsia="仿宋" w:cs="仿宋"/>
          <w:color w:val="000000"/>
          <w:sz w:val="24"/>
          <w:szCs w:val="24"/>
          <w:lang w:val="en-US" w:eastAsia="zh-CN"/>
        </w:rPr>
        <w:t>10</w:t>
      </w:r>
      <w:r>
        <w:rPr>
          <w:rFonts w:hint="eastAsia" w:ascii="仿宋" w:hAnsi="仿宋" w:eastAsia="仿宋" w:cs="仿宋"/>
          <w:color w:val="000000"/>
          <w:sz w:val="24"/>
          <w:szCs w:val="24"/>
          <w:lang w:eastAsia="zh-CN"/>
        </w:rPr>
        <w:t>）</w:t>
      </w:r>
      <w:r>
        <w:rPr>
          <w:rFonts w:hint="eastAsia" w:ascii="仿宋" w:hAnsi="仿宋" w:eastAsia="仿宋" w:cs="仿宋"/>
          <w:color w:val="000000"/>
          <w:sz w:val="24"/>
          <w:szCs w:val="24"/>
        </w:rPr>
        <w:t>对违反本规定的违规行为处以500元-5000元处罚；造成损失的照价赔偿或修复，并分别根据情节轻重，依据《中华人民共和国消防法》及有关法规，追究其法律责任。</w:t>
      </w:r>
    </w:p>
    <w:p>
      <w:pPr>
        <w:numPr>
          <w:ilvl w:val="0"/>
          <w:numId w:val="0"/>
        </w:numPr>
        <w:spacing w:line="460" w:lineRule="exact"/>
        <w:rPr>
          <w:rFonts w:hint="eastAsia" w:ascii="仿宋" w:hAnsi="仿宋" w:eastAsia="仿宋" w:cs="仿宋"/>
          <w:color w:val="000000"/>
          <w:sz w:val="24"/>
          <w:szCs w:val="24"/>
        </w:rPr>
      </w:pPr>
      <w:r>
        <w:rPr>
          <w:rFonts w:hint="eastAsia" w:ascii="仿宋" w:hAnsi="仿宋" w:eastAsia="仿宋" w:cs="仿宋"/>
          <w:b/>
          <w:bCs/>
          <w:color w:val="000000"/>
          <w:sz w:val="24"/>
          <w:szCs w:val="24"/>
          <w:lang w:val="en-US" w:eastAsia="zh-CN"/>
        </w:rPr>
        <w:t>3.工程质量：</w:t>
      </w:r>
      <w:r>
        <w:rPr>
          <w:rFonts w:hint="eastAsia" w:ascii="仿宋" w:hAnsi="仿宋" w:eastAsia="仿宋" w:cs="仿宋"/>
          <w:color w:val="000000"/>
          <w:sz w:val="24"/>
          <w:szCs w:val="24"/>
        </w:rPr>
        <w:t>质保期</w:t>
      </w:r>
      <w:r>
        <w:rPr>
          <w:rFonts w:hint="eastAsia" w:ascii="仿宋" w:hAnsi="仿宋" w:eastAsia="仿宋" w:cs="仿宋"/>
          <w:color w:val="000000"/>
          <w:sz w:val="24"/>
          <w:szCs w:val="24"/>
          <w:lang w:val="en-US" w:eastAsia="zh-CN"/>
        </w:rPr>
        <w:t>五</w:t>
      </w:r>
      <w:r>
        <w:rPr>
          <w:rFonts w:hint="eastAsia" w:ascii="仿宋" w:hAnsi="仿宋" w:eastAsia="仿宋" w:cs="仿宋"/>
          <w:color w:val="000000"/>
          <w:sz w:val="24"/>
          <w:szCs w:val="24"/>
        </w:rPr>
        <w:t>年。施工中需要用到的材料，进场前一天必须通知</w:t>
      </w:r>
      <w:r>
        <w:rPr>
          <w:rFonts w:hint="eastAsia" w:ascii="仿宋" w:hAnsi="仿宋" w:eastAsia="仿宋" w:cs="仿宋"/>
          <w:color w:val="000000"/>
          <w:sz w:val="24"/>
          <w:szCs w:val="24"/>
          <w:lang w:val="en-US" w:eastAsia="zh-CN"/>
        </w:rPr>
        <w:t>幼儿园</w:t>
      </w:r>
      <w:r>
        <w:rPr>
          <w:rFonts w:hint="eastAsia" w:ascii="仿宋" w:hAnsi="仿宋" w:eastAsia="仿宋" w:cs="仿宋"/>
          <w:color w:val="000000"/>
          <w:sz w:val="24"/>
          <w:szCs w:val="24"/>
        </w:rPr>
        <w:t>管理人员进行现场验料（原材料进场三证齐全），品牌，规格、材料、质量、数量等符合要求后，才能施工。如若瞒报验料，擅自使用非国标材料，返工造成的经济损失由施工方承担。</w:t>
      </w:r>
    </w:p>
    <w:p>
      <w:pPr>
        <w:numPr>
          <w:ilvl w:val="0"/>
          <w:numId w:val="0"/>
        </w:numPr>
        <w:spacing w:line="460" w:lineRule="exact"/>
        <w:rPr>
          <w:rFonts w:hint="eastAsia" w:ascii="仿宋" w:hAnsi="仿宋" w:eastAsia="仿宋" w:cs="仿宋"/>
          <w:b/>
          <w:bCs/>
          <w:color w:val="000000"/>
          <w:sz w:val="24"/>
          <w:szCs w:val="24"/>
          <w:lang w:val="en-US" w:eastAsia="zh-CN"/>
        </w:rPr>
      </w:pPr>
      <w:r>
        <w:rPr>
          <w:rFonts w:hint="eastAsia" w:ascii="仿宋" w:hAnsi="仿宋" w:eastAsia="仿宋" w:cs="仿宋"/>
          <w:b/>
          <w:bCs/>
          <w:color w:val="000000"/>
          <w:sz w:val="24"/>
          <w:szCs w:val="24"/>
          <w:lang w:val="en-US" w:eastAsia="zh-CN"/>
        </w:rPr>
        <w:t>4.工程材料使用要求：</w:t>
      </w:r>
    </w:p>
    <w:tbl>
      <w:tblPr>
        <w:tblStyle w:val="9"/>
        <w:tblpPr w:leftFromText="180" w:rightFromText="180" w:vertAnchor="text" w:horzAnchor="page" w:tblpX="916" w:tblpY="593"/>
        <w:tblOverlap w:val="never"/>
        <w:tblW w:w="99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45"/>
        <w:gridCol w:w="3555"/>
        <w:gridCol w:w="1875"/>
        <w:gridCol w:w="29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2" w:hRule="atLeast"/>
        </w:trPr>
        <w:tc>
          <w:tcPr>
            <w:tcW w:w="1545" w:type="dxa"/>
          </w:tcPr>
          <w:p>
            <w:pPr>
              <w:spacing w:line="300" w:lineRule="auto"/>
              <w:jc w:val="distribute"/>
              <w:rPr>
                <w:rFonts w:hint="eastAsia" w:ascii="宋体" w:hAnsi="宋体" w:cs="宋体"/>
                <w:bCs/>
                <w:sz w:val="22"/>
                <w:szCs w:val="21"/>
              </w:rPr>
            </w:pPr>
            <w:r>
              <w:rPr>
                <w:rFonts w:hint="eastAsia" w:ascii="宋体" w:hAnsi="宋体" w:cs="宋体"/>
                <w:bCs/>
                <w:sz w:val="22"/>
                <w:szCs w:val="21"/>
              </w:rPr>
              <w:t>悬浮门型号</w:t>
            </w:r>
          </w:p>
        </w:tc>
        <w:tc>
          <w:tcPr>
            <w:tcW w:w="8395" w:type="dxa"/>
            <w:gridSpan w:val="3"/>
          </w:tcPr>
          <w:p>
            <w:pPr>
              <w:spacing w:line="300" w:lineRule="auto"/>
              <w:rPr>
                <w:rFonts w:hint="eastAsia" w:ascii="宋体" w:hAnsi="宋体" w:cs="宋体"/>
                <w:bCs/>
                <w:sz w:val="24"/>
                <w:szCs w:val="22"/>
              </w:rPr>
            </w:pPr>
            <w:r>
              <w:rPr>
                <w:rFonts w:hint="eastAsia" w:ascii="宋体" w:hAnsi="宋体" w:cs="宋体"/>
                <w:bCs/>
                <w:sz w:val="24"/>
                <w:szCs w:val="22"/>
              </w:rPr>
              <w:t>八角管悬浮门（正大门）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 w:hRule="atLeast"/>
        </w:trPr>
        <w:tc>
          <w:tcPr>
            <w:tcW w:w="1545" w:type="dxa"/>
          </w:tcPr>
          <w:p>
            <w:pPr>
              <w:spacing w:line="300" w:lineRule="auto"/>
              <w:jc w:val="distribute"/>
              <w:rPr>
                <w:rFonts w:hint="eastAsia" w:ascii="宋体" w:hAnsi="宋体" w:cs="宋体"/>
                <w:sz w:val="22"/>
                <w:szCs w:val="21"/>
              </w:rPr>
            </w:pPr>
            <w:r>
              <w:rPr>
                <w:rFonts w:hint="eastAsia" w:ascii="宋体" w:hAnsi="宋体" w:cs="宋体"/>
                <w:sz w:val="22"/>
                <w:szCs w:val="21"/>
              </w:rPr>
              <w:t>门体高度</w:t>
            </w:r>
          </w:p>
        </w:tc>
        <w:tc>
          <w:tcPr>
            <w:tcW w:w="8395" w:type="dxa"/>
            <w:gridSpan w:val="3"/>
          </w:tcPr>
          <w:p>
            <w:pPr>
              <w:spacing w:line="300" w:lineRule="auto"/>
              <w:rPr>
                <w:rFonts w:hint="eastAsia" w:ascii="宋体" w:hAnsi="宋体" w:cs="宋体"/>
                <w:sz w:val="24"/>
                <w:szCs w:val="22"/>
              </w:rPr>
            </w:pPr>
            <w:r>
              <w:rPr>
                <w:rFonts w:hint="eastAsia"/>
                <w:szCs w:val="21"/>
              </w:rPr>
              <w:t>米；注：指门体上梁到地面的高度（标准高度为1.7米）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5" w:type="dxa"/>
          </w:tcPr>
          <w:p>
            <w:pPr>
              <w:spacing w:line="300" w:lineRule="auto"/>
              <w:jc w:val="distribute"/>
              <w:rPr>
                <w:rFonts w:hint="eastAsia" w:ascii="宋体" w:hAnsi="宋体" w:cs="宋体"/>
                <w:sz w:val="22"/>
                <w:szCs w:val="21"/>
              </w:rPr>
            </w:pPr>
            <w:r>
              <w:rPr>
                <w:rFonts w:hint="eastAsia" w:ascii="宋体" w:hAnsi="宋体" w:cs="宋体"/>
                <w:sz w:val="22"/>
                <w:szCs w:val="21"/>
              </w:rPr>
              <w:t>门洞宽度</w:t>
            </w:r>
          </w:p>
        </w:tc>
        <w:tc>
          <w:tcPr>
            <w:tcW w:w="3555" w:type="dxa"/>
          </w:tcPr>
          <w:p>
            <w:pPr>
              <w:spacing w:line="300" w:lineRule="auto"/>
              <w:rPr>
                <w:rFonts w:hint="eastAsia" w:ascii="宋体" w:hAnsi="宋体" w:cs="宋体"/>
                <w:sz w:val="24"/>
                <w:szCs w:val="22"/>
              </w:rPr>
            </w:pPr>
            <w:r>
              <w:rPr>
                <w:rFonts w:hint="eastAsia" w:ascii="宋体" w:hAnsi="宋体" w:cs="宋体"/>
                <w:sz w:val="24"/>
                <w:szCs w:val="22"/>
                <w:lang w:val="en-US" w:eastAsia="zh-CN"/>
              </w:rPr>
              <w:t>15</w:t>
            </w:r>
            <w:r>
              <w:rPr>
                <w:rFonts w:hint="eastAsia" w:ascii="宋体" w:hAnsi="宋体" w:cs="宋体"/>
                <w:sz w:val="24"/>
                <w:szCs w:val="22"/>
              </w:rPr>
              <w:t>米</w:t>
            </w:r>
          </w:p>
        </w:tc>
        <w:tc>
          <w:tcPr>
            <w:tcW w:w="1875" w:type="dxa"/>
          </w:tcPr>
          <w:p>
            <w:pPr>
              <w:spacing w:line="300" w:lineRule="auto"/>
              <w:jc w:val="center"/>
              <w:rPr>
                <w:rFonts w:hint="eastAsia" w:ascii="宋体" w:hAnsi="宋体" w:cs="宋体"/>
                <w:sz w:val="22"/>
                <w:szCs w:val="21"/>
              </w:rPr>
            </w:pPr>
            <w:r>
              <w:rPr>
                <w:rFonts w:hint="eastAsia" w:ascii="宋体" w:hAnsi="宋体" w:cs="宋体"/>
                <w:sz w:val="22"/>
                <w:szCs w:val="21"/>
              </w:rPr>
              <w:t>底梁长度</w:t>
            </w:r>
          </w:p>
        </w:tc>
        <w:tc>
          <w:tcPr>
            <w:tcW w:w="2965" w:type="dxa"/>
          </w:tcPr>
          <w:p>
            <w:pPr>
              <w:spacing w:line="300" w:lineRule="auto"/>
              <w:rPr>
                <w:rFonts w:hint="eastAsia" w:ascii="宋体" w:hAnsi="宋体" w:cs="宋体"/>
                <w:sz w:val="22"/>
                <w:szCs w:val="21"/>
              </w:rPr>
            </w:pPr>
            <w:r>
              <w:rPr>
                <w:rFonts w:hint="eastAsia"/>
                <w:szCs w:val="21"/>
              </w:rPr>
              <w:t>做成底梁总长米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5" w:type="dxa"/>
          </w:tcPr>
          <w:p>
            <w:pPr>
              <w:spacing w:line="300" w:lineRule="auto"/>
              <w:jc w:val="distribute"/>
              <w:rPr>
                <w:rFonts w:hint="eastAsia" w:ascii="宋体" w:hAnsi="宋体" w:cs="宋体"/>
                <w:sz w:val="22"/>
                <w:szCs w:val="21"/>
              </w:rPr>
            </w:pPr>
            <w:r>
              <w:rPr>
                <w:rFonts w:hint="eastAsia" w:ascii="宋体" w:hAnsi="宋体" w:cs="宋体"/>
                <w:sz w:val="22"/>
                <w:szCs w:val="21"/>
              </w:rPr>
              <w:t>门体材质</w:t>
            </w:r>
          </w:p>
        </w:tc>
        <w:tc>
          <w:tcPr>
            <w:tcW w:w="8395" w:type="dxa"/>
            <w:gridSpan w:val="3"/>
          </w:tcPr>
          <w:p>
            <w:pPr>
              <w:spacing w:line="300" w:lineRule="auto"/>
              <w:rPr>
                <w:szCs w:val="21"/>
              </w:rPr>
            </w:pPr>
            <w:r>
              <w:rPr>
                <w:rFonts w:hint="eastAsia" w:ascii="宋体" w:hAnsi="宋体"/>
                <w:bCs/>
                <w:sz w:val="22"/>
                <w:szCs w:val="22"/>
              </w:rPr>
              <w:t>铝合金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1545" w:type="dxa"/>
          </w:tcPr>
          <w:p>
            <w:pPr>
              <w:jc w:val="distribute"/>
              <w:rPr>
                <w:rFonts w:hint="eastAsia" w:ascii="宋体" w:hAnsi="宋体" w:cs="宋体"/>
                <w:sz w:val="22"/>
                <w:szCs w:val="21"/>
              </w:rPr>
            </w:pPr>
            <w:r>
              <w:rPr>
                <w:rFonts w:hint="eastAsia" w:ascii="宋体" w:hAnsi="宋体" w:cs="宋体"/>
                <w:sz w:val="22"/>
                <w:szCs w:val="21"/>
              </w:rPr>
              <w:t>开门方向</w:t>
            </w:r>
          </w:p>
        </w:tc>
        <w:tc>
          <w:tcPr>
            <w:tcW w:w="8395" w:type="dxa"/>
            <w:gridSpan w:val="3"/>
          </w:tcPr>
          <w:p>
            <w:pPr>
              <w:tabs>
                <w:tab w:val="left" w:pos="3825"/>
              </w:tabs>
              <w:rPr>
                <w:rFonts w:hint="eastAsia" w:ascii="宋体" w:hAnsi="宋体" w:cs="宋体"/>
                <w:sz w:val="22"/>
                <w:szCs w:val="21"/>
              </w:rPr>
            </w:pPr>
            <w:r>
              <w:rPr>
                <w:rFonts w:hint="eastAsia"/>
                <w:sz w:val="24"/>
              </w:rPr>
              <w:t>右固定</w:t>
            </w:r>
            <w:r>
              <w:rPr>
                <w:rFonts w:hint="eastAsia"/>
                <w:sz w:val="20"/>
                <w:szCs w:val="20"/>
              </w:rPr>
              <w:t xml:space="preserve">  注：在门外侧向内看为准</w:t>
            </w:r>
            <w:r>
              <w:rPr>
                <w:sz w:val="20"/>
                <w:szCs w:val="20"/>
              </w:rPr>
              <w:tab/>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5" w:type="dxa"/>
          </w:tcPr>
          <w:p>
            <w:pPr>
              <w:spacing w:line="300" w:lineRule="auto"/>
              <w:jc w:val="distribute"/>
              <w:rPr>
                <w:rFonts w:hint="eastAsia" w:ascii="宋体" w:hAnsi="宋体" w:cs="宋体"/>
                <w:sz w:val="24"/>
                <w:szCs w:val="22"/>
              </w:rPr>
            </w:pPr>
            <w:r>
              <w:rPr>
                <w:rFonts w:hint="eastAsia" w:ascii="宋体" w:hAnsi="宋体" w:cs="宋体"/>
                <w:sz w:val="24"/>
                <w:szCs w:val="22"/>
              </w:rPr>
              <w:t>颜色</w:t>
            </w:r>
          </w:p>
        </w:tc>
        <w:tc>
          <w:tcPr>
            <w:tcW w:w="8395" w:type="dxa"/>
            <w:gridSpan w:val="3"/>
          </w:tcPr>
          <w:p>
            <w:pPr>
              <w:spacing w:line="300" w:lineRule="auto"/>
              <w:rPr>
                <w:rFonts w:hint="eastAsia" w:ascii="宋体" w:hAnsi="宋体" w:cs="宋体"/>
                <w:sz w:val="24"/>
                <w:szCs w:val="22"/>
              </w:rPr>
            </w:pPr>
            <w:r>
              <w:rPr>
                <w:rFonts w:hint="eastAsia" w:ascii="宋体" w:hAnsi="宋体" w:cs="宋体"/>
                <w:sz w:val="24"/>
                <w:szCs w:val="22"/>
              </w:rPr>
              <w:t>砂纹灰色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5" w:type="dxa"/>
          </w:tcPr>
          <w:p>
            <w:pPr>
              <w:spacing w:line="300" w:lineRule="auto"/>
              <w:jc w:val="distribute"/>
              <w:rPr>
                <w:rFonts w:hint="eastAsia" w:ascii="宋体" w:hAnsi="宋体" w:cs="宋体"/>
                <w:sz w:val="24"/>
                <w:szCs w:val="22"/>
              </w:rPr>
            </w:pPr>
            <w:r>
              <w:rPr>
                <w:rFonts w:hint="eastAsia" w:ascii="宋体" w:hAnsi="宋体" w:cs="宋体"/>
                <w:sz w:val="24"/>
                <w:szCs w:val="22"/>
              </w:rPr>
              <w:t>数量</w:t>
            </w:r>
          </w:p>
        </w:tc>
        <w:tc>
          <w:tcPr>
            <w:tcW w:w="8395" w:type="dxa"/>
            <w:gridSpan w:val="3"/>
          </w:tcPr>
          <w:p>
            <w:pPr>
              <w:spacing w:line="300" w:lineRule="auto"/>
              <w:rPr>
                <w:rFonts w:hint="eastAsia" w:ascii="宋体" w:hAnsi="宋体" w:cs="宋体"/>
                <w:sz w:val="24"/>
                <w:szCs w:val="22"/>
              </w:rPr>
            </w:pPr>
            <w:r>
              <w:rPr>
                <w:rFonts w:hint="eastAsia" w:ascii="宋体" w:hAnsi="宋体" w:cs="宋体"/>
                <w:sz w:val="24"/>
                <w:szCs w:val="22"/>
              </w:rPr>
              <w:t>1  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5" w:type="dxa"/>
          </w:tcPr>
          <w:p>
            <w:pPr>
              <w:spacing w:line="300" w:lineRule="auto"/>
              <w:jc w:val="distribute"/>
              <w:rPr>
                <w:rFonts w:hint="eastAsia" w:ascii="宋体" w:hAnsi="宋体" w:cs="宋体"/>
                <w:sz w:val="24"/>
                <w:szCs w:val="22"/>
              </w:rPr>
            </w:pPr>
            <w:r>
              <w:rPr>
                <w:rFonts w:hint="eastAsia" w:ascii="宋体" w:hAnsi="宋体" w:cs="宋体"/>
                <w:sz w:val="24"/>
                <w:szCs w:val="22"/>
              </w:rPr>
              <w:t>商标</w:t>
            </w:r>
          </w:p>
        </w:tc>
        <w:tc>
          <w:tcPr>
            <w:tcW w:w="8395" w:type="dxa"/>
            <w:gridSpan w:val="3"/>
          </w:tcPr>
          <w:p>
            <w:pPr>
              <w:spacing w:line="300" w:lineRule="auto"/>
              <w:rPr>
                <w:rFonts w:hint="eastAsia" w:ascii="宋体" w:hAnsi="宋体" w:cs="宋体"/>
                <w:sz w:val="24"/>
                <w:szCs w:val="22"/>
              </w:rPr>
            </w:pPr>
            <w:r>
              <w:rPr>
                <w:rFonts w:hint="eastAsia" w:ascii="宋体" w:hAnsi="宋体" w:cs="宋体"/>
                <w:sz w:val="24"/>
                <w:szCs w:val="22"/>
              </w:rPr>
              <w:t>厂家商标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5" w:type="dxa"/>
          </w:tcPr>
          <w:p>
            <w:pPr>
              <w:spacing w:line="300" w:lineRule="auto"/>
              <w:jc w:val="distribute"/>
              <w:rPr>
                <w:rFonts w:hint="eastAsia" w:ascii="宋体" w:hAnsi="宋体" w:cs="宋体"/>
                <w:sz w:val="24"/>
                <w:szCs w:val="22"/>
              </w:rPr>
            </w:pPr>
            <w:r>
              <w:rPr>
                <w:rFonts w:hint="eastAsia" w:ascii="宋体" w:hAnsi="宋体" w:cs="宋体"/>
                <w:sz w:val="24"/>
                <w:szCs w:val="22"/>
              </w:rPr>
              <w:t>标配</w:t>
            </w:r>
          </w:p>
        </w:tc>
        <w:tc>
          <w:tcPr>
            <w:tcW w:w="8395" w:type="dxa"/>
            <w:gridSpan w:val="3"/>
          </w:tcPr>
          <w:p>
            <w:pPr>
              <w:spacing w:line="300" w:lineRule="auto"/>
              <w:rPr>
                <w:rFonts w:hint="eastAsia" w:ascii="宋体" w:hAnsi="宋体" w:cs="宋体"/>
                <w:sz w:val="24"/>
                <w:szCs w:val="22"/>
              </w:rPr>
            </w:pPr>
            <w:r>
              <w:rPr>
                <w:rFonts w:hint="eastAsia" w:ascii="宋体" w:hAnsi="宋体" w:cs="宋体"/>
                <w:szCs w:val="20"/>
              </w:rPr>
              <w:t>小遥控2个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45" w:type="dxa"/>
          </w:tcPr>
          <w:p>
            <w:pPr>
              <w:spacing w:line="300" w:lineRule="auto"/>
              <w:jc w:val="distribute"/>
              <w:rPr>
                <w:rFonts w:hint="eastAsia" w:ascii="宋体" w:hAnsi="宋体" w:cs="宋体"/>
                <w:sz w:val="24"/>
                <w:szCs w:val="22"/>
              </w:rPr>
            </w:pPr>
            <w:r>
              <w:rPr>
                <w:rFonts w:hint="eastAsia" w:ascii="宋体" w:hAnsi="宋体" w:cs="宋体"/>
                <w:sz w:val="24"/>
                <w:szCs w:val="22"/>
              </w:rPr>
              <w:t>备注</w:t>
            </w:r>
          </w:p>
        </w:tc>
        <w:tc>
          <w:tcPr>
            <w:tcW w:w="8395" w:type="dxa"/>
            <w:gridSpan w:val="3"/>
          </w:tcPr>
          <w:p>
            <w:pPr>
              <w:spacing w:line="300" w:lineRule="auto"/>
              <w:rPr>
                <w:rFonts w:hint="eastAsia" w:ascii="宋体" w:hAnsi="宋体" w:cs="宋体"/>
                <w:sz w:val="24"/>
                <w:szCs w:val="22"/>
              </w:rPr>
            </w:pPr>
          </w:p>
        </w:tc>
      </w:tr>
    </w:tbl>
    <w:tbl>
      <w:tblPr>
        <w:tblStyle w:val="9"/>
        <w:tblpPr w:leftFromText="180" w:rightFromText="180" w:vertAnchor="text" w:horzAnchor="page" w:tblpX="856" w:tblpY="4718"/>
        <w:tblOverlap w:val="never"/>
        <w:tblW w:w="100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7"/>
        <w:gridCol w:w="1366"/>
        <w:gridCol w:w="1583"/>
        <w:gridCol w:w="1133"/>
        <w:gridCol w:w="1172"/>
        <w:gridCol w:w="775"/>
        <w:gridCol w:w="1318"/>
        <w:gridCol w:w="1272"/>
        <w:gridCol w:w="10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5" w:hRule="atLeast"/>
        </w:trPr>
        <w:tc>
          <w:tcPr>
            <w:tcW w:w="427" w:type="dxa"/>
            <w:tcBorders>
              <w:top w:val="single" w:color="auto" w:sz="4" w:space="0"/>
              <w:left w:val="single" w:color="auto" w:sz="4" w:space="0"/>
              <w:bottom w:val="single" w:color="auto" w:sz="4" w:space="0"/>
              <w:right w:val="single" w:color="auto" w:sz="4" w:space="0"/>
            </w:tcBorders>
          </w:tcPr>
          <w:p>
            <w:pPr>
              <w:spacing w:line="500" w:lineRule="exact"/>
              <w:jc w:val="center"/>
              <w:rPr>
                <w:rFonts w:hint="eastAsia" w:ascii="黑体" w:hAnsi="黑体" w:eastAsia="黑体" w:cs="黑体"/>
                <w:bCs/>
                <w:sz w:val="16"/>
                <w:szCs w:val="16"/>
              </w:rPr>
            </w:pPr>
            <w:r>
              <w:rPr>
                <w:rFonts w:hint="eastAsia" w:ascii="黑体" w:hAnsi="黑体" w:eastAsia="黑体" w:cs="黑体"/>
                <w:bCs/>
                <w:sz w:val="16"/>
                <w:szCs w:val="16"/>
              </w:rPr>
              <w:t>序号</w:t>
            </w:r>
          </w:p>
        </w:tc>
        <w:tc>
          <w:tcPr>
            <w:tcW w:w="1366" w:type="dxa"/>
            <w:tcBorders>
              <w:top w:val="single" w:color="auto" w:sz="4" w:space="0"/>
              <w:left w:val="single" w:color="auto" w:sz="4" w:space="0"/>
              <w:bottom w:val="single" w:color="auto" w:sz="4" w:space="0"/>
              <w:right w:val="single" w:color="auto" w:sz="4" w:space="0"/>
            </w:tcBorders>
          </w:tcPr>
          <w:p>
            <w:pPr>
              <w:spacing w:line="500" w:lineRule="exact"/>
              <w:jc w:val="center"/>
              <w:rPr>
                <w:bCs/>
                <w:sz w:val="18"/>
                <w:szCs w:val="18"/>
              </w:rPr>
            </w:pPr>
            <w:r>
              <w:rPr>
                <w:bCs/>
                <w:sz w:val="18"/>
                <w:szCs w:val="18"/>
              </w:rPr>
              <w:t>1</w:t>
            </w:r>
          </w:p>
        </w:tc>
        <w:tc>
          <w:tcPr>
            <w:tcW w:w="1583" w:type="dxa"/>
            <w:tcBorders>
              <w:top w:val="single" w:color="auto" w:sz="4" w:space="0"/>
              <w:left w:val="single" w:color="auto" w:sz="4" w:space="0"/>
              <w:bottom w:val="single" w:color="auto" w:sz="4" w:space="0"/>
              <w:right w:val="single" w:color="auto" w:sz="4" w:space="0"/>
            </w:tcBorders>
          </w:tcPr>
          <w:p>
            <w:pPr>
              <w:spacing w:line="500" w:lineRule="exact"/>
              <w:jc w:val="center"/>
              <w:rPr>
                <w:bCs/>
                <w:sz w:val="18"/>
                <w:szCs w:val="18"/>
              </w:rPr>
            </w:pPr>
            <w:r>
              <w:rPr>
                <w:bCs/>
                <w:sz w:val="18"/>
                <w:szCs w:val="18"/>
              </w:rPr>
              <w:t>2</w:t>
            </w:r>
          </w:p>
        </w:tc>
        <w:tc>
          <w:tcPr>
            <w:tcW w:w="1133" w:type="dxa"/>
            <w:tcBorders>
              <w:top w:val="single" w:color="auto" w:sz="4" w:space="0"/>
              <w:left w:val="single" w:color="auto" w:sz="4" w:space="0"/>
              <w:bottom w:val="single" w:color="auto" w:sz="4" w:space="0"/>
              <w:right w:val="single" w:color="auto" w:sz="4" w:space="0"/>
            </w:tcBorders>
          </w:tcPr>
          <w:p>
            <w:pPr>
              <w:spacing w:line="500" w:lineRule="exact"/>
              <w:jc w:val="center"/>
              <w:rPr>
                <w:bCs/>
                <w:sz w:val="18"/>
                <w:szCs w:val="18"/>
              </w:rPr>
            </w:pPr>
            <w:r>
              <w:rPr>
                <w:bCs/>
                <w:sz w:val="18"/>
                <w:szCs w:val="18"/>
              </w:rPr>
              <w:t>3</w:t>
            </w:r>
          </w:p>
        </w:tc>
        <w:tc>
          <w:tcPr>
            <w:tcW w:w="1172" w:type="dxa"/>
            <w:tcBorders>
              <w:top w:val="single" w:color="auto" w:sz="4" w:space="0"/>
              <w:left w:val="single" w:color="auto" w:sz="4" w:space="0"/>
              <w:bottom w:val="single" w:color="auto" w:sz="4" w:space="0"/>
              <w:right w:val="single" w:color="auto" w:sz="4" w:space="0"/>
            </w:tcBorders>
          </w:tcPr>
          <w:p>
            <w:pPr>
              <w:spacing w:line="500" w:lineRule="exact"/>
              <w:jc w:val="center"/>
              <w:rPr>
                <w:bCs/>
                <w:sz w:val="18"/>
                <w:szCs w:val="18"/>
              </w:rPr>
            </w:pPr>
            <w:r>
              <w:rPr>
                <w:bCs/>
                <w:sz w:val="18"/>
                <w:szCs w:val="18"/>
              </w:rPr>
              <w:t>4</w:t>
            </w:r>
          </w:p>
        </w:tc>
        <w:tc>
          <w:tcPr>
            <w:tcW w:w="775" w:type="dxa"/>
            <w:tcBorders>
              <w:top w:val="single" w:color="auto" w:sz="4" w:space="0"/>
              <w:left w:val="single" w:color="auto" w:sz="4" w:space="0"/>
              <w:bottom w:val="single" w:color="auto" w:sz="4" w:space="0"/>
              <w:right w:val="single" w:color="auto" w:sz="4" w:space="0"/>
            </w:tcBorders>
          </w:tcPr>
          <w:p>
            <w:pPr>
              <w:spacing w:line="500" w:lineRule="exact"/>
              <w:jc w:val="center"/>
              <w:rPr>
                <w:bCs/>
                <w:sz w:val="18"/>
                <w:szCs w:val="18"/>
              </w:rPr>
            </w:pPr>
            <w:r>
              <w:rPr>
                <w:bCs/>
                <w:sz w:val="18"/>
                <w:szCs w:val="18"/>
              </w:rPr>
              <w:t>5</w:t>
            </w:r>
          </w:p>
        </w:tc>
        <w:tc>
          <w:tcPr>
            <w:tcW w:w="1318" w:type="dxa"/>
            <w:tcBorders>
              <w:top w:val="single" w:color="auto" w:sz="4" w:space="0"/>
              <w:left w:val="single" w:color="auto" w:sz="4" w:space="0"/>
              <w:bottom w:val="single" w:color="auto" w:sz="4" w:space="0"/>
              <w:right w:val="single" w:color="auto" w:sz="4" w:space="0"/>
            </w:tcBorders>
          </w:tcPr>
          <w:p>
            <w:pPr>
              <w:spacing w:line="500" w:lineRule="exact"/>
              <w:jc w:val="center"/>
              <w:rPr>
                <w:bCs/>
                <w:sz w:val="16"/>
                <w:szCs w:val="16"/>
              </w:rPr>
            </w:pPr>
            <w:r>
              <w:rPr>
                <w:bCs/>
                <w:sz w:val="18"/>
                <w:szCs w:val="18"/>
              </w:rPr>
              <w:t>6</w:t>
            </w:r>
          </w:p>
        </w:tc>
        <w:tc>
          <w:tcPr>
            <w:tcW w:w="1272" w:type="dxa"/>
            <w:tcBorders>
              <w:top w:val="single" w:color="auto" w:sz="4" w:space="0"/>
              <w:left w:val="single" w:color="auto" w:sz="4" w:space="0"/>
              <w:bottom w:val="single" w:color="auto" w:sz="4" w:space="0"/>
              <w:right w:val="single" w:color="auto" w:sz="4" w:space="0"/>
            </w:tcBorders>
          </w:tcPr>
          <w:p>
            <w:pPr>
              <w:spacing w:line="500" w:lineRule="exact"/>
              <w:jc w:val="center"/>
              <w:rPr>
                <w:bCs/>
                <w:sz w:val="18"/>
                <w:szCs w:val="18"/>
              </w:rPr>
            </w:pPr>
            <w:r>
              <w:rPr>
                <w:bCs/>
                <w:sz w:val="16"/>
                <w:szCs w:val="16"/>
              </w:rPr>
              <w:t>7</w:t>
            </w:r>
          </w:p>
        </w:tc>
        <w:tc>
          <w:tcPr>
            <w:tcW w:w="1007" w:type="dxa"/>
            <w:tcBorders>
              <w:top w:val="single" w:color="auto" w:sz="4" w:space="0"/>
              <w:left w:val="single" w:color="auto" w:sz="4" w:space="0"/>
              <w:bottom w:val="single" w:color="auto" w:sz="4" w:space="0"/>
              <w:right w:val="single" w:color="auto" w:sz="4" w:space="0"/>
            </w:tcBorders>
          </w:tcPr>
          <w:p>
            <w:pPr>
              <w:spacing w:line="500" w:lineRule="exact"/>
              <w:jc w:val="center"/>
              <w:rPr>
                <w:bCs/>
                <w:sz w:val="18"/>
                <w:szCs w:val="18"/>
              </w:rPr>
            </w:pPr>
            <w:r>
              <w:rPr>
                <w:bCs/>
                <w:sz w:val="18"/>
                <w:szCs w:val="18"/>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6" w:hRule="atLeast"/>
        </w:trPr>
        <w:tc>
          <w:tcPr>
            <w:tcW w:w="427" w:type="dxa"/>
            <w:tcBorders>
              <w:top w:val="single" w:color="auto" w:sz="4" w:space="0"/>
              <w:left w:val="single" w:color="auto" w:sz="4" w:space="0"/>
              <w:bottom w:val="single" w:color="auto" w:sz="4" w:space="0"/>
              <w:right w:val="single" w:color="auto" w:sz="4" w:space="0"/>
            </w:tcBorders>
          </w:tcPr>
          <w:p>
            <w:pPr>
              <w:spacing w:line="500" w:lineRule="exact"/>
              <w:jc w:val="center"/>
              <w:rPr>
                <w:rFonts w:hint="eastAsia" w:ascii="黑体" w:hAnsi="黑体" w:eastAsia="黑体" w:cs="黑体"/>
                <w:bCs/>
                <w:sz w:val="20"/>
                <w:szCs w:val="20"/>
              </w:rPr>
            </w:pPr>
            <w:r>
              <w:rPr>
                <w:rFonts w:hint="eastAsia" w:ascii="黑体" w:hAnsi="黑体" w:eastAsia="黑体" w:cs="黑体"/>
                <w:bCs/>
                <w:sz w:val="20"/>
                <w:szCs w:val="20"/>
              </w:rPr>
              <w:t>名称</w:t>
            </w:r>
          </w:p>
        </w:tc>
        <w:tc>
          <w:tcPr>
            <w:tcW w:w="1366" w:type="dxa"/>
            <w:tcBorders>
              <w:top w:val="single" w:color="auto" w:sz="4" w:space="0"/>
              <w:left w:val="single" w:color="auto" w:sz="4" w:space="0"/>
              <w:bottom w:val="single" w:color="auto" w:sz="4" w:space="0"/>
              <w:right w:val="single" w:color="auto" w:sz="4" w:space="0"/>
            </w:tcBorders>
          </w:tcPr>
          <w:p>
            <w:pPr>
              <w:spacing w:line="500" w:lineRule="exact"/>
              <w:jc w:val="center"/>
              <w:rPr>
                <w:bCs/>
                <w:szCs w:val="21"/>
              </w:rPr>
            </w:pPr>
            <w:r>
              <w:rPr>
                <w:rFonts w:hint="eastAsia"/>
                <w:bCs/>
                <w:szCs w:val="21"/>
              </w:rPr>
              <w:t>底梁</w:t>
            </w:r>
          </w:p>
        </w:tc>
        <w:tc>
          <w:tcPr>
            <w:tcW w:w="1583" w:type="dxa"/>
            <w:tcBorders>
              <w:top w:val="single" w:color="auto" w:sz="4" w:space="0"/>
              <w:left w:val="single" w:color="auto" w:sz="4" w:space="0"/>
              <w:bottom w:val="single" w:color="auto" w:sz="4" w:space="0"/>
              <w:right w:val="single" w:color="auto" w:sz="4" w:space="0"/>
            </w:tcBorders>
          </w:tcPr>
          <w:p>
            <w:pPr>
              <w:spacing w:line="500" w:lineRule="exact"/>
              <w:jc w:val="center"/>
              <w:rPr>
                <w:bCs/>
                <w:szCs w:val="21"/>
              </w:rPr>
            </w:pPr>
            <w:r>
              <w:rPr>
                <w:rFonts w:hint="eastAsia"/>
                <w:bCs/>
                <w:szCs w:val="21"/>
              </w:rPr>
              <w:t>上梁</w:t>
            </w:r>
          </w:p>
        </w:tc>
        <w:tc>
          <w:tcPr>
            <w:tcW w:w="1133" w:type="dxa"/>
            <w:tcBorders>
              <w:top w:val="single" w:color="auto" w:sz="4" w:space="0"/>
              <w:left w:val="single" w:color="auto" w:sz="4" w:space="0"/>
              <w:bottom w:val="single" w:color="auto" w:sz="4" w:space="0"/>
              <w:right w:val="single" w:color="auto" w:sz="4" w:space="0"/>
            </w:tcBorders>
          </w:tcPr>
          <w:p>
            <w:pPr>
              <w:spacing w:line="500" w:lineRule="exact"/>
              <w:jc w:val="center"/>
              <w:rPr>
                <w:bCs/>
                <w:szCs w:val="21"/>
              </w:rPr>
            </w:pPr>
            <w:r>
              <w:rPr>
                <w:rFonts w:hint="eastAsia"/>
                <w:bCs/>
                <w:szCs w:val="21"/>
              </w:rPr>
              <w:t>门排柱料</w:t>
            </w:r>
          </w:p>
        </w:tc>
        <w:tc>
          <w:tcPr>
            <w:tcW w:w="1172" w:type="dxa"/>
            <w:tcBorders>
              <w:top w:val="single" w:color="auto" w:sz="4" w:space="0"/>
              <w:left w:val="single" w:color="auto" w:sz="4" w:space="0"/>
              <w:bottom w:val="single" w:color="auto" w:sz="4" w:space="0"/>
              <w:right w:val="single" w:color="auto" w:sz="4" w:space="0"/>
            </w:tcBorders>
          </w:tcPr>
          <w:p>
            <w:pPr>
              <w:spacing w:line="500" w:lineRule="exact"/>
              <w:jc w:val="center"/>
              <w:rPr>
                <w:bCs/>
                <w:szCs w:val="21"/>
              </w:rPr>
            </w:pPr>
            <w:r>
              <w:rPr>
                <w:rFonts w:hint="eastAsia"/>
                <w:bCs/>
                <w:szCs w:val="21"/>
              </w:rPr>
              <w:t>门排竖料</w:t>
            </w:r>
          </w:p>
        </w:tc>
        <w:tc>
          <w:tcPr>
            <w:tcW w:w="775" w:type="dxa"/>
            <w:tcBorders>
              <w:top w:val="single" w:color="auto" w:sz="4" w:space="0"/>
              <w:left w:val="single" w:color="auto" w:sz="4" w:space="0"/>
              <w:bottom w:val="single" w:color="auto" w:sz="4" w:space="0"/>
              <w:right w:val="single" w:color="auto" w:sz="4" w:space="0"/>
            </w:tcBorders>
          </w:tcPr>
          <w:p>
            <w:pPr>
              <w:spacing w:line="500" w:lineRule="exact"/>
              <w:jc w:val="center"/>
              <w:rPr>
                <w:bCs/>
                <w:szCs w:val="21"/>
              </w:rPr>
            </w:pPr>
            <w:r>
              <w:rPr>
                <w:rFonts w:hint="eastAsia"/>
                <w:bCs/>
                <w:szCs w:val="21"/>
              </w:rPr>
              <w:t>门排拉杆</w:t>
            </w:r>
          </w:p>
        </w:tc>
        <w:tc>
          <w:tcPr>
            <w:tcW w:w="1318" w:type="dxa"/>
            <w:tcBorders>
              <w:top w:val="single" w:color="auto" w:sz="4" w:space="0"/>
              <w:left w:val="single" w:color="auto" w:sz="4" w:space="0"/>
              <w:bottom w:val="single" w:color="auto" w:sz="4" w:space="0"/>
              <w:right w:val="single" w:color="auto" w:sz="4" w:space="0"/>
            </w:tcBorders>
          </w:tcPr>
          <w:p>
            <w:pPr>
              <w:spacing w:line="500" w:lineRule="exact"/>
              <w:jc w:val="center"/>
              <w:rPr>
                <w:bCs/>
                <w:szCs w:val="21"/>
              </w:rPr>
            </w:pPr>
            <w:r>
              <w:rPr>
                <w:rFonts w:hint="eastAsia"/>
                <w:bCs/>
                <w:szCs w:val="21"/>
              </w:rPr>
              <w:t>龙门架</w:t>
            </w:r>
          </w:p>
        </w:tc>
        <w:tc>
          <w:tcPr>
            <w:tcW w:w="1272" w:type="dxa"/>
            <w:tcBorders>
              <w:top w:val="single" w:color="auto" w:sz="4" w:space="0"/>
              <w:left w:val="single" w:color="auto" w:sz="4" w:space="0"/>
              <w:bottom w:val="single" w:color="auto" w:sz="4" w:space="0"/>
              <w:right w:val="single" w:color="auto" w:sz="4" w:space="0"/>
            </w:tcBorders>
          </w:tcPr>
          <w:p>
            <w:pPr>
              <w:spacing w:line="500" w:lineRule="exact"/>
              <w:jc w:val="center"/>
              <w:rPr>
                <w:bCs/>
                <w:szCs w:val="21"/>
              </w:rPr>
            </w:pPr>
            <w:r>
              <w:rPr>
                <w:rFonts w:hint="eastAsia"/>
                <w:bCs/>
                <w:sz w:val="20"/>
                <w:szCs w:val="20"/>
              </w:rPr>
              <w:t>门柱机箱</w:t>
            </w:r>
          </w:p>
        </w:tc>
        <w:tc>
          <w:tcPr>
            <w:tcW w:w="1007" w:type="dxa"/>
            <w:tcBorders>
              <w:top w:val="single" w:color="auto" w:sz="4" w:space="0"/>
              <w:left w:val="single" w:color="auto" w:sz="4" w:space="0"/>
              <w:bottom w:val="single" w:color="auto" w:sz="4" w:space="0"/>
              <w:right w:val="single" w:color="auto" w:sz="4" w:space="0"/>
            </w:tcBorders>
          </w:tcPr>
          <w:p>
            <w:pPr>
              <w:spacing w:line="500" w:lineRule="exact"/>
              <w:jc w:val="center"/>
              <w:rPr>
                <w:bCs/>
                <w:szCs w:val="21"/>
              </w:rPr>
            </w:pPr>
            <w:r>
              <w:rPr>
                <w:rFonts w:hint="eastAsia"/>
                <w:bCs/>
                <w:szCs w:val="21"/>
              </w:rPr>
              <w:t>尾拉杆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6" w:hRule="atLeast"/>
        </w:trPr>
        <w:tc>
          <w:tcPr>
            <w:tcW w:w="427" w:type="dxa"/>
            <w:tcBorders>
              <w:top w:val="single" w:color="auto" w:sz="4" w:space="0"/>
              <w:left w:val="single" w:color="auto" w:sz="4" w:space="0"/>
              <w:bottom w:val="single" w:color="auto" w:sz="4" w:space="0"/>
              <w:right w:val="single" w:color="auto" w:sz="4" w:space="0"/>
            </w:tcBorders>
          </w:tcPr>
          <w:p>
            <w:pPr>
              <w:spacing w:line="500" w:lineRule="exact"/>
              <w:jc w:val="center"/>
              <w:rPr>
                <w:rFonts w:hint="eastAsia" w:ascii="黑体" w:hAnsi="黑体" w:eastAsia="黑体" w:cs="黑体"/>
                <w:bCs/>
                <w:sz w:val="20"/>
                <w:szCs w:val="20"/>
              </w:rPr>
            </w:pPr>
            <w:r>
              <w:rPr>
                <w:rFonts w:hint="eastAsia" w:ascii="黑体" w:hAnsi="黑体" w:eastAsia="黑体" w:cs="黑体"/>
                <w:bCs/>
                <w:sz w:val="20"/>
                <w:szCs w:val="20"/>
              </w:rPr>
              <w:t>材质</w:t>
            </w:r>
          </w:p>
        </w:tc>
        <w:tc>
          <w:tcPr>
            <w:tcW w:w="1366" w:type="dxa"/>
            <w:tcBorders>
              <w:top w:val="single" w:color="auto" w:sz="4" w:space="0"/>
              <w:left w:val="single" w:color="auto" w:sz="4" w:space="0"/>
              <w:bottom w:val="single" w:color="auto" w:sz="4" w:space="0"/>
              <w:right w:val="single" w:color="auto" w:sz="4" w:space="0"/>
            </w:tcBorders>
          </w:tcPr>
          <w:p>
            <w:pPr>
              <w:spacing w:line="500" w:lineRule="exact"/>
              <w:jc w:val="center"/>
              <w:rPr>
                <w:bCs/>
                <w:szCs w:val="21"/>
              </w:rPr>
            </w:pPr>
            <w:r>
              <w:rPr>
                <w:rFonts w:hint="eastAsia"/>
                <w:bCs/>
                <w:szCs w:val="21"/>
              </w:rPr>
              <w:t>优质铝合金</w:t>
            </w:r>
            <w:r>
              <w:rPr>
                <w:bCs/>
                <w:szCs w:val="21"/>
              </w:rPr>
              <w:t>6063-T6</w:t>
            </w:r>
          </w:p>
        </w:tc>
        <w:tc>
          <w:tcPr>
            <w:tcW w:w="1583" w:type="dxa"/>
            <w:tcBorders>
              <w:top w:val="single" w:color="auto" w:sz="4" w:space="0"/>
              <w:left w:val="single" w:color="auto" w:sz="4" w:space="0"/>
              <w:bottom w:val="single" w:color="auto" w:sz="4" w:space="0"/>
              <w:right w:val="single" w:color="auto" w:sz="4" w:space="0"/>
            </w:tcBorders>
          </w:tcPr>
          <w:p>
            <w:pPr>
              <w:spacing w:line="500" w:lineRule="exact"/>
              <w:jc w:val="center"/>
              <w:rPr>
                <w:bCs/>
                <w:szCs w:val="21"/>
              </w:rPr>
            </w:pPr>
            <w:r>
              <w:rPr>
                <w:rFonts w:hint="eastAsia"/>
                <w:bCs/>
                <w:szCs w:val="21"/>
              </w:rPr>
              <w:t>优质铝金</w:t>
            </w:r>
            <w:r>
              <w:rPr>
                <w:bCs/>
                <w:szCs w:val="21"/>
              </w:rPr>
              <w:t>6063-T5</w:t>
            </w:r>
          </w:p>
        </w:tc>
        <w:tc>
          <w:tcPr>
            <w:tcW w:w="1133" w:type="dxa"/>
            <w:tcBorders>
              <w:top w:val="single" w:color="auto" w:sz="4" w:space="0"/>
              <w:left w:val="single" w:color="auto" w:sz="4" w:space="0"/>
              <w:bottom w:val="single" w:color="auto" w:sz="4" w:space="0"/>
              <w:right w:val="single" w:color="auto" w:sz="4" w:space="0"/>
            </w:tcBorders>
          </w:tcPr>
          <w:p>
            <w:pPr>
              <w:spacing w:line="500" w:lineRule="exact"/>
              <w:jc w:val="center"/>
              <w:rPr>
                <w:bCs/>
                <w:szCs w:val="21"/>
              </w:rPr>
            </w:pPr>
            <w:r>
              <w:rPr>
                <w:rFonts w:hint="eastAsia"/>
                <w:bCs/>
                <w:szCs w:val="21"/>
              </w:rPr>
              <w:t>优质铝金</w:t>
            </w:r>
            <w:r>
              <w:rPr>
                <w:bCs/>
                <w:szCs w:val="21"/>
              </w:rPr>
              <w:t>6063-T5</w:t>
            </w:r>
          </w:p>
        </w:tc>
        <w:tc>
          <w:tcPr>
            <w:tcW w:w="1172" w:type="dxa"/>
            <w:tcBorders>
              <w:top w:val="single" w:color="auto" w:sz="4" w:space="0"/>
              <w:left w:val="single" w:color="auto" w:sz="4" w:space="0"/>
              <w:bottom w:val="single" w:color="auto" w:sz="4" w:space="0"/>
              <w:right w:val="single" w:color="auto" w:sz="4" w:space="0"/>
            </w:tcBorders>
          </w:tcPr>
          <w:p>
            <w:pPr>
              <w:spacing w:line="500" w:lineRule="exact"/>
              <w:jc w:val="center"/>
              <w:rPr>
                <w:bCs/>
                <w:szCs w:val="21"/>
              </w:rPr>
            </w:pPr>
            <w:r>
              <w:rPr>
                <w:rFonts w:hint="eastAsia"/>
                <w:bCs/>
                <w:szCs w:val="21"/>
              </w:rPr>
              <w:t>优质铝金</w:t>
            </w:r>
            <w:r>
              <w:rPr>
                <w:bCs/>
                <w:szCs w:val="21"/>
              </w:rPr>
              <w:t>6063-T5</w:t>
            </w:r>
          </w:p>
        </w:tc>
        <w:tc>
          <w:tcPr>
            <w:tcW w:w="775" w:type="dxa"/>
            <w:tcBorders>
              <w:top w:val="single" w:color="auto" w:sz="4" w:space="0"/>
              <w:left w:val="single" w:color="auto" w:sz="4" w:space="0"/>
              <w:bottom w:val="single" w:color="auto" w:sz="4" w:space="0"/>
              <w:right w:val="single" w:color="auto" w:sz="4" w:space="0"/>
            </w:tcBorders>
          </w:tcPr>
          <w:p>
            <w:pPr>
              <w:spacing w:line="500" w:lineRule="exact"/>
              <w:jc w:val="center"/>
              <w:rPr>
                <w:bCs/>
                <w:szCs w:val="21"/>
              </w:rPr>
            </w:pPr>
            <w:r>
              <w:rPr>
                <w:rFonts w:hint="eastAsia"/>
                <w:bCs/>
                <w:szCs w:val="21"/>
              </w:rPr>
              <w:t>镀锌管</w:t>
            </w:r>
          </w:p>
        </w:tc>
        <w:tc>
          <w:tcPr>
            <w:tcW w:w="1318" w:type="dxa"/>
            <w:tcBorders>
              <w:top w:val="single" w:color="auto" w:sz="4" w:space="0"/>
              <w:left w:val="single" w:color="auto" w:sz="4" w:space="0"/>
              <w:bottom w:val="single" w:color="auto" w:sz="4" w:space="0"/>
              <w:right w:val="single" w:color="auto" w:sz="4" w:space="0"/>
            </w:tcBorders>
          </w:tcPr>
          <w:p>
            <w:pPr>
              <w:spacing w:line="500" w:lineRule="exact"/>
              <w:jc w:val="center"/>
              <w:rPr>
                <w:bCs/>
                <w:sz w:val="20"/>
                <w:szCs w:val="20"/>
              </w:rPr>
            </w:pPr>
            <w:r>
              <w:rPr>
                <w:rFonts w:hint="eastAsia"/>
                <w:bCs/>
                <w:szCs w:val="21"/>
              </w:rPr>
              <w:t>优质铝金</w:t>
            </w:r>
            <w:r>
              <w:rPr>
                <w:bCs/>
                <w:szCs w:val="21"/>
              </w:rPr>
              <w:t>6063-T5</w:t>
            </w:r>
          </w:p>
        </w:tc>
        <w:tc>
          <w:tcPr>
            <w:tcW w:w="1272" w:type="dxa"/>
            <w:tcBorders>
              <w:top w:val="single" w:color="auto" w:sz="4" w:space="0"/>
              <w:left w:val="single" w:color="auto" w:sz="4" w:space="0"/>
              <w:bottom w:val="single" w:color="auto" w:sz="4" w:space="0"/>
              <w:right w:val="single" w:color="auto" w:sz="4" w:space="0"/>
            </w:tcBorders>
          </w:tcPr>
          <w:p>
            <w:pPr>
              <w:spacing w:line="500" w:lineRule="exact"/>
              <w:jc w:val="center"/>
              <w:rPr>
                <w:bCs/>
                <w:szCs w:val="21"/>
              </w:rPr>
            </w:pPr>
            <w:r>
              <w:rPr>
                <w:rFonts w:hint="eastAsia"/>
                <w:bCs/>
                <w:szCs w:val="21"/>
              </w:rPr>
              <w:t>优质铝金</w:t>
            </w:r>
            <w:r>
              <w:rPr>
                <w:bCs/>
                <w:szCs w:val="21"/>
              </w:rPr>
              <w:t>6063-T5</w:t>
            </w:r>
          </w:p>
        </w:tc>
        <w:tc>
          <w:tcPr>
            <w:tcW w:w="1007" w:type="dxa"/>
            <w:tcBorders>
              <w:top w:val="single" w:color="auto" w:sz="4" w:space="0"/>
              <w:left w:val="single" w:color="auto" w:sz="4" w:space="0"/>
              <w:bottom w:val="single" w:color="auto" w:sz="4" w:space="0"/>
              <w:right w:val="single" w:color="auto" w:sz="4" w:space="0"/>
            </w:tcBorders>
          </w:tcPr>
          <w:p>
            <w:pPr>
              <w:spacing w:line="500" w:lineRule="exact"/>
              <w:jc w:val="center"/>
              <w:rPr>
                <w:bCs/>
                <w:szCs w:val="21"/>
              </w:rPr>
            </w:pPr>
            <w:r>
              <w:rPr>
                <w:rFonts w:hint="eastAsia"/>
                <w:bCs/>
                <w:szCs w:val="21"/>
              </w:rPr>
              <w:t>镀锌管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7" w:hRule="atLeast"/>
        </w:trPr>
        <w:tc>
          <w:tcPr>
            <w:tcW w:w="427" w:type="dxa"/>
            <w:tcBorders>
              <w:top w:val="single" w:color="auto" w:sz="4" w:space="0"/>
              <w:left w:val="single" w:color="auto" w:sz="4" w:space="0"/>
              <w:bottom w:val="single" w:color="auto" w:sz="4" w:space="0"/>
              <w:right w:val="single" w:color="auto" w:sz="4" w:space="0"/>
            </w:tcBorders>
          </w:tcPr>
          <w:p>
            <w:pPr>
              <w:spacing w:line="500" w:lineRule="exact"/>
              <w:jc w:val="center"/>
              <w:rPr>
                <w:rFonts w:hint="eastAsia" w:ascii="黑体" w:hAnsi="黑体" w:eastAsia="黑体" w:cs="黑体"/>
                <w:bCs/>
                <w:sz w:val="20"/>
                <w:szCs w:val="20"/>
              </w:rPr>
            </w:pPr>
            <w:r>
              <w:rPr>
                <w:rFonts w:hint="eastAsia" w:ascii="黑体" w:hAnsi="黑体" w:eastAsia="黑体" w:cs="黑体"/>
                <w:bCs/>
                <w:sz w:val="20"/>
                <w:szCs w:val="20"/>
              </w:rPr>
              <w:t>规格</w:t>
            </w:r>
          </w:p>
        </w:tc>
        <w:tc>
          <w:tcPr>
            <w:tcW w:w="1366" w:type="dxa"/>
            <w:tcBorders>
              <w:top w:val="single" w:color="auto" w:sz="4" w:space="0"/>
              <w:left w:val="single" w:color="auto" w:sz="4" w:space="0"/>
              <w:bottom w:val="single" w:color="auto" w:sz="4" w:space="0"/>
              <w:right w:val="single" w:color="auto" w:sz="4" w:space="0"/>
            </w:tcBorders>
          </w:tcPr>
          <w:p>
            <w:pPr>
              <w:spacing w:line="500" w:lineRule="exact"/>
              <w:jc w:val="center"/>
              <w:rPr>
                <w:bCs/>
                <w:sz w:val="20"/>
                <w:szCs w:val="20"/>
              </w:rPr>
            </w:pPr>
            <w:r>
              <w:rPr>
                <w:rFonts w:hint="eastAsia"/>
                <w:bCs/>
                <w:sz w:val="20"/>
                <w:szCs w:val="20"/>
              </w:rPr>
              <w:t>330</w:t>
            </w:r>
            <w:r>
              <w:rPr>
                <w:bCs/>
                <w:sz w:val="20"/>
                <w:szCs w:val="20"/>
              </w:rPr>
              <w:t>*2</w:t>
            </w:r>
            <w:r>
              <w:rPr>
                <w:rFonts w:hint="eastAsia"/>
                <w:bCs/>
                <w:sz w:val="20"/>
                <w:szCs w:val="20"/>
              </w:rPr>
              <w:t>6</w:t>
            </w:r>
            <w:r>
              <w:rPr>
                <w:bCs/>
                <w:sz w:val="20"/>
                <w:szCs w:val="20"/>
              </w:rPr>
              <w:t>0*</w:t>
            </w:r>
            <w:r>
              <w:rPr>
                <w:rFonts w:hint="eastAsia"/>
                <w:bCs/>
                <w:sz w:val="20"/>
                <w:szCs w:val="20"/>
              </w:rPr>
              <w:t>10.0</w:t>
            </w:r>
          </w:p>
        </w:tc>
        <w:tc>
          <w:tcPr>
            <w:tcW w:w="1583" w:type="dxa"/>
            <w:tcBorders>
              <w:top w:val="single" w:color="auto" w:sz="4" w:space="0"/>
              <w:left w:val="single" w:color="auto" w:sz="4" w:space="0"/>
              <w:bottom w:val="single" w:color="auto" w:sz="4" w:space="0"/>
              <w:right w:val="single" w:color="auto" w:sz="4" w:space="0"/>
            </w:tcBorders>
          </w:tcPr>
          <w:p>
            <w:pPr>
              <w:spacing w:line="500" w:lineRule="exact"/>
              <w:rPr>
                <w:bCs/>
                <w:sz w:val="20"/>
                <w:szCs w:val="20"/>
              </w:rPr>
            </w:pPr>
            <w:r>
              <w:rPr>
                <w:bCs/>
                <w:sz w:val="20"/>
                <w:szCs w:val="20"/>
              </w:rPr>
              <w:t>100*</w:t>
            </w:r>
            <w:r>
              <w:rPr>
                <w:rFonts w:hint="eastAsia"/>
                <w:bCs/>
                <w:sz w:val="20"/>
                <w:szCs w:val="20"/>
              </w:rPr>
              <w:t>120</w:t>
            </w:r>
            <w:r>
              <w:rPr>
                <w:bCs/>
                <w:sz w:val="20"/>
                <w:szCs w:val="20"/>
              </w:rPr>
              <w:t>*2.0-</w:t>
            </w:r>
            <w:r>
              <w:rPr>
                <w:rFonts w:hint="eastAsia"/>
                <w:bCs/>
                <w:sz w:val="20"/>
                <w:szCs w:val="20"/>
              </w:rPr>
              <w:t>4</w:t>
            </w:r>
            <w:r>
              <w:rPr>
                <w:bCs/>
                <w:sz w:val="20"/>
                <w:szCs w:val="20"/>
              </w:rPr>
              <w:t>.0</w:t>
            </w:r>
          </w:p>
        </w:tc>
        <w:tc>
          <w:tcPr>
            <w:tcW w:w="1133" w:type="dxa"/>
            <w:tcBorders>
              <w:top w:val="single" w:color="auto" w:sz="4" w:space="0"/>
              <w:left w:val="single" w:color="auto" w:sz="4" w:space="0"/>
              <w:bottom w:val="single" w:color="auto" w:sz="4" w:space="0"/>
              <w:right w:val="single" w:color="auto" w:sz="4" w:space="0"/>
            </w:tcBorders>
          </w:tcPr>
          <w:p>
            <w:pPr>
              <w:spacing w:line="500" w:lineRule="exact"/>
              <w:jc w:val="center"/>
              <w:rPr>
                <w:bCs/>
                <w:sz w:val="20"/>
                <w:szCs w:val="20"/>
              </w:rPr>
            </w:pPr>
            <w:r>
              <w:rPr>
                <w:rFonts w:hint="eastAsia"/>
                <w:bCs/>
                <w:sz w:val="20"/>
                <w:szCs w:val="20"/>
              </w:rPr>
              <w:t>9</w:t>
            </w:r>
            <w:r>
              <w:rPr>
                <w:bCs/>
                <w:sz w:val="20"/>
                <w:szCs w:val="20"/>
              </w:rPr>
              <w:t>0*80*</w:t>
            </w:r>
            <w:r>
              <w:rPr>
                <w:rFonts w:hint="eastAsia"/>
                <w:bCs/>
                <w:sz w:val="20"/>
                <w:szCs w:val="20"/>
              </w:rPr>
              <w:t>2.0</w:t>
            </w:r>
          </w:p>
        </w:tc>
        <w:tc>
          <w:tcPr>
            <w:tcW w:w="1172" w:type="dxa"/>
            <w:tcBorders>
              <w:top w:val="single" w:color="auto" w:sz="4" w:space="0"/>
              <w:left w:val="single" w:color="auto" w:sz="4" w:space="0"/>
              <w:bottom w:val="single" w:color="auto" w:sz="4" w:space="0"/>
              <w:right w:val="single" w:color="auto" w:sz="4" w:space="0"/>
            </w:tcBorders>
          </w:tcPr>
          <w:p>
            <w:pPr>
              <w:spacing w:line="500" w:lineRule="exact"/>
              <w:rPr>
                <w:bCs/>
                <w:sz w:val="20"/>
                <w:szCs w:val="20"/>
              </w:rPr>
            </w:pPr>
            <w:r>
              <w:rPr>
                <w:bCs/>
                <w:sz w:val="20"/>
                <w:szCs w:val="20"/>
              </w:rPr>
              <w:t>45*32</w:t>
            </w:r>
            <w:r>
              <w:rPr>
                <w:rFonts w:hint="eastAsia"/>
                <w:bCs/>
                <w:sz w:val="20"/>
                <w:szCs w:val="20"/>
              </w:rPr>
              <w:t>*</w:t>
            </w:r>
            <w:r>
              <w:rPr>
                <w:bCs/>
                <w:sz w:val="20"/>
                <w:szCs w:val="20"/>
              </w:rPr>
              <w:t>1.</w:t>
            </w:r>
            <w:r>
              <w:rPr>
                <w:rFonts w:hint="eastAsia"/>
                <w:bCs/>
                <w:sz w:val="20"/>
                <w:szCs w:val="20"/>
              </w:rPr>
              <w:t>0</w:t>
            </w:r>
          </w:p>
        </w:tc>
        <w:tc>
          <w:tcPr>
            <w:tcW w:w="775" w:type="dxa"/>
            <w:tcBorders>
              <w:top w:val="single" w:color="auto" w:sz="4" w:space="0"/>
              <w:left w:val="single" w:color="auto" w:sz="4" w:space="0"/>
              <w:bottom w:val="single" w:color="auto" w:sz="4" w:space="0"/>
              <w:right w:val="single" w:color="auto" w:sz="4" w:space="0"/>
            </w:tcBorders>
          </w:tcPr>
          <w:p>
            <w:pPr>
              <w:spacing w:line="500" w:lineRule="exact"/>
              <w:jc w:val="center"/>
              <w:rPr>
                <w:bCs/>
                <w:sz w:val="20"/>
                <w:szCs w:val="20"/>
              </w:rPr>
            </w:pPr>
            <w:r>
              <w:rPr>
                <w:rFonts w:hint="eastAsia" w:ascii="宋体" w:hAnsi="宋体" w:cs="宋体"/>
                <w:bCs/>
                <w:sz w:val="20"/>
                <w:szCs w:val="20"/>
              </w:rPr>
              <w:t>Ø25</w:t>
            </w:r>
          </w:p>
        </w:tc>
        <w:tc>
          <w:tcPr>
            <w:tcW w:w="1318" w:type="dxa"/>
            <w:tcBorders>
              <w:top w:val="single" w:color="auto" w:sz="4" w:space="0"/>
              <w:left w:val="single" w:color="auto" w:sz="4" w:space="0"/>
              <w:bottom w:val="single" w:color="auto" w:sz="4" w:space="0"/>
              <w:right w:val="single" w:color="auto" w:sz="4" w:space="0"/>
            </w:tcBorders>
          </w:tcPr>
          <w:p>
            <w:pPr>
              <w:spacing w:line="500" w:lineRule="exact"/>
              <w:jc w:val="center"/>
              <w:rPr>
                <w:bCs/>
                <w:sz w:val="18"/>
                <w:szCs w:val="18"/>
              </w:rPr>
            </w:pPr>
            <w:r>
              <w:rPr>
                <w:bCs/>
                <w:sz w:val="20"/>
                <w:szCs w:val="20"/>
              </w:rPr>
              <w:t>100*100*2.0</w:t>
            </w:r>
          </w:p>
        </w:tc>
        <w:tc>
          <w:tcPr>
            <w:tcW w:w="1272" w:type="dxa"/>
            <w:tcBorders>
              <w:top w:val="single" w:color="auto" w:sz="4" w:space="0"/>
              <w:left w:val="single" w:color="auto" w:sz="4" w:space="0"/>
              <w:bottom w:val="single" w:color="auto" w:sz="4" w:space="0"/>
              <w:right w:val="single" w:color="auto" w:sz="4" w:space="0"/>
            </w:tcBorders>
          </w:tcPr>
          <w:p>
            <w:pPr>
              <w:spacing w:line="500" w:lineRule="exact"/>
              <w:jc w:val="center"/>
              <w:rPr>
                <w:bCs/>
                <w:sz w:val="20"/>
                <w:szCs w:val="20"/>
              </w:rPr>
            </w:pPr>
            <w:r>
              <w:rPr>
                <w:bCs/>
                <w:sz w:val="20"/>
                <w:szCs w:val="20"/>
              </w:rPr>
              <w:t>300*100*3.0</w:t>
            </w:r>
          </w:p>
          <w:p>
            <w:pPr>
              <w:spacing w:line="500" w:lineRule="exact"/>
              <w:jc w:val="center"/>
              <w:rPr>
                <w:bCs/>
                <w:sz w:val="20"/>
                <w:szCs w:val="20"/>
              </w:rPr>
            </w:pPr>
            <w:r>
              <w:rPr>
                <w:bCs/>
                <w:sz w:val="20"/>
                <w:szCs w:val="20"/>
              </w:rPr>
              <w:t>100*100*2.0</w:t>
            </w:r>
          </w:p>
        </w:tc>
        <w:tc>
          <w:tcPr>
            <w:tcW w:w="1007" w:type="dxa"/>
            <w:tcBorders>
              <w:top w:val="single" w:color="auto" w:sz="4" w:space="0"/>
              <w:left w:val="single" w:color="auto" w:sz="4" w:space="0"/>
              <w:bottom w:val="single" w:color="auto" w:sz="4" w:space="0"/>
              <w:right w:val="single" w:color="auto" w:sz="4" w:space="0"/>
            </w:tcBorders>
          </w:tcPr>
          <w:p>
            <w:pPr>
              <w:spacing w:line="500" w:lineRule="exact"/>
              <w:jc w:val="center"/>
              <w:rPr>
                <w:rFonts w:hint="eastAsia" w:ascii="宋体" w:hAnsi="宋体" w:cs="宋体"/>
                <w:bCs/>
                <w:sz w:val="20"/>
                <w:szCs w:val="20"/>
              </w:rPr>
            </w:pPr>
            <w:r>
              <w:rPr>
                <w:rFonts w:hint="eastAsia" w:ascii="宋体" w:hAnsi="宋体" w:cs="宋体"/>
                <w:bCs/>
                <w:sz w:val="20"/>
                <w:szCs w:val="20"/>
              </w:rPr>
              <w:t>Ø48*2.0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trPr>
        <w:tc>
          <w:tcPr>
            <w:tcW w:w="427" w:type="dxa"/>
            <w:tcBorders>
              <w:top w:val="single" w:color="auto" w:sz="4" w:space="0"/>
              <w:left w:val="single" w:color="auto" w:sz="4" w:space="0"/>
              <w:bottom w:val="single" w:color="auto" w:sz="4" w:space="0"/>
              <w:right w:val="single" w:color="auto" w:sz="4" w:space="0"/>
            </w:tcBorders>
          </w:tcPr>
          <w:p>
            <w:pPr>
              <w:spacing w:line="500" w:lineRule="exact"/>
              <w:jc w:val="center"/>
              <w:rPr>
                <w:rFonts w:hint="eastAsia" w:ascii="黑体" w:hAnsi="黑体" w:eastAsia="黑体" w:cs="黑体"/>
                <w:bCs/>
                <w:sz w:val="20"/>
                <w:szCs w:val="20"/>
              </w:rPr>
            </w:pPr>
            <w:r>
              <w:rPr>
                <w:rFonts w:hint="eastAsia" w:ascii="黑体" w:hAnsi="黑体" w:eastAsia="黑体" w:cs="黑体"/>
                <w:bCs/>
                <w:sz w:val="20"/>
                <w:szCs w:val="20"/>
              </w:rPr>
              <w:t>处理</w:t>
            </w:r>
          </w:p>
        </w:tc>
        <w:tc>
          <w:tcPr>
            <w:tcW w:w="1366" w:type="dxa"/>
            <w:tcBorders>
              <w:top w:val="single" w:color="auto" w:sz="4" w:space="0"/>
              <w:left w:val="single" w:color="auto" w:sz="4" w:space="0"/>
              <w:bottom w:val="single" w:color="auto" w:sz="4" w:space="0"/>
              <w:right w:val="single" w:color="auto" w:sz="4" w:space="0"/>
            </w:tcBorders>
          </w:tcPr>
          <w:p>
            <w:pPr>
              <w:spacing w:line="500" w:lineRule="exact"/>
              <w:jc w:val="center"/>
              <w:rPr>
                <w:bCs/>
                <w:sz w:val="20"/>
                <w:szCs w:val="20"/>
              </w:rPr>
            </w:pPr>
            <w:r>
              <w:rPr>
                <w:rFonts w:hint="eastAsia"/>
                <w:bCs/>
                <w:sz w:val="20"/>
                <w:szCs w:val="20"/>
              </w:rPr>
              <w:t>喷涂</w:t>
            </w:r>
          </w:p>
        </w:tc>
        <w:tc>
          <w:tcPr>
            <w:tcW w:w="1583" w:type="dxa"/>
            <w:tcBorders>
              <w:top w:val="single" w:color="auto" w:sz="4" w:space="0"/>
              <w:left w:val="single" w:color="auto" w:sz="4" w:space="0"/>
              <w:bottom w:val="single" w:color="auto" w:sz="4" w:space="0"/>
              <w:right w:val="single" w:color="auto" w:sz="4" w:space="0"/>
            </w:tcBorders>
          </w:tcPr>
          <w:p>
            <w:pPr>
              <w:spacing w:line="500" w:lineRule="exact"/>
              <w:jc w:val="center"/>
              <w:rPr>
                <w:bCs/>
                <w:sz w:val="20"/>
                <w:szCs w:val="20"/>
              </w:rPr>
            </w:pPr>
            <w:r>
              <w:rPr>
                <w:rFonts w:hint="eastAsia"/>
                <w:bCs/>
                <w:sz w:val="20"/>
                <w:szCs w:val="20"/>
              </w:rPr>
              <w:t>喷涂</w:t>
            </w:r>
          </w:p>
        </w:tc>
        <w:tc>
          <w:tcPr>
            <w:tcW w:w="1133" w:type="dxa"/>
            <w:tcBorders>
              <w:top w:val="single" w:color="auto" w:sz="4" w:space="0"/>
              <w:left w:val="single" w:color="auto" w:sz="4" w:space="0"/>
              <w:bottom w:val="single" w:color="auto" w:sz="4" w:space="0"/>
              <w:right w:val="single" w:color="auto" w:sz="4" w:space="0"/>
            </w:tcBorders>
          </w:tcPr>
          <w:p>
            <w:pPr>
              <w:spacing w:line="500" w:lineRule="exact"/>
              <w:jc w:val="center"/>
              <w:rPr>
                <w:bCs/>
                <w:sz w:val="20"/>
                <w:szCs w:val="20"/>
              </w:rPr>
            </w:pPr>
            <w:r>
              <w:rPr>
                <w:rFonts w:hint="eastAsia"/>
                <w:bCs/>
                <w:sz w:val="20"/>
                <w:szCs w:val="20"/>
              </w:rPr>
              <w:t>喷涂</w:t>
            </w:r>
          </w:p>
        </w:tc>
        <w:tc>
          <w:tcPr>
            <w:tcW w:w="1172" w:type="dxa"/>
            <w:tcBorders>
              <w:top w:val="single" w:color="auto" w:sz="4" w:space="0"/>
              <w:left w:val="single" w:color="auto" w:sz="4" w:space="0"/>
              <w:bottom w:val="single" w:color="auto" w:sz="4" w:space="0"/>
              <w:right w:val="single" w:color="auto" w:sz="4" w:space="0"/>
            </w:tcBorders>
          </w:tcPr>
          <w:p>
            <w:pPr>
              <w:spacing w:line="500" w:lineRule="exact"/>
              <w:jc w:val="center"/>
              <w:rPr>
                <w:bCs/>
                <w:sz w:val="20"/>
                <w:szCs w:val="20"/>
              </w:rPr>
            </w:pPr>
            <w:r>
              <w:rPr>
                <w:rFonts w:hint="eastAsia"/>
                <w:bCs/>
                <w:sz w:val="20"/>
                <w:szCs w:val="20"/>
              </w:rPr>
              <w:t>喷涂</w:t>
            </w:r>
          </w:p>
        </w:tc>
        <w:tc>
          <w:tcPr>
            <w:tcW w:w="775" w:type="dxa"/>
            <w:tcBorders>
              <w:top w:val="single" w:color="auto" w:sz="4" w:space="0"/>
              <w:left w:val="single" w:color="auto" w:sz="4" w:space="0"/>
              <w:bottom w:val="single" w:color="auto" w:sz="4" w:space="0"/>
              <w:right w:val="single" w:color="auto" w:sz="4" w:space="0"/>
            </w:tcBorders>
          </w:tcPr>
          <w:p>
            <w:pPr>
              <w:spacing w:line="500" w:lineRule="exact"/>
              <w:jc w:val="center"/>
              <w:rPr>
                <w:bCs/>
                <w:sz w:val="20"/>
                <w:szCs w:val="20"/>
              </w:rPr>
            </w:pPr>
            <w:r>
              <w:rPr>
                <w:rFonts w:hint="eastAsia"/>
                <w:bCs/>
                <w:sz w:val="20"/>
                <w:szCs w:val="20"/>
              </w:rPr>
              <w:t>喷涂</w:t>
            </w:r>
          </w:p>
        </w:tc>
        <w:tc>
          <w:tcPr>
            <w:tcW w:w="1318" w:type="dxa"/>
            <w:tcBorders>
              <w:top w:val="single" w:color="auto" w:sz="4" w:space="0"/>
              <w:left w:val="single" w:color="auto" w:sz="4" w:space="0"/>
              <w:bottom w:val="single" w:color="auto" w:sz="4" w:space="0"/>
              <w:right w:val="single" w:color="auto" w:sz="4" w:space="0"/>
            </w:tcBorders>
          </w:tcPr>
          <w:p>
            <w:pPr>
              <w:spacing w:line="500" w:lineRule="exact"/>
              <w:jc w:val="center"/>
              <w:rPr>
                <w:bCs/>
                <w:sz w:val="18"/>
                <w:szCs w:val="18"/>
              </w:rPr>
            </w:pPr>
            <w:r>
              <w:rPr>
                <w:rFonts w:hint="eastAsia"/>
                <w:bCs/>
                <w:sz w:val="20"/>
                <w:szCs w:val="20"/>
              </w:rPr>
              <w:t>喷涂</w:t>
            </w:r>
          </w:p>
        </w:tc>
        <w:tc>
          <w:tcPr>
            <w:tcW w:w="1272" w:type="dxa"/>
            <w:tcBorders>
              <w:top w:val="single" w:color="auto" w:sz="4" w:space="0"/>
              <w:left w:val="single" w:color="auto" w:sz="4" w:space="0"/>
              <w:bottom w:val="single" w:color="auto" w:sz="4" w:space="0"/>
              <w:right w:val="single" w:color="auto" w:sz="4" w:space="0"/>
            </w:tcBorders>
          </w:tcPr>
          <w:p>
            <w:pPr>
              <w:spacing w:line="500" w:lineRule="exact"/>
              <w:jc w:val="center"/>
              <w:rPr>
                <w:bCs/>
                <w:sz w:val="20"/>
                <w:szCs w:val="20"/>
              </w:rPr>
            </w:pPr>
            <w:r>
              <w:rPr>
                <w:rFonts w:hint="eastAsia"/>
                <w:bCs/>
                <w:sz w:val="18"/>
                <w:szCs w:val="18"/>
              </w:rPr>
              <w:t>喷涂</w:t>
            </w:r>
          </w:p>
        </w:tc>
        <w:tc>
          <w:tcPr>
            <w:tcW w:w="1007" w:type="dxa"/>
            <w:tcBorders>
              <w:top w:val="single" w:color="auto" w:sz="4" w:space="0"/>
              <w:left w:val="single" w:color="auto" w:sz="4" w:space="0"/>
              <w:bottom w:val="single" w:color="auto" w:sz="4" w:space="0"/>
              <w:right w:val="single" w:color="auto" w:sz="4" w:space="0"/>
            </w:tcBorders>
          </w:tcPr>
          <w:p>
            <w:pPr>
              <w:spacing w:line="500" w:lineRule="exact"/>
              <w:jc w:val="center"/>
              <w:rPr>
                <w:bCs/>
                <w:sz w:val="20"/>
                <w:szCs w:val="20"/>
              </w:rPr>
            </w:pPr>
            <w:r>
              <w:rPr>
                <w:bCs/>
                <w:sz w:val="20"/>
                <w:szCs w:val="20"/>
              </w:rPr>
              <w:t xml:space="preserve"> </w:t>
            </w:r>
            <w:r>
              <w:rPr>
                <w:rFonts w:hint="eastAsia"/>
                <w:bCs/>
                <w:sz w:val="20"/>
                <w:szCs w:val="20"/>
              </w:rPr>
              <w:t>喷涂</w:t>
            </w:r>
          </w:p>
        </w:tc>
      </w:tr>
    </w:tbl>
    <w:p>
      <w:pPr>
        <w:spacing w:line="360" w:lineRule="exact"/>
        <w:rPr>
          <w:sz w:val="24"/>
        </w:rPr>
      </w:pPr>
      <w:r>
        <w:rPr>
          <w:rFonts w:hint="eastAsia" w:ascii="宋体" w:hAnsi="宋体" w:cs="宋体"/>
          <w:b/>
          <w:bCs/>
          <w:sz w:val="24"/>
          <w:szCs w:val="22"/>
        </w:rPr>
        <w:t>二</w:t>
      </w:r>
      <w:r>
        <w:rPr>
          <w:rFonts w:hint="eastAsia"/>
          <w:b/>
          <w:bCs/>
          <w:sz w:val="30"/>
          <w:szCs w:val="30"/>
        </w:rPr>
        <w:t>、材质参数</w:t>
      </w:r>
    </w:p>
    <w:p>
      <w:pPr>
        <w:pStyle w:val="16"/>
        <w:ind w:left="624" w:right="-178" w:rightChars="-85" w:firstLine="0" w:firstLineChars="0"/>
        <w:jc w:val="left"/>
        <w:rPr>
          <w:sz w:val="24"/>
        </w:rPr>
      </w:pPr>
    </w:p>
    <w:p>
      <w:pPr>
        <w:rPr>
          <w:rFonts w:hint="eastAsia" w:cs="宋体" w:asciiTheme="majorEastAsia" w:hAnsiTheme="majorEastAsia" w:eastAsiaTheme="majorEastAsia"/>
          <w:b/>
          <w:color w:val="000000"/>
          <w:kern w:val="0"/>
          <w:sz w:val="30"/>
          <w:szCs w:val="30"/>
        </w:rPr>
      </w:pPr>
    </w:p>
    <w:p>
      <w:pPr>
        <w:rPr>
          <w:rFonts w:hint="eastAsia" w:cs="宋体" w:asciiTheme="majorEastAsia" w:hAnsiTheme="majorEastAsia" w:eastAsiaTheme="majorEastAsia"/>
          <w:b/>
          <w:color w:val="000000"/>
          <w:kern w:val="0"/>
          <w:sz w:val="30"/>
          <w:szCs w:val="30"/>
        </w:rPr>
      </w:pPr>
      <w:r>
        <w:rPr>
          <w:rFonts w:hint="eastAsia" w:cs="宋体" w:asciiTheme="majorEastAsia" w:hAnsiTheme="majorEastAsia" w:eastAsiaTheme="majorEastAsia"/>
          <w:b/>
          <w:color w:val="000000"/>
          <w:kern w:val="0"/>
          <w:sz w:val="30"/>
          <w:szCs w:val="30"/>
        </w:rPr>
        <w:t>电机图片、工作原理及参数：</w:t>
      </w:r>
    </w:p>
    <w:p>
      <w:pPr>
        <w:rPr>
          <w:rFonts w:hint="eastAsia" w:cs="宋体" w:asciiTheme="majorEastAsia" w:hAnsiTheme="majorEastAsia" w:eastAsiaTheme="majorEastAsia"/>
          <w:b/>
          <w:color w:val="000000"/>
          <w:kern w:val="0"/>
          <w:sz w:val="30"/>
          <w:szCs w:val="30"/>
        </w:rPr>
      </w:pPr>
      <w:r>
        <w:rPr>
          <w:sz w:val="36"/>
          <w:szCs w:val="36"/>
        </w:rPr>
        <w:drawing>
          <wp:inline distT="0" distB="0" distL="0" distR="0">
            <wp:extent cx="4853940" cy="2171700"/>
            <wp:effectExtent l="0" t="0" r="3810" b="0"/>
            <wp:docPr id="6" name="图片 1" descr="628bd710467567cdd3fee09e549362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1" descr="628bd710467567cdd3fee09e549362f"/>
                    <pic:cNvPicPr>
                      <a:picLocks noChangeAspect="1" noChangeArrowheads="1"/>
                    </pic:cNvPicPr>
                  </pic:nvPicPr>
                  <pic:blipFill>
                    <a:blip r:embed="rId4" cstate="print"/>
                    <a:srcRect/>
                    <a:stretch>
                      <a:fillRect/>
                    </a:stretch>
                  </pic:blipFill>
                  <pic:spPr>
                    <a:xfrm>
                      <a:off x="0" y="0"/>
                      <a:ext cx="4853940" cy="2171700"/>
                    </a:xfrm>
                    <a:prstGeom prst="rect">
                      <a:avLst/>
                    </a:prstGeom>
                    <a:noFill/>
                    <a:ln w="9525">
                      <a:noFill/>
                      <a:miter lim="800000"/>
                      <a:headEnd/>
                      <a:tailEnd/>
                    </a:ln>
                  </pic:spPr>
                </pic:pic>
              </a:graphicData>
            </a:graphic>
          </wp:inline>
        </w:drawing>
      </w:r>
    </w:p>
    <w:p>
      <w:pPr>
        <w:numPr>
          <w:ilvl w:val="0"/>
          <w:numId w:val="0"/>
        </w:numPr>
        <w:spacing w:line="460" w:lineRule="exact"/>
        <w:rPr>
          <w:rFonts w:hint="eastAsia" w:ascii="仿宋" w:hAnsi="仿宋" w:eastAsia="仿宋" w:cs="仿宋"/>
          <w:b/>
          <w:bCs/>
          <w:color w:val="000000"/>
          <w:sz w:val="24"/>
          <w:szCs w:val="24"/>
        </w:rPr>
      </w:pPr>
    </w:p>
    <w:p>
      <w:pPr>
        <w:numPr>
          <w:ilvl w:val="0"/>
          <w:numId w:val="3"/>
        </w:numPr>
        <w:spacing w:line="460" w:lineRule="exact"/>
        <w:ind w:leftChars="0"/>
        <w:rPr>
          <w:rFonts w:hint="eastAsia" w:ascii="仿宋" w:hAnsi="仿宋" w:eastAsia="仿宋" w:cs="仿宋"/>
          <w:b/>
          <w:bCs/>
          <w:color w:val="000000"/>
          <w:sz w:val="24"/>
          <w:szCs w:val="24"/>
        </w:rPr>
      </w:pPr>
      <w:r>
        <w:rPr>
          <w:rFonts w:hint="eastAsia" w:ascii="仿宋" w:hAnsi="仿宋" w:eastAsia="仿宋" w:cs="仿宋"/>
          <w:b/>
          <w:bCs/>
          <w:color w:val="000000"/>
          <w:sz w:val="24"/>
          <w:szCs w:val="24"/>
        </w:rPr>
        <w:t>竣工验收合格标准：</w:t>
      </w:r>
    </w:p>
    <w:p>
      <w:pPr>
        <w:numPr>
          <w:ilvl w:val="0"/>
          <w:numId w:val="0"/>
        </w:numPr>
        <w:spacing w:line="460" w:lineRule="exact"/>
        <w:rPr>
          <w:rFonts w:hint="eastAsia" w:ascii="仿宋" w:hAnsi="仿宋" w:eastAsia="仿宋" w:cs="仿宋"/>
          <w:color w:val="000000"/>
          <w:sz w:val="24"/>
          <w:szCs w:val="24"/>
        </w:rPr>
      </w:pPr>
      <w:r>
        <w:rPr>
          <w:rFonts w:hint="eastAsia" w:ascii="仿宋" w:hAnsi="仿宋" w:eastAsia="仿宋" w:cs="仿宋"/>
          <w:b w:val="0"/>
          <w:bCs w:val="0"/>
          <w:color w:val="000000"/>
          <w:sz w:val="24"/>
          <w:szCs w:val="24"/>
          <w:lang w:eastAsia="zh-CN"/>
        </w:rPr>
        <w:t>（</w:t>
      </w:r>
      <w:r>
        <w:rPr>
          <w:rFonts w:hint="eastAsia" w:ascii="仿宋" w:hAnsi="仿宋" w:eastAsia="仿宋" w:cs="仿宋"/>
          <w:b w:val="0"/>
          <w:bCs w:val="0"/>
          <w:color w:val="000000"/>
          <w:sz w:val="24"/>
          <w:szCs w:val="24"/>
          <w:lang w:val="en-US" w:eastAsia="zh-CN"/>
        </w:rPr>
        <w:t>1</w:t>
      </w:r>
      <w:r>
        <w:rPr>
          <w:rFonts w:hint="eastAsia" w:ascii="仿宋" w:hAnsi="仿宋" w:eastAsia="仿宋" w:cs="仿宋"/>
          <w:b w:val="0"/>
          <w:bCs w:val="0"/>
          <w:color w:val="000000"/>
          <w:sz w:val="24"/>
          <w:szCs w:val="24"/>
          <w:lang w:eastAsia="zh-CN"/>
        </w:rPr>
        <w:t>）</w:t>
      </w:r>
      <w:r>
        <w:rPr>
          <w:rFonts w:hint="eastAsia" w:ascii="仿宋" w:hAnsi="仿宋" w:eastAsia="仿宋" w:cs="仿宋"/>
          <w:color w:val="000000"/>
          <w:sz w:val="24"/>
          <w:szCs w:val="24"/>
        </w:rPr>
        <w:t>电改造工程施工工艺及验收标准</w:t>
      </w:r>
    </w:p>
    <w:p>
      <w:pPr>
        <w:numPr>
          <w:ilvl w:val="0"/>
          <w:numId w:val="4"/>
        </w:numPr>
        <w:spacing w:line="46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同一房间同一类型的开关、插座高度一致，相邻面板间的间距一致，安装牢固、盖板端正、位置合理、表面清洁。</w:t>
      </w:r>
    </w:p>
    <w:p>
      <w:pPr>
        <w:numPr>
          <w:ilvl w:val="0"/>
          <w:numId w:val="4"/>
        </w:numPr>
        <w:spacing w:line="46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所有房间灯具使用正常。</w:t>
      </w:r>
    </w:p>
    <w:p>
      <w:pPr>
        <w:numPr>
          <w:ilvl w:val="0"/>
          <w:numId w:val="4"/>
        </w:numPr>
        <w:spacing w:line="46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所有房间电源及空调插座使用正常。</w:t>
      </w:r>
    </w:p>
    <w:p>
      <w:pPr>
        <w:numPr>
          <w:ilvl w:val="0"/>
          <w:numId w:val="4"/>
        </w:numPr>
        <w:spacing w:line="46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所有房间电话、音响、电视、网络线可正常使用。</w:t>
      </w:r>
    </w:p>
    <w:p>
      <w:pPr>
        <w:numPr>
          <w:ilvl w:val="0"/>
          <w:numId w:val="4"/>
        </w:numPr>
        <w:spacing w:line="46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提供本次装修线路改造的竣工图给客户，标明导线规格及线路走向。</w:t>
      </w:r>
    </w:p>
    <w:p>
      <w:pPr>
        <w:numPr>
          <w:ilvl w:val="0"/>
          <w:numId w:val="4"/>
        </w:numPr>
        <w:spacing w:line="46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所有安装的电器设备（如排气扇、感应设备等）使用正常。</w:t>
      </w:r>
    </w:p>
    <w:p>
      <w:pPr>
        <w:numPr>
          <w:ilvl w:val="0"/>
          <w:numId w:val="4"/>
        </w:numPr>
        <w:spacing w:line="46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原建筑所有系统（如消防系统、排烟系统）使用正常。</w:t>
      </w:r>
    </w:p>
    <w:p>
      <w:pPr>
        <w:numPr>
          <w:ilvl w:val="0"/>
          <w:numId w:val="0"/>
        </w:numPr>
        <w:spacing w:line="460" w:lineRule="exact"/>
        <w:ind w:leftChars="0"/>
        <w:rPr>
          <w:rFonts w:hint="eastAsia" w:ascii="仿宋" w:hAnsi="仿宋" w:eastAsia="仿宋" w:cs="仿宋"/>
          <w:color w:val="000000"/>
          <w:sz w:val="24"/>
          <w:szCs w:val="24"/>
        </w:rPr>
      </w:pPr>
      <w:r>
        <w:rPr>
          <w:rFonts w:hint="eastAsia" w:ascii="仿宋" w:hAnsi="仿宋" w:eastAsia="仿宋" w:cs="仿宋"/>
          <w:color w:val="000000"/>
          <w:sz w:val="24"/>
          <w:szCs w:val="24"/>
          <w:lang w:eastAsia="zh-CN"/>
        </w:rPr>
        <w:t>（</w:t>
      </w:r>
      <w:r>
        <w:rPr>
          <w:rFonts w:hint="eastAsia" w:ascii="仿宋" w:hAnsi="仿宋" w:eastAsia="仿宋" w:cs="仿宋"/>
          <w:color w:val="000000"/>
          <w:sz w:val="24"/>
          <w:szCs w:val="24"/>
          <w:lang w:val="en-US" w:eastAsia="zh-CN"/>
        </w:rPr>
        <w:t>2</w:t>
      </w:r>
      <w:r>
        <w:rPr>
          <w:rFonts w:hint="eastAsia" w:ascii="仿宋" w:hAnsi="仿宋" w:eastAsia="仿宋" w:cs="仿宋"/>
          <w:color w:val="000000"/>
          <w:sz w:val="24"/>
          <w:szCs w:val="24"/>
          <w:lang w:eastAsia="zh-CN"/>
        </w:rPr>
        <w:t>）</w:t>
      </w:r>
      <w:r>
        <w:rPr>
          <w:rFonts w:hint="eastAsia" w:ascii="仿宋" w:hAnsi="仿宋" w:eastAsia="仿宋" w:cs="仿宋"/>
          <w:color w:val="000000"/>
          <w:sz w:val="24"/>
          <w:szCs w:val="24"/>
        </w:rPr>
        <w:t>水改造工程施工工艺及验收标准</w:t>
      </w:r>
    </w:p>
    <w:p>
      <w:pPr>
        <w:numPr>
          <w:ilvl w:val="0"/>
          <w:numId w:val="5"/>
        </w:numPr>
        <w:spacing w:line="46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所有龙头使用方便、滤网清洁干净，左热右冷安装无误。</w:t>
      </w:r>
    </w:p>
    <w:p>
      <w:pPr>
        <w:numPr>
          <w:ilvl w:val="0"/>
          <w:numId w:val="5"/>
        </w:numPr>
        <w:spacing w:line="46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卫生器具安装牢固平稳，无损伤，使用方便、无渗漏、排水通畅。</w:t>
      </w:r>
    </w:p>
    <w:p>
      <w:pPr>
        <w:numPr>
          <w:ilvl w:val="0"/>
          <w:numId w:val="5"/>
        </w:numPr>
        <w:spacing w:line="46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所有接有软管的用水器在接口处都已安装三角减压阀，并调节到合理位置。</w:t>
      </w:r>
    </w:p>
    <w:p>
      <w:pPr>
        <w:numPr>
          <w:ilvl w:val="0"/>
          <w:numId w:val="5"/>
        </w:numPr>
        <w:spacing w:line="46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地漏低于安装处的排水表面。</w:t>
      </w:r>
    </w:p>
    <w:p>
      <w:pPr>
        <w:numPr>
          <w:ilvl w:val="0"/>
          <w:numId w:val="5"/>
        </w:numPr>
        <w:spacing w:line="46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热水器进气、进出水安装正确，正常使用。</w:t>
      </w:r>
    </w:p>
    <w:p>
      <w:pPr>
        <w:numPr>
          <w:ilvl w:val="0"/>
          <w:numId w:val="0"/>
        </w:numPr>
        <w:spacing w:line="460" w:lineRule="exact"/>
        <w:ind w:leftChars="0"/>
        <w:rPr>
          <w:rFonts w:hint="eastAsia" w:ascii="仿宋" w:hAnsi="仿宋" w:eastAsia="仿宋" w:cs="仿宋"/>
          <w:color w:val="000000"/>
          <w:sz w:val="24"/>
          <w:szCs w:val="24"/>
        </w:rPr>
      </w:pPr>
      <w:r>
        <w:rPr>
          <w:rFonts w:hint="eastAsia" w:ascii="仿宋" w:hAnsi="仿宋" w:eastAsia="仿宋" w:cs="仿宋"/>
          <w:color w:val="000000"/>
          <w:sz w:val="24"/>
          <w:szCs w:val="24"/>
          <w:lang w:eastAsia="zh-CN"/>
        </w:rPr>
        <w:t>（</w:t>
      </w:r>
      <w:r>
        <w:rPr>
          <w:rFonts w:hint="eastAsia" w:ascii="仿宋" w:hAnsi="仿宋" w:eastAsia="仿宋" w:cs="仿宋"/>
          <w:color w:val="000000"/>
          <w:sz w:val="24"/>
          <w:szCs w:val="24"/>
          <w:lang w:val="en-US" w:eastAsia="zh-CN"/>
        </w:rPr>
        <w:t>3</w:t>
      </w:r>
      <w:r>
        <w:rPr>
          <w:rFonts w:hint="eastAsia" w:ascii="仿宋" w:hAnsi="仿宋" w:eastAsia="仿宋" w:cs="仿宋"/>
          <w:color w:val="000000"/>
          <w:sz w:val="24"/>
          <w:szCs w:val="24"/>
          <w:lang w:eastAsia="zh-CN"/>
        </w:rPr>
        <w:t>）</w:t>
      </w:r>
      <w:r>
        <w:rPr>
          <w:rFonts w:hint="eastAsia" w:ascii="仿宋" w:hAnsi="仿宋" w:eastAsia="仿宋" w:cs="仿宋"/>
          <w:color w:val="000000"/>
          <w:sz w:val="24"/>
          <w:szCs w:val="24"/>
        </w:rPr>
        <w:t>墙砖工程施工工艺及验收标准</w:t>
      </w:r>
    </w:p>
    <w:p>
      <w:pPr>
        <w:numPr>
          <w:ilvl w:val="0"/>
          <w:numId w:val="6"/>
        </w:numPr>
        <w:spacing w:line="46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表面洁净，不得有划痕，色泽均匀，图案清晰，接缝均匀，板块无裂纹、缺棱掉角等现象；</w:t>
      </w:r>
    </w:p>
    <w:p>
      <w:pPr>
        <w:numPr>
          <w:ilvl w:val="0"/>
          <w:numId w:val="6"/>
        </w:numPr>
        <w:spacing w:line="46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墙砖粘贴时，平整度用2M靠尺检查，平整度≤2㎜，相邻间缝隙宽度≤2㎜，平直度≤3㎜，接缝高低差≤1㎜。</w:t>
      </w:r>
    </w:p>
    <w:p>
      <w:pPr>
        <w:numPr>
          <w:ilvl w:val="0"/>
          <w:numId w:val="6"/>
        </w:numPr>
        <w:spacing w:line="46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墙砖粘贴时必须牢固，无歪斜。空鼓控制在总数的5%，单片空鼓面积不超过10%。</w:t>
      </w:r>
    </w:p>
    <w:p>
      <w:pPr>
        <w:numPr>
          <w:ilvl w:val="0"/>
          <w:numId w:val="6"/>
        </w:numPr>
        <w:spacing w:line="46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墙砖粘贴阴阳角必须用角尺检查成90度，砖粘贴阳角必须45°碰角，碰角严密，缝隙贯通。</w:t>
      </w:r>
    </w:p>
    <w:p>
      <w:pPr>
        <w:numPr>
          <w:ilvl w:val="0"/>
          <w:numId w:val="6"/>
        </w:numPr>
        <w:spacing w:line="46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墙砖切开关插座位置时,位置必须准确,保证开关面板装好后缝隙严缝。</w:t>
      </w:r>
    </w:p>
    <w:p>
      <w:pPr>
        <w:numPr>
          <w:ilvl w:val="0"/>
          <w:numId w:val="6"/>
        </w:numPr>
        <w:spacing w:line="46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墙砖的管道出口位掏孔处理，掏孔应严密。</w:t>
      </w:r>
    </w:p>
    <w:p>
      <w:pPr>
        <w:numPr>
          <w:ilvl w:val="0"/>
          <w:numId w:val="6"/>
        </w:numPr>
        <w:spacing w:line="46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墙砖镶贴时，与门洞的交口应平整，缝隙顺直均匀。</w:t>
      </w:r>
    </w:p>
    <w:p>
      <w:pPr>
        <w:numPr>
          <w:ilvl w:val="0"/>
          <w:numId w:val="0"/>
        </w:numPr>
        <w:spacing w:line="460" w:lineRule="exact"/>
        <w:ind w:leftChars="0"/>
        <w:rPr>
          <w:rFonts w:hint="eastAsia" w:ascii="仿宋" w:hAnsi="仿宋" w:eastAsia="仿宋" w:cs="仿宋"/>
          <w:color w:val="000000"/>
          <w:sz w:val="24"/>
          <w:szCs w:val="24"/>
        </w:rPr>
      </w:pPr>
      <w:r>
        <w:rPr>
          <w:rFonts w:hint="eastAsia" w:ascii="仿宋" w:hAnsi="仿宋" w:eastAsia="仿宋" w:cs="仿宋"/>
          <w:color w:val="000000"/>
          <w:sz w:val="24"/>
          <w:szCs w:val="24"/>
          <w:lang w:eastAsia="zh-CN"/>
        </w:rPr>
        <w:t>（</w:t>
      </w:r>
      <w:r>
        <w:rPr>
          <w:rFonts w:hint="eastAsia" w:ascii="仿宋" w:hAnsi="仿宋" w:eastAsia="仿宋" w:cs="仿宋"/>
          <w:color w:val="000000"/>
          <w:sz w:val="24"/>
          <w:szCs w:val="24"/>
          <w:lang w:val="en-US" w:eastAsia="zh-CN"/>
        </w:rPr>
        <w:t>4</w:t>
      </w:r>
      <w:r>
        <w:rPr>
          <w:rFonts w:hint="eastAsia" w:ascii="仿宋" w:hAnsi="仿宋" w:eastAsia="仿宋" w:cs="仿宋"/>
          <w:color w:val="000000"/>
          <w:sz w:val="24"/>
          <w:szCs w:val="24"/>
          <w:lang w:eastAsia="zh-CN"/>
        </w:rPr>
        <w:t>）</w:t>
      </w:r>
      <w:r>
        <w:rPr>
          <w:rFonts w:hint="eastAsia" w:ascii="仿宋" w:hAnsi="仿宋" w:eastAsia="仿宋" w:cs="仿宋"/>
          <w:color w:val="000000"/>
          <w:sz w:val="24"/>
          <w:szCs w:val="24"/>
        </w:rPr>
        <w:t>门窗工程施工工艺及验收标准</w:t>
      </w:r>
    </w:p>
    <w:p>
      <w:pPr>
        <w:numPr>
          <w:ilvl w:val="0"/>
          <w:numId w:val="7"/>
        </w:numPr>
        <w:spacing w:line="46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门套垂直度允许误差≤1㎜，对角线允许误差≤2㎜，相同类型的门应作到高度一致。</w:t>
      </w:r>
    </w:p>
    <w:p>
      <w:pPr>
        <w:numPr>
          <w:ilvl w:val="0"/>
          <w:numId w:val="7"/>
        </w:numPr>
        <w:spacing w:line="46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门窗扇安装：安装后应开关灵活，门窗与地面（面层高度）距离5-8mm，门扇左，右，上口间隙2-3mm，门扇与门档结合严密，缝隙≤2mm，门扇装好后，不得高于边线厚度。</w:t>
      </w:r>
    </w:p>
    <w:p>
      <w:pPr>
        <w:numPr>
          <w:ilvl w:val="0"/>
          <w:numId w:val="7"/>
        </w:numPr>
        <w:spacing w:line="46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合页安装位置适宜、固定可靠，螺钉齐全，不得车胚、滑丝，平整、牢固。门碰安装固定牢实，位置合理。</w:t>
      </w:r>
    </w:p>
    <w:p>
      <w:pPr>
        <w:numPr>
          <w:ilvl w:val="0"/>
          <w:numId w:val="7"/>
        </w:numPr>
        <w:spacing w:line="46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门锁离地高度900-1000mm（锁中心位），安装牢固，开启自如。锁具无污染、划痕。</w:t>
      </w:r>
    </w:p>
    <w:p>
      <w:pPr>
        <w:numPr>
          <w:ilvl w:val="0"/>
          <w:numId w:val="7"/>
        </w:numPr>
        <w:spacing w:line="46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推拉门开启自如、轻松，无擦挂，横竖缝应均匀、严密。</w:t>
      </w:r>
    </w:p>
    <w:p>
      <w:pPr>
        <w:numPr>
          <w:ilvl w:val="0"/>
          <w:numId w:val="7"/>
        </w:numPr>
        <w:spacing w:line="46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门窗外观表面洁净，无划痕、碰伤、浸蚀。</w:t>
      </w:r>
    </w:p>
    <w:p>
      <w:pPr>
        <w:numPr>
          <w:ilvl w:val="0"/>
          <w:numId w:val="0"/>
        </w:numPr>
        <w:spacing w:line="460" w:lineRule="exact"/>
        <w:ind w:leftChars="0"/>
        <w:rPr>
          <w:rFonts w:hint="eastAsia" w:ascii="仿宋" w:hAnsi="仿宋" w:eastAsia="仿宋" w:cs="仿宋"/>
          <w:color w:val="000000"/>
          <w:sz w:val="24"/>
          <w:szCs w:val="24"/>
        </w:rPr>
      </w:pPr>
      <w:r>
        <w:rPr>
          <w:rFonts w:hint="eastAsia" w:ascii="仿宋" w:hAnsi="仿宋" w:eastAsia="仿宋" w:cs="仿宋"/>
          <w:color w:val="000000"/>
          <w:sz w:val="24"/>
          <w:szCs w:val="24"/>
          <w:lang w:eastAsia="zh-CN"/>
        </w:rPr>
        <w:t>（</w:t>
      </w:r>
      <w:r>
        <w:rPr>
          <w:rFonts w:hint="eastAsia" w:ascii="仿宋" w:hAnsi="仿宋" w:eastAsia="仿宋" w:cs="仿宋"/>
          <w:color w:val="000000"/>
          <w:sz w:val="24"/>
          <w:szCs w:val="24"/>
          <w:lang w:val="en-US" w:eastAsia="zh-CN"/>
        </w:rPr>
        <w:t>5</w:t>
      </w:r>
      <w:r>
        <w:rPr>
          <w:rFonts w:hint="eastAsia" w:ascii="仿宋" w:hAnsi="仿宋" w:eastAsia="仿宋" w:cs="仿宋"/>
          <w:color w:val="000000"/>
          <w:sz w:val="24"/>
          <w:szCs w:val="24"/>
          <w:lang w:eastAsia="zh-CN"/>
        </w:rPr>
        <w:t>）</w:t>
      </w:r>
      <w:r>
        <w:rPr>
          <w:rFonts w:hint="eastAsia" w:ascii="仿宋" w:hAnsi="仿宋" w:eastAsia="仿宋" w:cs="仿宋"/>
          <w:color w:val="000000"/>
          <w:sz w:val="24"/>
          <w:szCs w:val="24"/>
        </w:rPr>
        <w:t>家俱工程施工工艺及验收标准</w:t>
      </w:r>
    </w:p>
    <w:p>
      <w:pPr>
        <w:numPr>
          <w:ilvl w:val="0"/>
          <w:numId w:val="8"/>
        </w:numPr>
        <w:spacing w:line="46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外观面板木纹顺直、美观，色差小，板面无瑕疵、划痕等损伤。</w:t>
      </w:r>
    </w:p>
    <w:p>
      <w:pPr>
        <w:numPr>
          <w:ilvl w:val="0"/>
          <w:numId w:val="8"/>
        </w:numPr>
        <w:spacing w:line="46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收口线条挑选使用，色泽均匀，无明显缺陷，接缝顺直、清洁，修边时未修伤面板。</w:t>
      </w:r>
    </w:p>
    <w:p>
      <w:pPr>
        <w:numPr>
          <w:ilvl w:val="0"/>
          <w:numId w:val="8"/>
        </w:numPr>
        <w:spacing w:line="46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门扇无变形，开启自如，门板间隙缝均匀，尺寸为1-2㎜，门扇关闭时不得超出柜帽。</w:t>
      </w:r>
    </w:p>
    <w:p>
      <w:pPr>
        <w:numPr>
          <w:ilvl w:val="0"/>
          <w:numId w:val="8"/>
        </w:numPr>
        <w:spacing w:line="46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合页及其它柜内五金件安装紧固，开启灵活,螺钉齐全，滑轨清松自如。</w:t>
      </w:r>
    </w:p>
    <w:p>
      <w:pPr>
        <w:numPr>
          <w:ilvl w:val="0"/>
          <w:numId w:val="8"/>
        </w:numPr>
        <w:spacing w:line="46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柜内清洁干净,无污染，背板应固定牢固。</w:t>
      </w:r>
    </w:p>
    <w:p>
      <w:pPr>
        <w:numPr>
          <w:ilvl w:val="0"/>
          <w:numId w:val="8"/>
        </w:numPr>
        <w:spacing w:line="46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柜体垂直度≤2㎜，水平误差≤1㎜，翘曲度≤2㎜，对角线误差≤3㎜。</w:t>
      </w:r>
    </w:p>
    <w:p>
      <w:pPr>
        <w:numPr>
          <w:ilvl w:val="0"/>
          <w:numId w:val="9"/>
        </w:numPr>
        <w:spacing w:line="460" w:lineRule="exact"/>
        <w:rPr>
          <w:rFonts w:hint="eastAsia" w:ascii="仿宋" w:hAnsi="仿宋" w:eastAsia="仿宋" w:cs="仿宋"/>
          <w:color w:val="000000"/>
          <w:sz w:val="24"/>
          <w:szCs w:val="24"/>
        </w:rPr>
      </w:pPr>
      <w:r>
        <w:rPr>
          <w:rFonts w:hint="eastAsia" w:ascii="仿宋" w:hAnsi="仿宋" w:eastAsia="仿宋" w:cs="仿宋"/>
          <w:color w:val="000000"/>
          <w:sz w:val="24"/>
          <w:szCs w:val="24"/>
        </w:rPr>
        <w:t>油漆工程施工工艺及验收标准</w:t>
      </w:r>
    </w:p>
    <w:p>
      <w:pPr>
        <w:numPr>
          <w:ilvl w:val="0"/>
          <w:numId w:val="10"/>
        </w:numPr>
        <w:spacing w:line="46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手感光滑、无颗粒感。</w:t>
      </w:r>
    </w:p>
    <w:p>
      <w:pPr>
        <w:numPr>
          <w:ilvl w:val="0"/>
          <w:numId w:val="10"/>
        </w:numPr>
        <w:spacing w:line="46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漆面饱和。</w:t>
      </w:r>
    </w:p>
    <w:p>
      <w:pPr>
        <w:numPr>
          <w:ilvl w:val="0"/>
          <w:numId w:val="10"/>
        </w:numPr>
        <w:spacing w:line="46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光泽合适、（清面漆清亮、透明度高）。</w:t>
      </w:r>
    </w:p>
    <w:p>
      <w:pPr>
        <w:numPr>
          <w:ilvl w:val="0"/>
          <w:numId w:val="10"/>
        </w:numPr>
        <w:spacing w:line="46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无流坠、刷痕。</w:t>
      </w:r>
    </w:p>
    <w:p>
      <w:pPr>
        <w:numPr>
          <w:ilvl w:val="0"/>
          <w:numId w:val="10"/>
        </w:numPr>
        <w:spacing w:line="46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对其它工种无污染。</w:t>
      </w:r>
    </w:p>
    <w:p>
      <w:pPr>
        <w:numPr>
          <w:ilvl w:val="0"/>
          <w:numId w:val="10"/>
        </w:numPr>
        <w:spacing w:line="46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清漆基层无污染。</w:t>
      </w:r>
    </w:p>
    <w:p>
      <w:pPr>
        <w:numPr>
          <w:ilvl w:val="0"/>
          <w:numId w:val="10"/>
        </w:numPr>
        <w:spacing w:line="46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混油基层平整、光滑，无挡手感。</w:t>
      </w:r>
    </w:p>
    <w:p>
      <w:pPr>
        <w:numPr>
          <w:ilvl w:val="0"/>
          <w:numId w:val="10"/>
        </w:numPr>
        <w:spacing w:line="46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透底有色漆施工色彩、深浅均匀一致。</w:t>
      </w:r>
    </w:p>
    <w:p>
      <w:pPr>
        <w:numPr>
          <w:ilvl w:val="0"/>
          <w:numId w:val="0"/>
        </w:numPr>
        <w:spacing w:line="460" w:lineRule="exact"/>
        <w:ind w:leftChars="0"/>
        <w:rPr>
          <w:rFonts w:hint="eastAsia" w:ascii="仿宋" w:hAnsi="仿宋" w:eastAsia="仿宋" w:cs="仿宋"/>
          <w:color w:val="000000"/>
          <w:sz w:val="24"/>
          <w:szCs w:val="24"/>
        </w:rPr>
      </w:pPr>
      <w:r>
        <w:rPr>
          <w:rFonts w:hint="eastAsia" w:ascii="仿宋" w:hAnsi="仿宋" w:eastAsia="仿宋" w:cs="仿宋"/>
          <w:color w:val="000000"/>
          <w:sz w:val="24"/>
          <w:szCs w:val="24"/>
          <w:lang w:eastAsia="zh-CN"/>
        </w:rPr>
        <w:t>（</w:t>
      </w:r>
      <w:r>
        <w:rPr>
          <w:rFonts w:hint="eastAsia" w:ascii="仿宋" w:hAnsi="仿宋" w:eastAsia="仿宋" w:cs="仿宋"/>
          <w:color w:val="000000"/>
          <w:sz w:val="24"/>
          <w:szCs w:val="24"/>
          <w:lang w:val="en-US" w:eastAsia="zh-CN"/>
        </w:rPr>
        <w:t>7</w:t>
      </w:r>
      <w:r>
        <w:rPr>
          <w:rFonts w:hint="eastAsia" w:ascii="仿宋" w:hAnsi="仿宋" w:eastAsia="仿宋" w:cs="仿宋"/>
          <w:color w:val="000000"/>
          <w:sz w:val="24"/>
          <w:szCs w:val="24"/>
          <w:lang w:eastAsia="zh-CN"/>
        </w:rPr>
        <w:t>）</w:t>
      </w:r>
      <w:r>
        <w:rPr>
          <w:rFonts w:hint="eastAsia" w:ascii="仿宋" w:hAnsi="仿宋" w:eastAsia="仿宋" w:cs="仿宋"/>
          <w:color w:val="000000"/>
          <w:sz w:val="24"/>
          <w:szCs w:val="24"/>
        </w:rPr>
        <w:t>乳胶漆工程施工工艺及验收标准</w:t>
      </w:r>
    </w:p>
    <w:p>
      <w:pPr>
        <w:numPr>
          <w:ilvl w:val="0"/>
          <w:numId w:val="11"/>
        </w:numPr>
        <w:spacing w:line="46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无刷纹、流坠。</w:t>
      </w:r>
    </w:p>
    <w:p>
      <w:pPr>
        <w:numPr>
          <w:ilvl w:val="0"/>
          <w:numId w:val="11"/>
        </w:numPr>
        <w:spacing w:line="46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手感平整、光滑，无挡手感、无明显颗粒感。</w:t>
      </w:r>
    </w:p>
    <w:p>
      <w:pPr>
        <w:numPr>
          <w:ilvl w:val="0"/>
          <w:numId w:val="11"/>
        </w:numPr>
        <w:spacing w:line="46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无掉粉、起皮、裂缝现象。</w:t>
      </w:r>
    </w:p>
    <w:p>
      <w:pPr>
        <w:numPr>
          <w:ilvl w:val="0"/>
          <w:numId w:val="11"/>
        </w:numPr>
        <w:spacing w:line="46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无透底、反碱、咬色现象，色彩均匀一致。</w:t>
      </w:r>
    </w:p>
    <w:p>
      <w:pPr>
        <w:numPr>
          <w:ilvl w:val="0"/>
          <w:numId w:val="11"/>
        </w:numPr>
        <w:spacing w:line="46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未污染其它工种（与木作、开关面板等的接口必须严密、平整，不得漏缝未刷及污染）。</w:t>
      </w:r>
    </w:p>
    <w:p>
      <w:pPr>
        <w:numPr>
          <w:ilvl w:val="0"/>
          <w:numId w:val="11"/>
        </w:numPr>
        <w:spacing w:line="46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乳胶漆做线条饰面时，应线条纹理应清楚、贯通。</w:t>
      </w:r>
    </w:p>
    <w:p>
      <w:pPr>
        <w:numPr>
          <w:ilvl w:val="0"/>
          <w:numId w:val="0"/>
        </w:numPr>
        <w:spacing w:line="460" w:lineRule="exact"/>
        <w:ind w:leftChars="0"/>
        <w:rPr>
          <w:rFonts w:hint="eastAsia" w:ascii="仿宋" w:hAnsi="仿宋" w:eastAsia="仿宋" w:cs="仿宋"/>
          <w:color w:val="000000"/>
          <w:sz w:val="24"/>
          <w:szCs w:val="24"/>
        </w:rPr>
      </w:pPr>
      <w:r>
        <w:rPr>
          <w:rFonts w:hint="eastAsia" w:ascii="仿宋" w:hAnsi="仿宋" w:eastAsia="仿宋" w:cs="仿宋"/>
          <w:color w:val="000000"/>
          <w:sz w:val="24"/>
          <w:szCs w:val="24"/>
          <w:lang w:eastAsia="zh-CN"/>
        </w:rPr>
        <w:t>（</w:t>
      </w:r>
      <w:r>
        <w:rPr>
          <w:rFonts w:hint="eastAsia" w:ascii="仿宋" w:hAnsi="仿宋" w:eastAsia="仿宋" w:cs="仿宋"/>
          <w:color w:val="000000"/>
          <w:sz w:val="24"/>
          <w:szCs w:val="24"/>
          <w:lang w:val="en-US" w:eastAsia="zh-CN"/>
        </w:rPr>
        <w:t>8</w:t>
      </w:r>
      <w:r>
        <w:rPr>
          <w:rFonts w:hint="eastAsia" w:ascii="仿宋" w:hAnsi="仿宋" w:eastAsia="仿宋" w:cs="仿宋"/>
          <w:color w:val="000000"/>
          <w:sz w:val="24"/>
          <w:szCs w:val="24"/>
          <w:lang w:eastAsia="zh-CN"/>
        </w:rPr>
        <w:t>）</w:t>
      </w:r>
      <w:r>
        <w:rPr>
          <w:rFonts w:hint="eastAsia" w:ascii="仿宋" w:hAnsi="仿宋" w:eastAsia="仿宋" w:cs="仿宋"/>
          <w:color w:val="000000"/>
          <w:sz w:val="24"/>
          <w:szCs w:val="24"/>
        </w:rPr>
        <w:t>吊顶工程施工工艺及验收标准</w:t>
      </w:r>
    </w:p>
    <w:p>
      <w:pPr>
        <w:numPr>
          <w:ilvl w:val="0"/>
          <w:numId w:val="12"/>
        </w:numPr>
        <w:spacing w:line="46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表面应平整，不得有污染、折裂、缺棱掉角或锤伤等缺陷，接缝应均匀一致。</w:t>
      </w:r>
    </w:p>
    <w:p>
      <w:pPr>
        <w:numPr>
          <w:ilvl w:val="0"/>
          <w:numId w:val="12"/>
        </w:numPr>
        <w:spacing w:line="46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用2米靠尺检查，平整度误差在3㎜以内。</w:t>
      </w:r>
    </w:p>
    <w:p>
      <w:pPr>
        <w:numPr>
          <w:ilvl w:val="0"/>
          <w:numId w:val="12"/>
        </w:numPr>
        <w:spacing w:line="46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光带、造型部分平直、无波浪，弧形、圆形吊顶光滑、顺畅。</w:t>
      </w:r>
    </w:p>
    <w:p>
      <w:pPr>
        <w:numPr>
          <w:ilvl w:val="0"/>
          <w:numId w:val="12"/>
        </w:numPr>
        <w:spacing w:line="46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装饰线条接缝光滑、顺畅，色差小，阴阳角接口严密。</w:t>
      </w:r>
    </w:p>
    <w:p>
      <w:pPr>
        <w:numPr>
          <w:ilvl w:val="0"/>
          <w:numId w:val="12"/>
        </w:numPr>
        <w:spacing w:line="46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扣板施工，平整顺直，板面不被有污染、划痕、损伤，收口线接缝应严密。</w:t>
      </w:r>
    </w:p>
    <w:p>
      <w:pPr>
        <w:numPr>
          <w:ilvl w:val="0"/>
          <w:numId w:val="0"/>
        </w:numPr>
        <w:spacing w:line="460" w:lineRule="exact"/>
        <w:ind w:leftChars="200"/>
        <w:rPr>
          <w:rFonts w:hint="eastAsia" w:ascii="仿宋" w:hAnsi="仿宋" w:eastAsia="仿宋" w:cs="仿宋"/>
          <w:b/>
          <w:bCs/>
          <w:sz w:val="24"/>
          <w:szCs w:val="24"/>
        </w:rPr>
      </w:pPr>
      <w:r>
        <w:rPr>
          <w:rFonts w:hint="eastAsia" w:ascii="仿宋" w:hAnsi="仿宋" w:eastAsia="仿宋" w:cs="仿宋"/>
          <w:b/>
          <w:bCs/>
          <w:color w:val="000000"/>
          <w:sz w:val="24"/>
          <w:szCs w:val="24"/>
          <w:lang w:val="en-US" w:eastAsia="zh-CN"/>
        </w:rPr>
        <w:t>6.</w:t>
      </w:r>
      <w:r>
        <w:rPr>
          <w:rFonts w:hint="eastAsia" w:ascii="仿宋" w:hAnsi="仿宋" w:eastAsia="仿宋" w:cs="仿宋"/>
          <w:b/>
          <w:bCs/>
          <w:color w:val="000000"/>
          <w:sz w:val="24"/>
          <w:szCs w:val="24"/>
        </w:rPr>
        <w:t>水电保障：</w:t>
      </w:r>
      <w:r>
        <w:rPr>
          <w:rFonts w:hint="eastAsia" w:ascii="仿宋" w:hAnsi="仿宋" w:eastAsia="仿宋" w:cs="仿宋"/>
          <w:color w:val="000000"/>
          <w:sz w:val="24"/>
          <w:szCs w:val="24"/>
        </w:rPr>
        <w:t>施工过程中不得擅自停水，如若需要停水必须上报基建管理人员，听从停水时间安排。临时接水需打用水报告；临时接电需打接电报告，经我院电工进行现场指定接电点后，方可接电；施工区做到成品保护、烟感防护；</w:t>
      </w:r>
    </w:p>
    <w:p>
      <w:pPr>
        <w:numPr>
          <w:ilvl w:val="0"/>
          <w:numId w:val="0"/>
        </w:numPr>
        <w:spacing w:line="460" w:lineRule="exact"/>
        <w:ind w:leftChars="200"/>
        <w:rPr>
          <w:rFonts w:hint="eastAsia" w:ascii="仿宋" w:hAnsi="仿宋" w:eastAsia="仿宋" w:cs="仿宋"/>
          <w:b/>
          <w:bCs/>
          <w:sz w:val="24"/>
          <w:szCs w:val="24"/>
        </w:rPr>
      </w:pPr>
      <w:r>
        <w:rPr>
          <w:rFonts w:hint="eastAsia" w:ascii="仿宋" w:hAnsi="仿宋" w:eastAsia="仿宋" w:cs="仿宋"/>
          <w:b/>
          <w:bCs/>
          <w:color w:val="000000"/>
          <w:sz w:val="24"/>
          <w:szCs w:val="24"/>
          <w:lang w:val="en-US" w:eastAsia="zh-CN"/>
        </w:rPr>
        <w:t>7.</w:t>
      </w:r>
      <w:r>
        <w:rPr>
          <w:rFonts w:hint="eastAsia" w:ascii="仿宋" w:hAnsi="仿宋" w:eastAsia="仿宋" w:cs="仿宋"/>
          <w:b/>
          <w:bCs/>
          <w:color w:val="000000"/>
          <w:sz w:val="24"/>
          <w:szCs w:val="24"/>
        </w:rPr>
        <w:t>考核办法：</w:t>
      </w:r>
    </w:p>
    <w:p>
      <w:pPr>
        <w:numPr>
          <w:ilvl w:val="0"/>
          <w:numId w:val="0"/>
        </w:numPr>
        <w:spacing w:line="460" w:lineRule="exact"/>
        <w:ind w:leftChars="200"/>
        <w:rPr>
          <w:rFonts w:hint="eastAsia" w:ascii="仿宋" w:hAnsi="仿宋" w:eastAsia="仿宋" w:cs="仿宋"/>
          <w:sz w:val="24"/>
          <w:szCs w:val="24"/>
        </w:rPr>
      </w:pPr>
      <w:r>
        <w:rPr>
          <w:rFonts w:hint="eastAsia" w:ascii="仿宋" w:hAnsi="仿宋" w:eastAsia="仿宋" w:cs="仿宋"/>
          <w:sz w:val="24"/>
          <w:szCs w:val="24"/>
          <w:lang w:val="en-US" w:eastAsia="zh-CN"/>
        </w:rPr>
        <w:t>(1)</w:t>
      </w:r>
      <w:r>
        <w:rPr>
          <w:rFonts w:hint="eastAsia" w:ascii="仿宋" w:hAnsi="仿宋" w:eastAsia="仿宋" w:cs="仿宋"/>
          <w:sz w:val="24"/>
          <w:szCs w:val="24"/>
        </w:rPr>
        <w:t>施工单位未经</w:t>
      </w:r>
      <w:r>
        <w:rPr>
          <w:rFonts w:hint="eastAsia" w:ascii="仿宋" w:hAnsi="仿宋" w:eastAsia="仿宋" w:cs="仿宋"/>
          <w:sz w:val="24"/>
          <w:szCs w:val="24"/>
          <w:lang w:val="en-US" w:eastAsia="zh-CN"/>
        </w:rPr>
        <w:t>幼儿园</w:t>
      </w:r>
      <w:r>
        <w:rPr>
          <w:rFonts w:hint="eastAsia" w:ascii="仿宋" w:hAnsi="仿宋" w:eastAsia="仿宋" w:cs="仿宋"/>
          <w:sz w:val="24"/>
          <w:szCs w:val="24"/>
        </w:rPr>
        <w:t>后勤保障部基建办允许擅自开工，处罚1000元；</w:t>
      </w:r>
    </w:p>
    <w:p>
      <w:pPr>
        <w:numPr>
          <w:ilvl w:val="0"/>
          <w:numId w:val="0"/>
        </w:numPr>
        <w:spacing w:line="460" w:lineRule="exact"/>
        <w:ind w:leftChars="200"/>
        <w:jc w:val="left"/>
        <w:rPr>
          <w:rFonts w:hint="eastAsia" w:ascii="仿宋" w:hAnsi="仿宋" w:eastAsia="仿宋" w:cs="仿宋"/>
          <w:sz w:val="24"/>
          <w:szCs w:val="24"/>
        </w:rPr>
      </w:pPr>
      <w:r>
        <w:rPr>
          <w:rFonts w:hint="eastAsia" w:ascii="仿宋" w:hAnsi="仿宋" w:eastAsia="仿宋" w:cs="仿宋"/>
          <w:sz w:val="24"/>
          <w:szCs w:val="24"/>
          <w:lang w:val="en-US" w:eastAsia="zh-CN"/>
        </w:rPr>
        <w:t>(2)</w:t>
      </w:r>
      <w:r>
        <w:rPr>
          <w:rFonts w:hint="eastAsia" w:ascii="仿宋" w:hAnsi="仿宋" w:eastAsia="仿宋" w:cs="仿宋"/>
          <w:sz w:val="24"/>
          <w:szCs w:val="24"/>
        </w:rPr>
        <w:t>施工期间影响</w:t>
      </w:r>
      <w:r>
        <w:rPr>
          <w:rFonts w:hint="eastAsia" w:ascii="仿宋" w:hAnsi="仿宋" w:eastAsia="仿宋" w:cs="仿宋"/>
          <w:sz w:val="24"/>
          <w:szCs w:val="24"/>
          <w:lang w:val="en-US" w:eastAsia="zh-CN"/>
        </w:rPr>
        <w:t>教学</w:t>
      </w:r>
      <w:r>
        <w:rPr>
          <w:rFonts w:hint="eastAsia" w:ascii="仿宋" w:hAnsi="仿宋" w:eastAsia="仿宋" w:cs="仿宋"/>
          <w:sz w:val="24"/>
          <w:szCs w:val="24"/>
        </w:rPr>
        <w:t>工作，处罚1000元；</w:t>
      </w:r>
    </w:p>
    <w:p>
      <w:pPr>
        <w:numPr>
          <w:ilvl w:val="0"/>
          <w:numId w:val="0"/>
        </w:numPr>
        <w:spacing w:line="460" w:lineRule="exact"/>
        <w:ind w:leftChars="200"/>
        <w:jc w:val="left"/>
        <w:rPr>
          <w:rFonts w:hint="eastAsia" w:ascii="仿宋" w:hAnsi="仿宋" w:eastAsia="仿宋" w:cs="仿宋"/>
          <w:sz w:val="24"/>
          <w:szCs w:val="24"/>
        </w:rPr>
      </w:pPr>
      <w:r>
        <w:rPr>
          <w:rFonts w:hint="eastAsia" w:ascii="仿宋" w:hAnsi="仿宋" w:eastAsia="仿宋" w:cs="仿宋"/>
          <w:sz w:val="24"/>
          <w:szCs w:val="24"/>
          <w:lang w:val="en-US" w:eastAsia="zh-CN"/>
        </w:rPr>
        <w:t>(3)</w:t>
      </w:r>
      <w:r>
        <w:rPr>
          <w:rFonts w:hint="eastAsia" w:ascii="仿宋" w:hAnsi="仿宋" w:eastAsia="仿宋" w:cs="仿宋"/>
          <w:sz w:val="24"/>
          <w:szCs w:val="24"/>
        </w:rPr>
        <w:t>施工前未办理动电报告、动火报告，处罚1000元；</w:t>
      </w:r>
    </w:p>
    <w:p>
      <w:pPr>
        <w:numPr>
          <w:ilvl w:val="0"/>
          <w:numId w:val="0"/>
        </w:numPr>
        <w:spacing w:line="460" w:lineRule="exact"/>
        <w:ind w:leftChars="200"/>
        <w:jc w:val="left"/>
        <w:rPr>
          <w:rFonts w:hint="eastAsia" w:ascii="仿宋" w:hAnsi="仿宋" w:eastAsia="仿宋" w:cs="仿宋"/>
          <w:sz w:val="24"/>
          <w:szCs w:val="24"/>
        </w:rPr>
      </w:pPr>
      <w:r>
        <w:rPr>
          <w:rFonts w:hint="eastAsia" w:ascii="仿宋" w:hAnsi="仿宋" w:eastAsia="仿宋" w:cs="仿宋"/>
          <w:sz w:val="24"/>
          <w:szCs w:val="24"/>
          <w:lang w:val="en-US" w:eastAsia="zh-CN"/>
        </w:rPr>
        <w:t>(4)</w:t>
      </w:r>
      <w:r>
        <w:rPr>
          <w:rFonts w:hint="eastAsia" w:ascii="仿宋" w:hAnsi="仿宋" w:eastAsia="仿宋" w:cs="仿宋"/>
          <w:sz w:val="24"/>
          <w:szCs w:val="24"/>
        </w:rPr>
        <w:t>施工期间擅自停水、停电，处罚500元；</w:t>
      </w:r>
    </w:p>
    <w:p>
      <w:pPr>
        <w:numPr>
          <w:ilvl w:val="0"/>
          <w:numId w:val="0"/>
        </w:numPr>
        <w:spacing w:line="460" w:lineRule="exact"/>
        <w:ind w:leftChars="200"/>
        <w:jc w:val="left"/>
        <w:rPr>
          <w:rFonts w:hint="eastAsia" w:ascii="仿宋" w:hAnsi="仿宋" w:eastAsia="仿宋" w:cs="仿宋"/>
          <w:sz w:val="24"/>
          <w:szCs w:val="24"/>
        </w:rPr>
      </w:pPr>
      <w:r>
        <w:rPr>
          <w:rFonts w:hint="eastAsia" w:ascii="仿宋" w:hAnsi="仿宋" w:eastAsia="仿宋" w:cs="仿宋"/>
          <w:sz w:val="24"/>
          <w:szCs w:val="24"/>
          <w:lang w:val="en-US" w:eastAsia="zh-CN"/>
        </w:rPr>
        <w:t>(5)</w:t>
      </w:r>
      <w:r>
        <w:rPr>
          <w:rFonts w:hint="eastAsia" w:ascii="仿宋" w:hAnsi="仿宋" w:eastAsia="仿宋" w:cs="仿宋"/>
          <w:sz w:val="24"/>
          <w:szCs w:val="24"/>
        </w:rPr>
        <w:t>施工期间造成跑水、断电情况，由施工单位承担一切后果，赔偿一切损失并处罚1000元；</w:t>
      </w:r>
    </w:p>
    <w:p>
      <w:pPr>
        <w:numPr>
          <w:ilvl w:val="0"/>
          <w:numId w:val="0"/>
        </w:numPr>
        <w:spacing w:line="460" w:lineRule="exact"/>
        <w:ind w:leftChars="200"/>
        <w:jc w:val="left"/>
        <w:rPr>
          <w:rFonts w:hint="eastAsia" w:ascii="仿宋" w:hAnsi="仿宋" w:eastAsia="仿宋" w:cs="仿宋"/>
          <w:sz w:val="24"/>
          <w:szCs w:val="24"/>
        </w:rPr>
      </w:pPr>
      <w:r>
        <w:rPr>
          <w:rFonts w:hint="eastAsia" w:ascii="仿宋" w:hAnsi="仿宋" w:eastAsia="仿宋" w:cs="仿宋"/>
          <w:sz w:val="24"/>
          <w:szCs w:val="24"/>
          <w:lang w:val="en-US" w:eastAsia="zh-CN"/>
        </w:rPr>
        <w:t>(6)</w:t>
      </w:r>
      <w:r>
        <w:rPr>
          <w:rFonts w:hint="eastAsia" w:ascii="仿宋" w:hAnsi="仿宋" w:eastAsia="仿宋" w:cs="仿宋"/>
          <w:sz w:val="24"/>
          <w:szCs w:val="24"/>
        </w:rPr>
        <w:t>施工过程中产生大量粉尘，造成毗连居民投诉或者报警，处罚1000元；</w:t>
      </w:r>
    </w:p>
    <w:p>
      <w:pPr>
        <w:numPr>
          <w:ilvl w:val="0"/>
          <w:numId w:val="0"/>
        </w:numPr>
        <w:spacing w:line="460" w:lineRule="exact"/>
        <w:ind w:leftChars="200"/>
        <w:jc w:val="left"/>
        <w:rPr>
          <w:rFonts w:hint="eastAsia" w:ascii="仿宋" w:hAnsi="仿宋" w:eastAsia="仿宋" w:cs="仿宋"/>
          <w:sz w:val="24"/>
          <w:szCs w:val="24"/>
        </w:rPr>
      </w:pPr>
      <w:r>
        <w:rPr>
          <w:rFonts w:hint="eastAsia" w:ascii="仿宋" w:hAnsi="仿宋" w:eastAsia="仿宋" w:cs="仿宋"/>
          <w:sz w:val="24"/>
          <w:szCs w:val="24"/>
          <w:lang w:val="en-US" w:eastAsia="zh-CN"/>
        </w:rPr>
        <w:t>(7)</w:t>
      </w:r>
      <w:r>
        <w:rPr>
          <w:rFonts w:hint="eastAsia" w:ascii="仿宋" w:hAnsi="仿宋" w:eastAsia="仿宋" w:cs="仿宋"/>
          <w:sz w:val="24"/>
          <w:szCs w:val="24"/>
        </w:rPr>
        <w:t>将建筑垃圾倒入生活垃圾箱，处罚1000元；建筑垃圾</w:t>
      </w:r>
      <w:r>
        <w:rPr>
          <w:rFonts w:hint="eastAsia" w:ascii="仿宋" w:hAnsi="仿宋" w:eastAsia="仿宋" w:cs="仿宋"/>
          <w:sz w:val="24"/>
          <w:szCs w:val="24"/>
          <w:lang w:val="en-US" w:eastAsia="zh-CN"/>
        </w:rPr>
        <w:t>堆</w:t>
      </w:r>
      <w:r>
        <w:rPr>
          <w:rFonts w:hint="eastAsia" w:ascii="仿宋" w:hAnsi="仿宋" w:eastAsia="仿宋" w:cs="仿宋"/>
          <w:sz w:val="24"/>
          <w:szCs w:val="24"/>
        </w:rPr>
        <w:t>放在生活垃圾箱旁，影响生活垃圾回收，处罚500元；</w:t>
      </w:r>
    </w:p>
    <w:p>
      <w:pPr>
        <w:numPr>
          <w:ilvl w:val="0"/>
          <w:numId w:val="0"/>
        </w:numPr>
        <w:spacing w:line="460" w:lineRule="exact"/>
        <w:ind w:leftChars="200"/>
        <w:jc w:val="left"/>
        <w:rPr>
          <w:rFonts w:hint="eastAsia" w:ascii="仿宋" w:hAnsi="仿宋" w:eastAsia="仿宋" w:cs="仿宋"/>
          <w:sz w:val="24"/>
          <w:szCs w:val="24"/>
        </w:rPr>
      </w:pPr>
      <w:r>
        <w:rPr>
          <w:rFonts w:hint="eastAsia" w:ascii="仿宋" w:hAnsi="仿宋" w:eastAsia="仿宋" w:cs="仿宋"/>
          <w:sz w:val="24"/>
          <w:szCs w:val="24"/>
          <w:lang w:val="en-US" w:eastAsia="zh-CN"/>
        </w:rPr>
        <w:t>(8)</w:t>
      </w:r>
      <w:r>
        <w:rPr>
          <w:rFonts w:hint="eastAsia" w:ascii="仿宋" w:hAnsi="仿宋" w:eastAsia="仿宋" w:cs="仿宋"/>
          <w:sz w:val="24"/>
          <w:szCs w:val="24"/>
        </w:rPr>
        <w:t>施工人员在工地抽烟、随地大小便，处罚500元；</w:t>
      </w:r>
    </w:p>
    <w:p>
      <w:pPr>
        <w:numPr>
          <w:ilvl w:val="0"/>
          <w:numId w:val="0"/>
        </w:numPr>
        <w:spacing w:line="460" w:lineRule="exact"/>
        <w:ind w:leftChars="200"/>
        <w:jc w:val="left"/>
        <w:rPr>
          <w:rFonts w:hint="eastAsia" w:ascii="仿宋" w:hAnsi="仿宋" w:eastAsia="仿宋" w:cs="仿宋"/>
          <w:sz w:val="24"/>
          <w:szCs w:val="24"/>
        </w:rPr>
      </w:pPr>
      <w:r>
        <w:rPr>
          <w:rFonts w:hint="eastAsia" w:ascii="仿宋" w:hAnsi="仿宋" w:eastAsia="仿宋" w:cs="仿宋"/>
          <w:sz w:val="24"/>
          <w:szCs w:val="24"/>
          <w:lang w:val="en-US" w:eastAsia="zh-CN"/>
        </w:rPr>
        <w:t>(9)</w:t>
      </w:r>
      <w:r>
        <w:rPr>
          <w:rFonts w:hint="eastAsia" w:ascii="仿宋" w:hAnsi="仿宋" w:eastAsia="仿宋" w:cs="仿宋"/>
          <w:sz w:val="24"/>
          <w:szCs w:val="24"/>
        </w:rPr>
        <w:t>特殊环境作业（如高处作业、受限空间作业、深度开挖作业等等）没有岗前安全教育、没有应急预案、没有安全防护、出现安全隐患的行为等不安全现象，立刻停工整改，并处罚5000元。</w:t>
      </w:r>
    </w:p>
    <w:p>
      <w:pPr>
        <w:numPr>
          <w:ilvl w:val="0"/>
          <w:numId w:val="0"/>
        </w:numPr>
        <w:spacing w:line="460" w:lineRule="exact"/>
        <w:ind w:leftChars="200"/>
        <w:jc w:val="left"/>
        <w:rPr>
          <w:rFonts w:hint="eastAsia" w:ascii="仿宋" w:hAnsi="仿宋" w:eastAsia="仿宋" w:cs="仿宋"/>
          <w:sz w:val="24"/>
          <w:szCs w:val="24"/>
        </w:rPr>
      </w:pPr>
      <w:r>
        <w:rPr>
          <w:rFonts w:hint="eastAsia" w:ascii="仿宋" w:hAnsi="仿宋" w:eastAsia="仿宋" w:cs="仿宋"/>
          <w:sz w:val="24"/>
          <w:szCs w:val="24"/>
          <w:lang w:val="en-US" w:eastAsia="zh-CN"/>
        </w:rPr>
        <w:t>(10)</w:t>
      </w:r>
      <w:r>
        <w:rPr>
          <w:rFonts w:hint="eastAsia" w:ascii="仿宋" w:hAnsi="仿宋" w:eastAsia="仿宋" w:cs="仿宋"/>
          <w:sz w:val="24"/>
          <w:szCs w:val="24"/>
        </w:rPr>
        <w:t>隐蔽工程必须上报后勤保障部基建办公室相关管理人员，到达现场核量及拍照，如瞒报、迟报没有现场拍照，基建管理人员一律不予签字确认，视为没有发生的工作量，一切经济损失由施工方承担。</w:t>
      </w:r>
    </w:p>
    <w:p>
      <w:pPr>
        <w:numPr>
          <w:ilvl w:val="0"/>
          <w:numId w:val="0"/>
        </w:numPr>
        <w:spacing w:line="460" w:lineRule="exact"/>
        <w:ind w:left="479" w:leftChars="228" w:firstLine="0" w:firstLineChars="0"/>
        <w:rPr>
          <w:rFonts w:hint="eastAsia" w:ascii="仿宋" w:hAnsi="仿宋" w:eastAsia="仿宋" w:cs="仿宋"/>
          <w:color w:val="0000FF"/>
          <w:sz w:val="24"/>
          <w:szCs w:val="24"/>
          <w:u w:val="none"/>
        </w:rPr>
      </w:pPr>
      <w:r>
        <w:rPr>
          <w:rFonts w:hint="eastAsia" w:ascii="仿宋" w:hAnsi="仿宋" w:eastAsia="仿宋" w:cs="仿宋"/>
          <w:sz w:val="24"/>
          <w:szCs w:val="24"/>
          <w:lang w:val="en-US" w:eastAsia="zh-CN"/>
        </w:rPr>
        <w:t>(11)</w:t>
      </w:r>
      <w:r>
        <w:rPr>
          <w:rFonts w:hint="eastAsia" w:ascii="仿宋" w:hAnsi="仿宋" w:eastAsia="仿宋" w:cs="仿宋"/>
          <w:sz w:val="24"/>
          <w:szCs w:val="24"/>
        </w:rPr>
        <w:t>工期延期交工一天扣除合同金额1000元/天，延期超过10天以上扣除合同金额2000元/天；</w:t>
      </w:r>
    </w:p>
    <w:p>
      <w:pPr>
        <w:widowControl/>
        <w:jc w:val="left"/>
        <w:rPr>
          <w:rFonts w:hint="eastAsia" w:ascii="仿宋" w:hAnsi="仿宋" w:eastAsia="仿宋" w:cs="仿宋"/>
          <w:b/>
          <w:sz w:val="28"/>
          <w:szCs w:val="28"/>
          <w:lang w:eastAsia="zh-CN"/>
        </w:rPr>
      </w:pPr>
      <w:r>
        <w:rPr>
          <w:rFonts w:hint="eastAsia" w:ascii="仿宋" w:hAnsi="仿宋" w:eastAsia="仿宋" w:cs="仿宋"/>
          <w:b/>
          <w:sz w:val="28"/>
          <w:szCs w:val="28"/>
          <w:lang w:val="en-US" w:eastAsia="zh-CN"/>
        </w:rPr>
        <w:t>三、</w:t>
      </w:r>
      <w:r>
        <w:rPr>
          <w:rFonts w:hint="eastAsia" w:ascii="仿宋" w:hAnsi="仿宋" w:eastAsia="仿宋" w:cs="仿宋"/>
          <w:b/>
          <w:sz w:val="28"/>
          <w:szCs w:val="28"/>
        </w:rPr>
        <w:t>服务地点</w:t>
      </w:r>
      <w:r>
        <w:rPr>
          <w:rFonts w:hint="eastAsia" w:ascii="仿宋" w:hAnsi="仿宋" w:eastAsia="仿宋" w:cs="仿宋"/>
          <w:b/>
          <w:sz w:val="28"/>
          <w:szCs w:val="28"/>
          <w:lang w:eastAsia="zh-CN"/>
        </w:rPr>
        <w:t>：</w:t>
      </w:r>
    </w:p>
    <w:p>
      <w:pPr>
        <w:widowControl/>
        <w:jc w:val="left"/>
        <w:rPr>
          <w:rFonts w:hint="default" w:ascii="仿宋" w:hAnsi="仿宋" w:eastAsia="仿宋" w:cs="仿宋"/>
          <w:kern w:val="0"/>
          <w:sz w:val="24"/>
          <w:szCs w:val="24"/>
          <w:highlight w:val="none"/>
          <w:lang w:val="en-US" w:eastAsia="zh-CN"/>
        </w:rPr>
      </w:pPr>
      <w:r>
        <w:rPr>
          <w:rFonts w:hint="eastAsia" w:ascii="仿宋" w:hAnsi="仿宋" w:eastAsia="仿宋" w:cs="仿宋"/>
          <w:kern w:val="0"/>
          <w:sz w:val="24"/>
          <w:szCs w:val="24"/>
        </w:rPr>
        <w:t>克拉玛依</w:t>
      </w:r>
      <w:r>
        <w:rPr>
          <w:rFonts w:hint="eastAsia" w:ascii="仿宋" w:hAnsi="仿宋" w:eastAsia="仿宋" w:cs="仿宋"/>
          <w:kern w:val="0"/>
          <w:sz w:val="24"/>
          <w:szCs w:val="24"/>
          <w:lang w:val="en-US" w:eastAsia="zh-CN"/>
        </w:rPr>
        <w:t>区平安幼儿园</w:t>
      </w:r>
    </w:p>
    <w:p>
      <w:pPr>
        <w:pStyle w:val="16"/>
        <w:numPr>
          <w:ilvl w:val="0"/>
          <w:numId w:val="0"/>
        </w:numPr>
        <w:spacing w:line="460" w:lineRule="exact"/>
        <w:rPr>
          <w:rFonts w:hint="eastAsia" w:ascii="仿宋" w:hAnsi="仿宋" w:eastAsia="仿宋" w:cs="仿宋"/>
          <w:b/>
          <w:sz w:val="28"/>
          <w:szCs w:val="28"/>
          <w:lang w:eastAsia="zh-CN"/>
        </w:rPr>
      </w:pPr>
      <w:r>
        <w:rPr>
          <w:rFonts w:hint="eastAsia" w:ascii="仿宋" w:hAnsi="仿宋" w:eastAsia="仿宋" w:cs="仿宋"/>
          <w:b/>
          <w:sz w:val="28"/>
          <w:szCs w:val="28"/>
          <w:lang w:val="en-US" w:eastAsia="zh-CN"/>
        </w:rPr>
        <w:t>四、</w:t>
      </w:r>
      <w:r>
        <w:rPr>
          <w:rFonts w:hint="eastAsia" w:ascii="仿宋" w:hAnsi="仿宋" w:eastAsia="仿宋" w:cs="仿宋"/>
          <w:b/>
          <w:sz w:val="28"/>
          <w:szCs w:val="28"/>
        </w:rPr>
        <w:t>付款方式</w:t>
      </w:r>
      <w:r>
        <w:rPr>
          <w:rFonts w:hint="eastAsia" w:ascii="仿宋" w:hAnsi="仿宋" w:eastAsia="仿宋" w:cs="仿宋"/>
          <w:b/>
          <w:sz w:val="28"/>
          <w:szCs w:val="28"/>
          <w:lang w:eastAsia="zh-CN"/>
        </w:rPr>
        <w:t>：</w:t>
      </w:r>
    </w:p>
    <w:p>
      <w:pPr>
        <w:pStyle w:val="2"/>
        <w:numPr>
          <w:ilvl w:val="0"/>
          <w:numId w:val="0"/>
        </w:numPr>
        <w:rPr>
          <w:rFonts w:hint="default" w:ascii="仿宋" w:hAnsi="仿宋" w:eastAsia="仿宋" w:cs="仿宋"/>
          <w:b w:val="0"/>
          <w:bCs w:val="0"/>
          <w:color w:val="404040"/>
          <w:sz w:val="24"/>
          <w:szCs w:val="24"/>
          <w:lang w:val="en-US" w:eastAsia="zh-CN"/>
        </w:rPr>
      </w:pPr>
      <w:r>
        <w:rPr>
          <w:rFonts w:hint="eastAsia" w:ascii="仿宋" w:hAnsi="仿宋" w:eastAsia="仿宋" w:cs="仿宋"/>
          <w:b w:val="0"/>
          <w:bCs w:val="0"/>
          <w:color w:val="404040"/>
          <w:sz w:val="24"/>
          <w:szCs w:val="24"/>
        </w:rPr>
        <w:t>项目竣工验收合格后，</w:t>
      </w:r>
      <w:r>
        <w:rPr>
          <w:rFonts w:hint="eastAsia" w:ascii="仿宋" w:hAnsi="仿宋" w:eastAsia="仿宋" w:cs="仿宋"/>
          <w:b w:val="0"/>
          <w:bCs w:val="0"/>
          <w:color w:val="404040"/>
          <w:sz w:val="24"/>
          <w:szCs w:val="24"/>
          <w:lang w:val="en-US" w:eastAsia="zh-CN"/>
        </w:rPr>
        <w:t>施工单位按要求开具发票后按发票金额结算。</w:t>
      </w:r>
    </w:p>
    <w:p>
      <w:pPr>
        <w:numPr>
          <w:ilvl w:val="0"/>
          <w:numId w:val="13"/>
        </w:numPr>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踏勘现场：</w:t>
      </w:r>
    </w:p>
    <w:p>
      <w:pPr>
        <w:pStyle w:val="3"/>
        <w:numPr>
          <w:ilvl w:val="0"/>
          <w:numId w:val="0"/>
        </w:numPr>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1.踏勘时间：2025年3月24日上午10:00-11：00</w:t>
      </w:r>
    </w:p>
    <w:p>
      <w:pPr>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2.踏勘集中地点：</w:t>
      </w:r>
      <w:r>
        <w:rPr>
          <w:rFonts w:hint="eastAsia" w:ascii="仿宋" w:hAnsi="仿宋" w:eastAsia="仿宋" w:cs="仿宋"/>
          <w:b w:val="0"/>
          <w:bCs w:val="0"/>
          <w:color w:val="000000"/>
          <w:sz w:val="24"/>
          <w:szCs w:val="24"/>
        </w:rPr>
        <w:t>克拉玛依</w:t>
      </w:r>
      <w:r>
        <w:rPr>
          <w:rFonts w:hint="eastAsia" w:ascii="仿宋" w:hAnsi="仿宋" w:eastAsia="仿宋" w:cs="仿宋"/>
          <w:b w:val="0"/>
          <w:bCs w:val="0"/>
          <w:color w:val="000000"/>
          <w:sz w:val="24"/>
          <w:szCs w:val="24"/>
          <w:lang w:val="en-US" w:eastAsia="zh-CN"/>
        </w:rPr>
        <w:t>区平安幼儿园</w:t>
      </w:r>
      <w:r>
        <w:rPr>
          <w:rFonts w:hint="eastAsia" w:ascii="仿宋" w:hAnsi="仿宋" w:eastAsia="仿宋" w:cs="仿宋"/>
          <w:b w:val="0"/>
          <w:bCs w:val="0"/>
          <w:color w:val="000000"/>
          <w:sz w:val="24"/>
          <w:szCs w:val="24"/>
          <w:lang w:eastAsia="zh-CN"/>
        </w:rPr>
        <w:t>（</w:t>
      </w:r>
      <w:r>
        <w:rPr>
          <w:rFonts w:hint="eastAsia" w:ascii="仿宋" w:hAnsi="仿宋" w:eastAsia="仿宋" w:cs="仿宋"/>
          <w:b w:val="0"/>
          <w:bCs w:val="0"/>
          <w:color w:val="000000"/>
          <w:sz w:val="24"/>
          <w:szCs w:val="24"/>
          <w:lang w:val="en-US" w:eastAsia="zh-CN"/>
        </w:rPr>
        <w:t>1</w:t>
      </w:r>
      <w:r>
        <w:rPr>
          <w:rFonts w:hint="eastAsia" w:ascii="仿宋" w:hAnsi="仿宋" w:eastAsia="仿宋" w:cs="仿宋"/>
          <w:b w:val="0"/>
          <w:bCs w:val="0"/>
          <w:color w:val="000000"/>
          <w:sz w:val="24"/>
          <w:szCs w:val="24"/>
          <w:lang w:eastAsia="zh-CN"/>
        </w:rPr>
        <w:t>）</w:t>
      </w:r>
      <w:r>
        <w:rPr>
          <w:rFonts w:hint="eastAsia" w:ascii="仿宋" w:hAnsi="仿宋" w:eastAsia="仿宋" w:cs="仿宋"/>
          <w:b w:val="0"/>
          <w:bCs w:val="0"/>
          <w:color w:val="000000"/>
          <w:sz w:val="24"/>
          <w:szCs w:val="24"/>
        </w:rPr>
        <w:t xml:space="preserve">不接受任何单位单独踏勘现场，所有潜在供应商统一时间、统一地点踏勘现场。 </w:t>
      </w:r>
      <w:r>
        <w:rPr>
          <w:rFonts w:hint="eastAsia" w:ascii="仿宋" w:hAnsi="仿宋" w:eastAsia="仿宋" w:cs="仿宋"/>
          <w:b w:val="0"/>
          <w:bCs w:val="0"/>
          <w:color w:val="000000"/>
          <w:sz w:val="24"/>
          <w:szCs w:val="24"/>
          <w:lang w:eastAsia="zh-CN"/>
        </w:rPr>
        <w:t>（</w:t>
      </w:r>
      <w:r>
        <w:rPr>
          <w:rFonts w:hint="eastAsia" w:ascii="仿宋" w:hAnsi="仿宋" w:eastAsia="仿宋" w:cs="仿宋"/>
          <w:b w:val="0"/>
          <w:bCs w:val="0"/>
          <w:color w:val="000000"/>
          <w:sz w:val="24"/>
          <w:szCs w:val="24"/>
          <w:lang w:val="en-US" w:eastAsia="zh-CN"/>
        </w:rPr>
        <w:t>2</w:t>
      </w:r>
      <w:r>
        <w:rPr>
          <w:rFonts w:hint="eastAsia" w:ascii="仿宋" w:hAnsi="仿宋" w:eastAsia="仿宋" w:cs="仿宋"/>
          <w:b w:val="0"/>
          <w:bCs w:val="0"/>
          <w:color w:val="000000"/>
          <w:sz w:val="24"/>
          <w:szCs w:val="24"/>
          <w:lang w:eastAsia="zh-CN"/>
        </w:rPr>
        <w:t>）</w:t>
      </w:r>
      <w:r>
        <w:rPr>
          <w:rFonts w:hint="eastAsia" w:ascii="仿宋" w:hAnsi="仿宋" w:eastAsia="仿宋" w:cs="仿宋"/>
          <w:b w:val="0"/>
          <w:bCs w:val="0"/>
          <w:color w:val="000000"/>
          <w:sz w:val="24"/>
          <w:szCs w:val="24"/>
        </w:rPr>
        <w:t>请潜在供应商现场踏勘人员携带《</w:t>
      </w:r>
      <w:r>
        <w:rPr>
          <w:rFonts w:hint="eastAsia" w:ascii="仿宋" w:hAnsi="仿宋" w:eastAsia="仿宋" w:cs="仿宋"/>
          <w:b w:val="0"/>
          <w:bCs w:val="0"/>
          <w:color w:val="000000"/>
          <w:sz w:val="24"/>
          <w:szCs w:val="24"/>
          <w:lang w:val="en-US" w:eastAsia="zh-CN"/>
        </w:rPr>
        <w:t>项目现场踏勘签到表</w:t>
      </w:r>
      <w:r>
        <w:rPr>
          <w:rFonts w:hint="eastAsia" w:ascii="仿宋" w:hAnsi="仿宋" w:eastAsia="仿宋" w:cs="仿宋"/>
          <w:b w:val="0"/>
          <w:bCs w:val="0"/>
          <w:color w:val="000000"/>
          <w:sz w:val="24"/>
          <w:szCs w:val="24"/>
        </w:rPr>
        <w:t>》，否则不予踏勘。</w:t>
      </w:r>
    </w:p>
    <w:p>
      <w:pPr>
        <w:numPr>
          <w:ilvl w:val="0"/>
          <w:numId w:val="0"/>
        </w:numPr>
        <w:rPr>
          <w:rFonts w:hint="default"/>
          <w:b w:val="0"/>
          <w:bCs w:val="0"/>
          <w:sz w:val="24"/>
          <w:szCs w:val="24"/>
          <w:lang w:val="en-US" w:eastAsia="zh-CN"/>
        </w:rPr>
      </w:pPr>
      <w:r>
        <w:rPr>
          <w:rFonts w:hint="eastAsia" w:ascii="仿宋" w:hAnsi="仿宋" w:eastAsia="仿宋" w:cs="仿宋"/>
          <w:b/>
          <w:bCs/>
          <w:color w:val="000000"/>
          <w:sz w:val="28"/>
          <w:szCs w:val="28"/>
          <w:lang w:val="en-US" w:eastAsia="zh-CN"/>
        </w:rPr>
        <w:t>六、商务要求（上传资料需加盖公章以PDF形式上传）</w:t>
      </w:r>
    </w:p>
    <w:p>
      <w:pPr>
        <w:pStyle w:val="16"/>
        <w:numPr>
          <w:ilvl w:val="0"/>
          <w:numId w:val="0"/>
        </w:numPr>
        <w:spacing w:line="460" w:lineRule="exact"/>
        <w:rPr>
          <w:rFonts w:hint="eastAsia"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1.投标商必须现场踏勘及仔细核算后报价，如盲目报价中标后无法满足我单位要求，视为扰乱我单位工作秩序和政采云公平竞争环境，我单位将根据规定上报监管部门处理；</w:t>
      </w:r>
    </w:p>
    <w:p>
      <w:pPr>
        <w:pStyle w:val="16"/>
        <w:numPr>
          <w:ilvl w:val="0"/>
          <w:numId w:val="0"/>
        </w:numPr>
        <w:spacing w:line="460" w:lineRule="exact"/>
        <w:rPr>
          <w:rFonts w:hint="eastAsia"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2.上传施工方案及施工图；</w:t>
      </w:r>
    </w:p>
    <w:p>
      <w:pPr>
        <w:pStyle w:val="16"/>
        <w:numPr>
          <w:ilvl w:val="0"/>
          <w:numId w:val="0"/>
        </w:numPr>
        <w:spacing w:line="460" w:lineRule="exact"/>
        <w:rPr>
          <w:rFonts w:hint="eastAsia"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3.上传相关法人证件及营业执照、资质证书；</w:t>
      </w:r>
    </w:p>
    <w:p>
      <w:pPr>
        <w:pStyle w:val="16"/>
        <w:numPr>
          <w:ilvl w:val="0"/>
          <w:numId w:val="0"/>
        </w:numPr>
        <w:spacing w:line="460" w:lineRule="exact"/>
        <w:rPr>
          <w:rFonts w:hint="eastAsia"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4.上传服务承诺；</w:t>
      </w:r>
    </w:p>
    <w:p>
      <w:pPr>
        <w:pStyle w:val="16"/>
        <w:numPr>
          <w:ilvl w:val="0"/>
          <w:numId w:val="0"/>
        </w:numPr>
        <w:spacing w:line="460" w:lineRule="exact"/>
        <w:rPr>
          <w:rFonts w:hint="eastAsia"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5.上传统一竞价采购报价单（见附件）；</w:t>
      </w:r>
    </w:p>
    <w:p>
      <w:pPr>
        <w:pStyle w:val="16"/>
        <w:numPr>
          <w:ilvl w:val="0"/>
          <w:numId w:val="0"/>
        </w:numPr>
        <w:spacing w:line="460" w:lineRule="exact"/>
        <w:rPr>
          <w:rFonts w:hint="default"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6.上传悬浮门等材料质检报告、产品合格证</w:t>
      </w:r>
    </w:p>
    <w:p>
      <w:pPr>
        <w:pStyle w:val="16"/>
        <w:numPr>
          <w:ilvl w:val="0"/>
          <w:numId w:val="0"/>
        </w:numPr>
        <w:spacing w:line="460" w:lineRule="exact"/>
        <w:rPr>
          <w:rFonts w:hint="default"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7.上传安装工人电工证等资格证书</w:t>
      </w:r>
      <w:bookmarkStart w:id="5" w:name="_GoBack"/>
      <w:bookmarkEnd w:id="5"/>
    </w:p>
    <w:p>
      <w:pPr>
        <w:pStyle w:val="16"/>
        <w:numPr>
          <w:ilvl w:val="0"/>
          <w:numId w:val="0"/>
        </w:numPr>
        <w:spacing w:line="460" w:lineRule="exact"/>
        <w:rPr>
          <w:rFonts w:hint="eastAsia"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8.未按要求逐一上传资料，我园有权作投标无效处理。</w:t>
      </w:r>
    </w:p>
    <w:p>
      <w:pPr>
        <w:pStyle w:val="16"/>
        <w:numPr>
          <w:ilvl w:val="0"/>
          <w:numId w:val="0"/>
        </w:numPr>
        <w:spacing w:line="460" w:lineRule="exact"/>
        <w:rPr>
          <w:rFonts w:hint="eastAsia"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9.上传踏勘证明。</w:t>
      </w:r>
    </w:p>
    <w:p>
      <w:pPr>
        <w:pStyle w:val="16"/>
        <w:numPr>
          <w:ilvl w:val="0"/>
          <w:numId w:val="0"/>
        </w:numPr>
        <w:spacing w:line="460" w:lineRule="exact"/>
        <w:rPr>
          <w:rFonts w:hint="eastAsia" w:ascii="仿宋" w:hAnsi="仿宋" w:eastAsia="仿宋" w:cs="仿宋"/>
          <w:b w:val="0"/>
          <w:bCs w:val="0"/>
          <w:color w:val="000000"/>
          <w:sz w:val="24"/>
          <w:szCs w:val="24"/>
          <w:lang w:val="en-US" w:eastAsia="zh-CN"/>
        </w:rPr>
      </w:pPr>
      <w:bookmarkStart w:id="2" w:name="OLE_LINK2"/>
      <w:r>
        <w:rPr>
          <w:rFonts w:hint="eastAsia" w:ascii="仿宋" w:hAnsi="仿宋" w:eastAsia="仿宋" w:cs="仿宋"/>
          <w:b w:val="0"/>
          <w:bCs w:val="0"/>
          <w:color w:val="000000"/>
          <w:sz w:val="24"/>
          <w:szCs w:val="24"/>
          <w:lang w:val="en-US" w:eastAsia="zh-CN"/>
        </w:rPr>
        <w:t>10.付款方式：验收合格之后60个工作日再付给乙方。</w:t>
      </w:r>
    </w:p>
    <w:p>
      <w:pPr>
        <w:pStyle w:val="16"/>
        <w:numPr>
          <w:ilvl w:val="0"/>
          <w:numId w:val="0"/>
        </w:numPr>
        <w:spacing w:line="460" w:lineRule="exact"/>
        <w:rPr>
          <w:rFonts w:hint="default" w:ascii="仿宋" w:hAnsi="仿宋" w:eastAsia="仿宋" w:cs="仿宋"/>
          <w:b w:val="0"/>
          <w:bCs w:val="0"/>
          <w:color w:val="000000"/>
          <w:sz w:val="24"/>
          <w:szCs w:val="24"/>
          <w:lang w:val="en-US" w:eastAsia="zh-CN"/>
        </w:rPr>
      </w:pPr>
      <w:bookmarkStart w:id="3" w:name="OLE_LINK3"/>
      <w:r>
        <w:rPr>
          <w:rFonts w:hint="eastAsia" w:ascii="仿宋" w:hAnsi="仿宋" w:eastAsia="仿宋" w:cs="仿宋"/>
          <w:b w:val="0"/>
          <w:bCs w:val="0"/>
          <w:color w:val="000000"/>
          <w:sz w:val="24"/>
          <w:szCs w:val="24"/>
          <w:lang w:val="en-US" w:eastAsia="zh-CN"/>
        </w:rPr>
        <w:t>11.防风抗沙耐寒耐热级别较高。</w:t>
      </w:r>
    </w:p>
    <w:bookmarkEnd w:id="2"/>
    <w:bookmarkEnd w:id="3"/>
    <w:p>
      <w:pPr>
        <w:pStyle w:val="16"/>
        <w:numPr>
          <w:ilvl w:val="0"/>
          <w:numId w:val="0"/>
        </w:numPr>
        <w:spacing w:line="460" w:lineRule="exact"/>
        <w:rPr>
          <w:rFonts w:hint="default" w:ascii="仿宋" w:hAnsi="仿宋" w:eastAsia="仿宋" w:cs="仿宋"/>
          <w:b/>
          <w:sz w:val="28"/>
          <w:szCs w:val="28"/>
          <w:highlight w:val="cyan"/>
          <w:lang w:val="en-US"/>
        </w:rPr>
      </w:pPr>
      <w:r>
        <w:rPr>
          <w:rFonts w:hint="eastAsia" w:ascii="仿宋" w:hAnsi="仿宋" w:eastAsia="仿宋" w:cs="仿宋"/>
          <w:b/>
          <w:sz w:val="28"/>
          <w:szCs w:val="28"/>
          <w:highlight w:val="none"/>
          <w:lang w:val="en-US" w:eastAsia="zh-CN"/>
        </w:rPr>
        <w:t>七、项目负责人：</w:t>
      </w:r>
    </w:p>
    <w:p>
      <w:pPr>
        <w:snapToGrid w:val="0"/>
        <w:spacing w:line="460" w:lineRule="exact"/>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1.项目负责</w:t>
      </w:r>
      <w:r>
        <w:rPr>
          <w:rFonts w:hint="eastAsia" w:ascii="仿宋" w:hAnsi="仿宋" w:eastAsia="仿宋" w:cs="仿宋"/>
          <w:kern w:val="0"/>
          <w:sz w:val="24"/>
          <w:szCs w:val="24"/>
        </w:rPr>
        <w:t>人：</w:t>
      </w:r>
      <w:r>
        <w:rPr>
          <w:rFonts w:hint="eastAsia" w:ascii="仿宋" w:hAnsi="仿宋" w:eastAsia="仿宋" w:cs="仿宋"/>
          <w:kern w:val="0"/>
          <w:sz w:val="24"/>
          <w:szCs w:val="24"/>
          <w:lang w:val="en-US" w:eastAsia="zh-CN"/>
        </w:rPr>
        <w:t>斯琴</w:t>
      </w:r>
    </w:p>
    <w:p>
      <w:pPr>
        <w:snapToGrid w:val="0"/>
        <w:spacing w:line="460" w:lineRule="exact"/>
        <w:rPr>
          <w:rFonts w:hint="eastAsia" w:ascii="仿宋" w:hAnsi="仿宋" w:eastAsia="仿宋" w:cs="仿宋"/>
          <w:b/>
          <w:bCs/>
          <w:color w:val="000000"/>
          <w:sz w:val="24"/>
          <w:szCs w:val="24"/>
          <w:lang w:val="en-US" w:eastAsia="zh-CN"/>
        </w:rPr>
      </w:pPr>
      <w:r>
        <w:rPr>
          <w:rFonts w:hint="eastAsia" w:ascii="仿宋" w:hAnsi="仿宋" w:eastAsia="仿宋" w:cs="仿宋"/>
          <w:kern w:val="0"/>
          <w:sz w:val="24"/>
          <w:szCs w:val="24"/>
          <w:lang w:val="en-US" w:eastAsia="zh-CN"/>
        </w:rPr>
        <w:t>2.</w:t>
      </w:r>
      <w:r>
        <w:rPr>
          <w:rFonts w:hint="eastAsia" w:ascii="仿宋" w:hAnsi="仿宋" w:eastAsia="仿宋" w:cs="仿宋"/>
          <w:kern w:val="0"/>
          <w:sz w:val="24"/>
          <w:szCs w:val="24"/>
        </w:rPr>
        <w:t>手机号：</w:t>
      </w:r>
      <w:r>
        <w:rPr>
          <w:rFonts w:hint="eastAsia" w:ascii="仿宋" w:hAnsi="仿宋" w:eastAsia="仿宋" w:cs="仿宋"/>
          <w:kern w:val="0"/>
          <w:sz w:val="24"/>
          <w:szCs w:val="24"/>
          <w:lang w:val="en-US" w:eastAsia="zh-CN"/>
        </w:rPr>
        <w:t>13565457385</w:t>
      </w:r>
    </w:p>
    <w:p>
      <w:pPr>
        <w:spacing w:line="460" w:lineRule="exact"/>
        <w:rPr>
          <w:rFonts w:hint="eastAsia" w:ascii="仿宋" w:hAnsi="仿宋" w:eastAsia="仿宋" w:cs="仿宋"/>
          <w:b/>
          <w:bCs/>
          <w:color w:val="000000"/>
          <w:sz w:val="24"/>
          <w:szCs w:val="24"/>
          <w:lang w:val="en-US" w:eastAsia="zh-CN"/>
        </w:rPr>
      </w:pPr>
      <w:r>
        <w:rPr>
          <w:rFonts w:hint="eastAsia" w:ascii="仿宋" w:hAnsi="仿宋" w:eastAsia="仿宋" w:cs="仿宋"/>
          <w:b/>
          <w:bCs/>
          <w:color w:val="000000"/>
          <w:sz w:val="24"/>
          <w:szCs w:val="24"/>
          <w:lang w:val="en-US" w:eastAsia="zh-CN"/>
        </w:rPr>
        <w:t>附件：</w:t>
      </w:r>
    </w:p>
    <w:p>
      <w:pPr>
        <w:spacing w:line="460" w:lineRule="exact"/>
        <w:rPr>
          <w:rFonts w:hint="eastAsia" w:ascii="仿宋" w:hAnsi="仿宋" w:eastAsia="仿宋" w:cs="仿宋"/>
          <w:b/>
          <w:bCs/>
          <w:sz w:val="30"/>
          <w:szCs w:val="30"/>
          <w:lang w:val="en-US" w:eastAsia="zh-CN"/>
        </w:rPr>
      </w:pPr>
    </w:p>
    <w:p>
      <w:pPr>
        <w:spacing w:line="460" w:lineRule="exact"/>
        <w:ind w:firstLine="2711" w:firstLineChars="900"/>
        <w:rPr>
          <w:rFonts w:hint="eastAsia" w:ascii="仿宋" w:hAnsi="仿宋" w:eastAsia="仿宋" w:cs="仿宋"/>
          <w:b/>
          <w:bCs/>
          <w:sz w:val="30"/>
          <w:szCs w:val="30"/>
          <w:highlight w:val="none"/>
        </w:rPr>
      </w:pPr>
      <w:r>
        <w:rPr>
          <w:rFonts w:hint="eastAsia" w:ascii="仿宋" w:hAnsi="仿宋" w:eastAsia="仿宋" w:cs="仿宋"/>
          <w:b/>
          <w:bCs/>
          <w:sz w:val="30"/>
          <w:szCs w:val="30"/>
          <w:lang w:val="en-US" w:eastAsia="zh-CN"/>
        </w:rPr>
        <w:t>竞价采购报价单</w:t>
      </w:r>
    </w:p>
    <w:p>
      <w:pPr>
        <w:tabs>
          <w:tab w:val="left" w:pos="9135"/>
        </w:tabs>
        <w:spacing w:line="400" w:lineRule="atLeast"/>
        <w:ind w:firstLine="0" w:firstLineChars="0"/>
        <w:rPr>
          <w:rFonts w:hint="eastAsia" w:ascii="仿宋" w:hAnsi="仿宋" w:eastAsia="仿宋" w:cs="仿宋"/>
          <w:sz w:val="24"/>
          <w:szCs w:val="24"/>
          <w:highlight w:val="none"/>
          <w:lang w:eastAsia="zh-CN"/>
        </w:rPr>
      </w:pPr>
    </w:p>
    <w:p>
      <w:pPr>
        <w:tabs>
          <w:tab w:val="left" w:pos="9135"/>
        </w:tabs>
        <w:spacing w:line="400" w:lineRule="atLeast"/>
        <w:ind w:firstLine="0" w:firstLineChars="0"/>
        <w:rPr>
          <w:rFonts w:hint="eastAsia" w:ascii="仿宋" w:hAnsi="仿宋" w:eastAsia="仿宋" w:cs="仿宋"/>
          <w:sz w:val="24"/>
          <w:szCs w:val="24"/>
          <w:highlight w:val="none"/>
          <w:u w:val="single"/>
        </w:rPr>
      </w:pPr>
      <w:r>
        <w:rPr>
          <w:rFonts w:hint="eastAsia" w:ascii="仿宋" w:hAnsi="仿宋" w:eastAsia="仿宋" w:cs="仿宋"/>
          <w:sz w:val="24"/>
          <w:szCs w:val="24"/>
          <w:highlight w:val="none"/>
          <w:lang w:eastAsia="zh-CN"/>
        </w:rPr>
        <w:t>供应商</w:t>
      </w:r>
      <w:r>
        <w:rPr>
          <w:rFonts w:hint="eastAsia" w:ascii="仿宋" w:hAnsi="仿宋" w:eastAsia="仿宋" w:cs="仿宋"/>
          <w:sz w:val="24"/>
          <w:szCs w:val="24"/>
          <w:highlight w:val="none"/>
        </w:rPr>
        <w:t>名称(公章)：</w:t>
      </w:r>
    </w:p>
    <w:p>
      <w:pPr>
        <w:pStyle w:val="2"/>
        <w:rPr>
          <w:rFonts w:hint="eastAsia"/>
          <w:lang w:val="en-US" w:eastAsia="zh-CN"/>
        </w:rPr>
      </w:pPr>
    </w:p>
    <w:tbl>
      <w:tblPr>
        <w:tblStyle w:val="9"/>
        <w:tblW w:w="777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2200"/>
        <w:gridCol w:w="520"/>
        <w:gridCol w:w="841"/>
        <w:gridCol w:w="1196"/>
        <w:gridCol w:w="997"/>
        <w:gridCol w:w="12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1" w:hRule="atLeast"/>
          <w:tblHeader/>
          <w:jc w:val="center"/>
        </w:trPr>
        <w:tc>
          <w:tcPr>
            <w:tcW w:w="774" w:type="dxa"/>
            <w:noWrap w:val="0"/>
            <w:vAlign w:val="center"/>
          </w:tcPr>
          <w:p>
            <w:pPr>
              <w:tabs>
                <w:tab w:val="left" w:pos="9135"/>
              </w:tabs>
              <w:spacing w:line="400" w:lineRule="atLeast"/>
              <w:ind w:firstLine="0" w:firstLineChars="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序号</w:t>
            </w:r>
          </w:p>
        </w:tc>
        <w:tc>
          <w:tcPr>
            <w:tcW w:w="2200" w:type="dxa"/>
            <w:noWrap w:val="0"/>
            <w:vAlign w:val="center"/>
          </w:tcPr>
          <w:p>
            <w:pPr>
              <w:tabs>
                <w:tab w:val="left" w:pos="9135"/>
              </w:tabs>
              <w:spacing w:line="400" w:lineRule="atLeast"/>
              <w:ind w:firstLine="0" w:firstLineChars="0"/>
              <w:jc w:val="center"/>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项目名称</w:t>
            </w:r>
          </w:p>
        </w:tc>
        <w:tc>
          <w:tcPr>
            <w:tcW w:w="520" w:type="dxa"/>
            <w:noWrap w:val="0"/>
            <w:vAlign w:val="center"/>
          </w:tcPr>
          <w:p>
            <w:pPr>
              <w:tabs>
                <w:tab w:val="left" w:pos="9135"/>
              </w:tabs>
              <w:spacing w:line="400" w:lineRule="atLeast"/>
              <w:ind w:firstLine="0" w:firstLineChars="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数量</w:t>
            </w:r>
          </w:p>
        </w:tc>
        <w:tc>
          <w:tcPr>
            <w:tcW w:w="841" w:type="dxa"/>
            <w:noWrap w:val="0"/>
            <w:vAlign w:val="center"/>
          </w:tcPr>
          <w:p>
            <w:pPr>
              <w:tabs>
                <w:tab w:val="left" w:pos="9135"/>
              </w:tabs>
              <w:spacing w:line="400" w:lineRule="atLeast"/>
              <w:ind w:firstLine="0" w:firstLineChars="0"/>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单位</w:t>
            </w:r>
          </w:p>
        </w:tc>
        <w:tc>
          <w:tcPr>
            <w:tcW w:w="1196" w:type="dxa"/>
            <w:noWrap w:val="0"/>
            <w:vAlign w:val="center"/>
          </w:tcPr>
          <w:p>
            <w:pPr>
              <w:tabs>
                <w:tab w:val="left" w:pos="9135"/>
              </w:tabs>
              <w:spacing w:line="400" w:lineRule="atLeast"/>
              <w:ind w:firstLine="0" w:firstLineChars="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投标</w:t>
            </w:r>
            <w:r>
              <w:rPr>
                <w:rFonts w:hint="eastAsia" w:ascii="仿宋" w:hAnsi="仿宋" w:eastAsia="仿宋" w:cs="仿宋"/>
                <w:sz w:val="24"/>
                <w:szCs w:val="24"/>
                <w:highlight w:val="none"/>
                <w:lang w:eastAsia="zh-CN"/>
              </w:rPr>
              <w:t>金额</w:t>
            </w:r>
          </w:p>
          <w:p>
            <w:pPr>
              <w:tabs>
                <w:tab w:val="left" w:pos="9135"/>
              </w:tabs>
              <w:spacing w:line="400" w:lineRule="atLeast"/>
              <w:ind w:firstLine="0" w:firstLineChars="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（元）</w:t>
            </w:r>
          </w:p>
        </w:tc>
        <w:tc>
          <w:tcPr>
            <w:tcW w:w="997" w:type="dxa"/>
            <w:noWrap w:val="0"/>
            <w:vAlign w:val="center"/>
          </w:tcPr>
          <w:p>
            <w:pPr>
              <w:tabs>
                <w:tab w:val="left" w:pos="9135"/>
              </w:tabs>
              <w:spacing w:line="400" w:lineRule="atLeast"/>
              <w:ind w:firstLine="0" w:firstLineChars="0"/>
              <w:jc w:val="center"/>
              <w:rPr>
                <w:rFonts w:hint="eastAsia" w:ascii="仿宋" w:hAnsi="仿宋" w:eastAsia="仿宋" w:cs="仿宋"/>
                <w:sz w:val="24"/>
                <w:szCs w:val="24"/>
                <w:highlight w:val="none"/>
              </w:rPr>
            </w:pPr>
            <w:r>
              <w:rPr>
                <w:rFonts w:hint="eastAsia" w:ascii="仿宋" w:hAnsi="仿宋" w:eastAsia="仿宋" w:cs="仿宋"/>
                <w:sz w:val="24"/>
                <w:szCs w:val="24"/>
                <w:highlight w:val="none"/>
                <w:lang w:eastAsia="zh-CN"/>
              </w:rPr>
              <w:t>交货期</w:t>
            </w:r>
          </w:p>
        </w:tc>
        <w:tc>
          <w:tcPr>
            <w:tcW w:w="1245" w:type="dxa"/>
            <w:noWrap w:val="0"/>
            <w:vAlign w:val="center"/>
          </w:tcPr>
          <w:p>
            <w:pPr>
              <w:tabs>
                <w:tab w:val="left" w:pos="9135"/>
              </w:tabs>
              <w:spacing w:line="400" w:lineRule="atLeast"/>
              <w:ind w:firstLine="0" w:firstLineChars="0"/>
              <w:jc w:val="center"/>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1" w:hRule="atLeast"/>
          <w:jc w:val="center"/>
        </w:trPr>
        <w:tc>
          <w:tcPr>
            <w:tcW w:w="774" w:type="dxa"/>
            <w:noWrap w:val="0"/>
            <w:vAlign w:val="center"/>
          </w:tcPr>
          <w:p>
            <w:pPr>
              <w:tabs>
                <w:tab w:val="left" w:pos="9135"/>
              </w:tabs>
              <w:spacing w:line="400" w:lineRule="atLeast"/>
              <w:ind w:firstLine="0" w:firstLineChars="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w:t>
            </w:r>
          </w:p>
        </w:tc>
        <w:tc>
          <w:tcPr>
            <w:tcW w:w="2200" w:type="dxa"/>
            <w:noWrap w:val="0"/>
            <w:vAlign w:val="center"/>
          </w:tcPr>
          <w:p>
            <w:pPr>
              <w:keepNext w:val="0"/>
              <w:keepLines w:val="0"/>
              <w:widowControl/>
              <w:suppressLineNumbers w:val="0"/>
              <w:jc w:val="both"/>
              <w:textAlignment w:val="center"/>
              <w:rPr>
                <w:rFonts w:hint="default" w:ascii="仿宋" w:hAnsi="仿宋" w:eastAsia="仿宋" w:cs="仿宋"/>
                <w:b w:val="0"/>
                <w:bCs w:val="0"/>
                <w:kern w:val="2"/>
                <w:sz w:val="24"/>
                <w:szCs w:val="24"/>
                <w:lang w:val="en-US" w:eastAsia="zh-CN" w:bidi="ar-SA"/>
              </w:rPr>
            </w:pPr>
            <w:bookmarkStart w:id="4" w:name="OLE_LINK1"/>
            <w:r>
              <w:rPr>
                <w:rFonts w:hint="eastAsia" w:ascii="仿宋" w:hAnsi="仿宋" w:eastAsia="仿宋" w:cs="仿宋"/>
                <w:b w:val="0"/>
                <w:bCs w:val="0"/>
                <w:sz w:val="24"/>
                <w:szCs w:val="24"/>
                <w:lang w:val="en-US" w:eastAsia="zh-CN"/>
              </w:rPr>
              <w:t>悬浮门更换项目</w:t>
            </w:r>
            <w:bookmarkEnd w:id="4"/>
          </w:p>
        </w:tc>
        <w:tc>
          <w:tcPr>
            <w:tcW w:w="520" w:type="dxa"/>
            <w:noWrap w:val="0"/>
            <w:vAlign w:val="center"/>
          </w:tcPr>
          <w:p>
            <w:pPr>
              <w:keepNext w:val="0"/>
              <w:keepLines w:val="0"/>
              <w:widowControl/>
              <w:suppressLineNumbers w:val="0"/>
              <w:jc w:val="center"/>
              <w:textAlignment w:val="center"/>
              <w:rPr>
                <w:rFonts w:hint="default" w:ascii="仿宋" w:hAnsi="仿宋" w:eastAsia="仿宋" w:cs="仿宋"/>
                <w:b w:val="0"/>
                <w:bCs w:val="0"/>
                <w:i w:val="0"/>
                <w:iCs w:val="0"/>
                <w:color w:val="000000"/>
                <w:kern w:val="2"/>
                <w:sz w:val="24"/>
                <w:szCs w:val="24"/>
                <w:u w:val="none"/>
                <w:lang w:val="en-US" w:eastAsia="zh-CN" w:bidi="ar-SA"/>
              </w:rPr>
            </w:pPr>
            <w:r>
              <w:rPr>
                <w:rFonts w:hint="eastAsia" w:ascii="仿宋" w:hAnsi="仿宋" w:eastAsia="仿宋" w:cs="仿宋"/>
                <w:b w:val="0"/>
                <w:bCs w:val="0"/>
                <w:i w:val="0"/>
                <w:iCs w:val="0"/>
                <w:color w:val="000000"/>
                <w:kern w:val="2"/>
                <w:sz w:val="24"/>
                <w:szCs w:val="24"/>
                <w:u w:val="none"/>
                <w:lang w:val="en-US" w:eastAsia="zh-CN" w:bidi="ar-SA"/>
              </w:rPr>
              <w:t>1</w:t>
            </w:r>
          </w:p>
        </w:tc>
        <w:tc>
          <w:tcPr>
            <w:tcW w:w="841" w:type="dxa"/>
            <w:noWrap w:val="0"/>
            <w:vAlign w:val="center"/>
          </w:tcPr>
          <w:p>
            <w:pPr>
              <w:keepNext w:val="0"/>
              <w:keepLines w:val="0"/>
              <w:widowControl/>
              <w:suppressLineNumbers w:val="0"/>
              <w:jc w:val="center"/>
              <w:textAlignment w:val="center"/>
              <w:rPr>
                <w:rFonts w:hint="default" w:ascii="仿宋" w:hAnsi="仿宋" w:eastAsia="仿宋" w:cs="仿宋"/>
                <w:b w:val="0"/>
                <w:bCs w:val="0"/>
                <w:i w:val="0"/>
                <w:iCs w:val="0"/>
                <w:color w:val="000000"/>
                <w:kern w:val="2"/>
                <w:sz w:val="24"/>
                <w:szCs w:val="24"/>
                <w:u w:val="none"/>
                <w:lang w:val="en-US" w:eastAsia="zh-CN" w:bidi="ar-SA"/>
              </w:rPr>
            </w:pPr>
            <w:r>
              <w:rPr>
                <w:rFonts w:hint="eastAsia" w:ascii="仿宋" w:hAnsi="仿宋" w:eastAsia="仿宋" w:cs="仿宋"/>
                <w:b w:val="0"/>
                <w:bCs w:val="0"/>
                <w:i w:val="0"/>
                <w:iCs w:val="0"/>
                <w:color w:val="000000"/>
                <w:kern w:val="2"/>
                <w:sz w:val="24"/>
                <w:szCs w:val="24"/>
                <w:u w:val="none"/>
                <w:lang w:val="en-US" w:eastAsia="zh-CN" w:bidi="ar-SA"/>
              </w:rPr>
              <w:t>项</w:t>
            </w:r>
          </w:p>
        </w:tc>
        <w:tc>
          <w:tcPr>
            <w:tcW w:w="1196" w:type="dxa"/>
            <w:noWrap w:val="0"/>
            <w:vAlign w:val="center"/>
          </w:tcPr>
          <w:p>
            <w:pPr>
              <w:tabs>
                <w:tab w:val="left" w:pos="9135"/>
              </w:tabs>
              <w:spacing w:line="400" w:lineRule="atLeast"/>
              <w:ind w:firstLine="0" w:firstLineChars="0"/>
              <w:jc w:val="center"/>
              <w:rPr>
                <w:rFonts w:hint="eastAsia" w:ascii="仿宋" w:hAnsi="仿宋" w:eastAsia="仿宋" w:cs="仿宋"/>
                <w:sz w:val="24"/>
                <w:szCs w:val="24"/>
                <w:highlight w:val="none"/>
              </w:rPr>
            </w:pPr>
          </w:p>
        </w:tc>
        <w:tc>
          <w:tcPr>
            <w:tcW w:w="997" w:type="dxa"/>
            <w:noWrap w:val="0"/>
            <w:vAlign w:val="center"/>
          </w:tcPr>
          <w:p>
            <w:pPr>
              <w:tabs>
                <w:tab w:val="left" w:pos="9135"/>
              </w:tabs>
              <w:spacing w:line="400" w:lineRule="atLeast"/>
              <w:ind w:firstLine="0" w:firstLineChars="0"/>
              <w:rPr>
                <w:rFonts w:hint="eastAsia" w:ascii="仿宋" w:hAnsi="仿宋" w:eastAsia="仿宋" w:cs="仿宋"/>
                <w:sz w:val="24"/>
                <w:szCs w:val="24"/>
                <w:highlight w:val="none"/>
              </w:rPr>
            </w:pPr>
          </w:p>
        </w:tc>
        <w:tc>
          <w:tcPr>
            <w:tcW w:w="1245" w:type="dxa"/>
            <w:noWrap w:val="0"/>
            <w:vAlign w:val="center"/>
          </w:tcPr>
          <w:p>
            <w:pPr>
              <w:tabs>
                <w:tab w:val="left" w:pos="9135"/>
              </w:tabs>
              <w:spacing w:line="400" w:lineRule="atLeast"/>
              <w:ind w:firstLine="0" w:firstLineChars="0"/>
              <w:rPr>
                <w:rFonts w:hint="eastAsia" w:ascii="仿宋" w:hAnsi="仿宋" w:eastAsia="仿宋" w:cs="仿宋"/>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0" w:hRule="atLeast"/>
          <w:jc w:val="center"/>
        </w:trPr>
        <w:tc>
          <w:tcPr>
            <w:tcW w:w="774" w:type="dxa"/>
            <w:noWrap w:val="0"/>
            <w:vAlign w:val="center"/>
          </w:tcPr>
          <w:p>
            <w:pPr>
              <w:tabs>
                <w:tab w:val="left" w:pos="9135"/>
              </w:tabs>
              <w:spacing w:line="400" w:lineRule="atLeast"/>
              <w:ind w:firstLine="0" w:firstLineChars="0"/>
              <w:jc w:val="center"/>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合计</w:t>
            </w:r>
          </w:p>
        </w:tc>
        <w:tc>
          <w:tcPr>
            <w:tcW w:w="2200" w:type="dxa"/>
            <w:noWrap w:val="0"/>
            <w:vAlign w:val="center"/>
          </w:tcPr>
          <w:p>
            <w:pPr>
              <w:tabs>
                <w:tab w:val="left" w:pos="9135"/>
              </w:tabs>
              <w:spacing w:line="400" w:lineRule="atLeast"/>
              <w:ind w:firstLine="0" w:firstLineChars="0"/>
              <w:jc w:val="center"/>
              <w:rPr>
                <w:rFonts w:hint="eastAsia" w:ascii="仿宋" w:hAnsi="仿宋" w:eastAsia="仿宋" w:cs="仿宋"/>
                <w:sz w:val="24"/>
                <w:szCs w:val="24"/>
                <w:highlight w:val="none"/>
              </w:rPr>
            </w:pPr>
          </w:p>
        </w:tc>
        <w:tc>
          <w:tcPr>
            <w:tcW w:w="520" w:type="dxa"/>
            <w:noWrap w:val="0"/>
            <w:vAlign w:val="center"/>
          </w:tcPr>
          <w:p>
            <w:pPr>
              <w:tabs>
                <w:tab w:val="left" w:pos="9135"/>
              </w:tabs>
              <w:spacing w:line="400" w:lineRule="atLeast"/>
              <w:ind w:firstLine="0" w:firstLineChars="0"/>
              <w:jc w:val="center"/>
              <w:rPr>
                <w:rFonts w:hint="eastAsia" w:ascii="仿宋" w:hAnsi="仿宋" w:eastAsia="仿宋" w:cs="仿宋"/>
                <w:sz w:val="24"/>
                <w:szCs w:val="24"/>
                <w:highlight w:val="none"/>
              </w:rPr>
            </w:pPr>
          </w:p>
        </w:tc>
        <w:tc>
          <w:tcPr>
            <w:tcW w:w="841" w:type="dxa"/>
            <w:noWrap w:val="0"/>
            <w:vAlign w:val="center"/>
          </w:tcPr>
          <w:p>
            <w:pPr>
              <w:tabs>
                <w:tab w:val="left" w:pos="9135"/>
              </w:tabs>
              <w:spacing w:line="400" w:lineRule="atLeast"/>
              <w:ind w:firstLine="0" w:firstLineChars="0"/>
              <w:jc w:val="center"/>
              <w:rPr>
                <w:rFonts w:hint="eastAsia" w:ascii="仿宋" w:hAnsi="仿宋" w:eastAsia="仿宋" w:cs="仿宋"/>
                <w:sz w:val="24"/>
                <w:szCs w:val="24"/>
                <w:highlight w:val="none"/>
              </w:rPr>
            </w:pPr>
          </w:p>
        </w:tc>
        <w:tc>
          <w:tcPr>
            <w:tcW w:w="1196" w:type="dxa"/>
            <w:noWrap w:val="0"/>
            <w:vAlign w:val="center"/>
          </w:tcPr>
          <w:p>
            <w:pPr>
              <w:tabs>
                <w:tab w:val="left" w:pos="9135"/>
              </w:tabs>
              <w:spacing w:line="400" w:lineRule="atLeast"/>
              <w:ind w:firstLine="0" w:firstLineChars="0"/>
              <w:jc w:val="center"/>
              <w:rPr>
                <w:rFonts w:hint="eastAsia" w:ascii="仿宋" w:hAnsi="仿宋" w:eastAsia="仿宋" w:cs="仿宋"/>
                <w:sz w:val="24"/>
                <w:szCs w:val="24"/>
                <w:highlight w:val="none"/>
              </w:rPr>
            </w:pPr>
          </w:p>
        </w:tc>
        <w:tc>
          <w:tcPr>
            <w:tcW w:w="997" w:type="dxa"/>
            <w:noWrap w:val="0"/>
            <w:vAlign w:val="center"/>
          </w:tcPr>
          <w:p>
            <w:pPr>
              <w:tabs>
                <w:tab w:val="left" w:pos="9135"/>
              </w:tabs>
              <w:spacing w:line="400" w:lineRule="atLeast"/>
              <w:ind w:firstLine="0" w:firstLineChars="0"/>
              <w:rPr>
                <w:rFonts w:hint="eastAsia" w:ascii="仿宋" w:hAnsi="仿宋" w:eastAsia="仿宋" w:cs="仿宋"/>
                <w:sz w:val="24"/>
                <w:szCs w:val="24"/>
                <w:highlight w:val="none"/>
              </w:rPr>
            </w:pPr>
          </w:p>
        </w:tc>
        <w:tc>
          <w:tcPr>
            <w:tcW w:w="1245" w:type="dxa"/>
            <w:noWrap w:val="0"/>
            <w:vAlign w:val="center"/>
          </w:tcPr>
          <w:p>
            <w:pPr>
              <w:tabs>
                <w:tab w:val="left" w:pos="9135"/>
              </w:tabs>
              <w:spacing w:line="400" w:lineRule="atLeast"/>
              <w:ind w:firstLine="0" w:firstLineChars="0"/>
              <w:rPr>
                <w:rFonts w:hint="eastAsia" w:ascii="仿宋" w:hAnsi="仿宋" w:eastAsia="仿宋" w:cs="仿宋"/>
                <w:sz w:val="24"/>
                <w:szCs w:val="24"/>
                <w:highlight w:val="none"/>
              </w:rPr>
            </w:pPr>
          </w:p>
        </w:tc>
      </w:tr>
    </w:tbl>
    <w:p>
      <w:pPr>
        <w:tabs>
          <w:tab w:val="left" w:pos="9135"/>
        </w:tabs>
        <w:spacing w:line="400" w:lineRule="atLeast"/>
        <w:ind w:firstLine="0" w:firstLineChars="0"/>
        <w:rPr>
          <w:rFonts w:hint="eastAsia" w:ascii="仿宋" w:hAnsi="仿宋" w:eastAsia="仿宋" w:cs="仿宋"/>
          <w:sz w:val="24"/>
          <w:szCs w:val="24"/>
          <w:highlight w:val="none"/>
        </w:rPr>
      </w:pPr>
    </w:p>
    <w:p>
      <w:pPr>
        <w:tabs>
          <w:tab w:val="left" w:pos="9135"/>
        </w:tabs>
        <w:spacing w:line="400" w:lineRule="atLeast"/>
        <w:ind w:firstLine="0" w:firstLineChars="0"/>
        <w:rPr>
          <w:rFonts w:hint="eastAsia" w:ascii="仿宋" w:hAnsi="仿宋" w:eastAsia="仿宋" w:cs="仿宋"/>
          <w:sz w:val="24"/>
          <w:szCs w:val="24"/>
          <w:highlight w:val="none"/>
        </w:rPr>
      </w:pPr>
      <w:r>
        <w:rPr>
          <w:rFonts w:hint="eastAsia" w:ascii="仿宋" w:hAnsi="仿宋" w:eastAsia="仿宋" w:cs="仿宋"/>
          <w:sz w:val="24"/>
          <w:szCs w:val="24"/>
          <w:highlight w:val="none"/>
        </w:rPr>
        <w:t>法人或被授权人签字：</w:t>
      </w:r>
    </w:p>
    <w:p>
      <w:pPr>
        <w:tabs>
          <w:tab w:val="left" w:pos="9135"/>
        </w:tabs>
        <w:spacing w:line="400" w:lineRule="atLeast"/>
        <w:ind w:firstLine="0" w:firstLineChars="0"/>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供应商地址：</w:t>
      </w:r>
    </w:p>
    <w:p>
      <w:pPr>
        <w:pStyle w:val="2"/>
        <w:rPr>
          <w:color w:val="0000FF"/>
        </w:rPr>
      </w:pPr>
      <w:r>
        <w:rPr>
          <w:rFonts w:hint="eastAsia" w:ascii="仿宋" w:hAnsi="仿宋" w:eastAsia="仿宋" w:cs="仿宋"/>
          <w:sz w:val="24"/>
          <w:szCs w:val="24"/>
          <w:highlight w:val="none"/>
          <w:lang w:val="en-US" w:eastAsia="zh-CN"/>
        </w:rPr>
        <w:t>联系方式：</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swiss"/>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EF4FA3BA-6BAB-49BD-93A5-081B430089CD}"/>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简体">
    <w:altName w:val="微软雅黑"/>
    <w:panose1 w:val="00000000000000000000"/>
    <w:charset w:val="86"/>
    <w:family w:val="auto"/>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创艺简仿宋">
    <w:altName w:val="仿宋"/>
    <w:panose1 w:val="00000000000000000000"/>
    <w:charset w:val="86"/>
    <w:family w:val="auto"/>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embedRegular r:id="rId2" w:fontKey="{25DFEECC-7E1A-4667-AE99-E2DAFC584CD7}"/>
  </w:font>
  <w:font w:name="仿宋_GB2312">
    <w:panose1 w:val="02010609030101010101"/>
    <w:charset w:val="86"/>
    <w:family w:val="modern"/>
    <w:pitch w:val="default"/>
    <w:sig w:usb0="00000001" w:usb1="080E0000" w:usb2="00000000" w:usb3="00000000" w:csb0="00040000" w:csb1="00000000"/>
    <w:embedRegular r:id="rId3" w:fontKey="{5DBC23AB-5FA3-4A51-8DAB-8C550AA74BE6}"/>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152C103"/>
    <w:multiLevelType w:val="singleLevel"/>
    <w:tmpl w:val="A152C103"/>
    <w:lvl w:ilvl="0" w:tentative="0">
      <w:start w:val="1"/>
      <w:numFmt w:val="decimalEnclosedCircleChinese"/>
      <w:suff w:val="nothing"/>
      <w:lvlText w:val="%1　"/>
      <w:lvlJc w:val="left"/>
      <w:pPr>
        <w:ind w:left="0" w:firstLine="400"/>
      </w:pPr>
      <w:rPr>
        <w:rFonts w:hint="eastAsia"/>
      </w:rPr>
    </w:lvl>
  </w:abstractNum>
  <w:abstractNum w:abstractNumId="1">
    <w:nsid w:val="A4DFE431"/>
    <w:multiLevelType w:val="singleLevel"/>
    <w:tmpl w:val="A4DFE431"/>
    <w:lvl w:ilvl="0" w:tentative="0">
      <w:start w:val="1"/>
      <w:numFmt w:val="decimalEnclosedCircleChinese"/>
      <w:suff w:val="nothing"/>
      <w:lvlText w:val="%1　"/>
      <w:lvlJc w:val="left"/>
      <w:pPr>
        <w:ind w:firstLine="400"/>
      </w:pPr>
      <w:rPr>
        <w:rFonts w:hint="eastAsia" w:cs="Times New Roman"/>
      </w:rPr>
    </w:lvl>
  </w:abstractNum>
  <w:abstractNum w:abstractNumId="2">
    <w:nsid w:val="CDCB3438"/>
    <w:multiLevelType w:val="singleLevel"/>
    <w:tmpl w:val="CDCB3438"/>
    <w:lvl w:ilvl="0" w:tentative="0">
      <w:start w:val="1"/>
      <w:numFmt w:val="decimalEnclosedCircleChinese"/>
      <w:suff w:val="nothing"/>
      <w:lvlText w:val="%1　"/>
      <w:lvlJc w:val="left"/>
      <w:pPr>
        <w:ind w:left="-560" w:firstLine="400"/>
      </w:pPr>
      <w:rPr>
        <w:rFonts w:hint="eastAsia"/>
      </w:rPr>
    </w:lvl>
  </w:abstractNum>
  <w:abstractNum w:abstractNumId="3">
    <w:nsid w:val="DA0D0C4A"/>
    <w:multiLevelType w:val="singleLevel"/>
    <w:tmpl w:val="DA0D0C4A"/>
    <w:lvl w:ilvl="0" w:tentative="0">
      <w:start w:val="1"/>
      <w:numFmt w:val="decimalEnclosedCircleChinese"/>
      <w:suff w:val="nothing"/>
      <w:lvlText w:val="%1　"/>
      <w:lvlJc w:val="left"/>
      <w:pPr>
        <w:ind w:firstLine="400"/>
      </w:pPr>
      <w:rPr>
        <w:rFonts w:hint="eastAsia" w:cs="Times New Roman"/>
      </w:rPr>
    </w:lvl>
  </w:abstractNum>
  <w:abstractNum w:abstractNumId="4">
    <w:nsid w:val="08F30056"/>
    <w:multiLevelType w:val="multilevel"/>
    <w:tmpl w:val="08F30056"/>
    <w:lvl w:ilvl="0" w:tentative="0">
      <w:start w:val="1"/>
      <w:numFmt w:val="japaneseCounting"/>
      <w:lvlText w:val="%1、"/>
      <w:lvlJc w:val="left"/>
      <w:pPr>
        <w:ind w:left="930" w:hanging="720"/>
      </w:pPr>
      <w:rPr>
        <w:rFonts w:hint="default" w:cstheme="minorBidi"/>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abstractNum w:abstractNumId="5">
    <w:nsid w:val="129148B7"/>
    <w:multiLevelType w:val="singleLevel"/>
    <w:tmpl w:val="129148B7"/>
    <w:lvl w:ilvl="0" w:tentative="0">
      <w:start w:val="1"/>
      <w:numFmt w:val="decimalEnclosedCircleChinese"/>
      <w:suff w:val="nothing"/>
      <w:lvlText w:val="%1　"/>
      <w:lvlJc w:val="left"/>
      <w:pPr>
        <w:ind w:firstLine="400"/>
      </w:pPr>
      <w:rPr>
        <w:rFonts w:hint="eastAsia" w:cs="Times New Roman"/>
      </w:rPr>
    </w:lvl>
  </w:abstractNum>
  <w:abstractNum w:abstractNumId="6">
    <w:nsid w:val="16EB8E3C"/>
    <w:multiLevelType w:val="singleLevel"/>
    <w:tmpl w:val="16EB8E3C"/>
    <w:lvl w:ilvl="0" w:tentative="0">
      <w:start w:val="5"/>
      <w:numFmt w:val="chineseCounting"/>
      <w:suff w:val="nothing"/>
      <w:lvlText w:val="%1、"/>
      <w:lvlJc w:val="left"/>
      <w:rPr>
        <w:rFonts w:hint="eastAsia"/>
      </w:rPr>
    </w:lvl>
  </w:abstractNum>
  <w:abstractNum w:abstractNumId="7">
    <w:nsid w:val="183C604A"/>
    <w:multiLevelType w:val="singleLevel"/>
    <w:tmpl w:val="183C604A"/>
    <w:lvl w:ilvl="0" w:tentative="0">
      <w:start w:val="1"/>
      <w:numFmt w:val="japaneseCounting"/>
      <w:pStyle w:val="14"/>
      <w:lvlText w:val="%1、"/>
      <w:lvlJc w:val="left"/>
      <w:pPr>
        <w:tabs>
          <w:tab w:val="left" w:pos="960"/>
        </w:tabs>
        <w:ind w:left="960" w:hanging="480"/>
      </w:pPr>
      <w:rPr>
        <w:rFonts w:hint="eastAsia"/>
        <w:b/>
      </w:rPr>
    </w:lvl>
  </w:abstractNum>
  <w:abstractNum w:abstractNumId="8">
    <w:nsid w:val="2FE79ED3"/>
    <w:multiLevelType w:val="singleLevel"/>
    <w:tmpl w:val="2FE79ED3"/>
    <w:lvl w:ilvl="0" w:tentative="0">
      <w:start w:val="5"/>
      <w:numFmt w:val="decimal"/>
      <w:lvlText w:val="%1."/>
      <w:lvlJc w:val="left"/>
      <w:pPr>
        <w:tabs>
          <w:tab w:val="left" w:pos="312"/>
        </w:tabs>
      </w:pPr>
    </w:lvl>
  </w:abstractNum>
  <w:abstractNum w:abstractNumId="9">
    <w:nsid w:val="3BBDF306"/>
    <w:multiLevelType w:val="singleLevel"/>
    <w:tmpl w:val="3BBDF306"/>
    <w:lvl w:ilvl="0" w:tentative="0">
      <w:start w:val="1"/>
      <w:numFmt w:val="decimalEnclosedCircleChinese"/>
      <w:suff w:val="nothing"/>
      <w:lvlText w:val="%1　"/>
      <w:lvlJc w:val="left"/>
      <w:pPr>
        <w:ind w:left="0" w:firstLine="400"/>
      </w:pPr>
      <w:rPr>
        <w:rFonts w:hint="eastAsia"/>
      </w:rPr>
    </w:lvl>
  </w:abstractNum>
  <w:abstractNum w:abstractNumId="10">
    <w:nsid w:val="46C6FF7F"/>
    <w:multiLevelType w:val="singleLevel"/>
    <w:tmpl w:val="46C6FF7F"/>
    <w:lvl w:ilvl="0" w:tentative="0">
      <w:start w:val="1"/>
      <w:numFmt w:val="decimalEnclosedCircleChinese"/>
      <w:suff w:val="nothing"/>
      <w:lvlText w:val="%1　"/>
      <w:lvlJc w:val="left"/>
      <w:pPr>
        <w:ind w:left="0" w:firstLine="400"/>
      </w:pPr>
      <w:rPr>
        <w:rFonts w:hint="eastAsia"/>
      </w:rPr>
    </w:lvl>
  </w:abstractNum>
  <w:abstractNum w:abstractNumId="11">
    <w:nsid w:val="498CDA5B"/>
    <w:multiLevelType w:val="singleLevel"/>
    <w:tmpl w:val="498CDA5B"/>
    <w:lvl w:ilvl="0" w:tentative="0">
      <w:start w:val="1"/>
      <w:numFmt w:val="decimalEnclosedCircleChinese"/>
      <w:suff w:val="nothing"/>
      <w:lvlText w:val="%1　"/>
      <w:lvlJc w:val="left"/>
      <w:pPr>
        <w:ind w:firstLine="400"/>
      </w:pPr>
      <w:rPr>
        <w:rFonts w:hint="eastAsia" w:cs="Times New Roman"/>
      </w:rPr>
    </w:lvl>
  </w:abstractNum>
  <w:abstractNum w:abstractNumId="12">
    <w:nsid w:val="52787EA9"/>
    <w:multiLevelType w:val="singleLevel"/>
    <w:tmpl w:val="52787EA9"/>
    <w:lvl w:ilvl="0" w:tentative="0">
      <w:start w:val="6"/>
      <w:numFmt w:val="decimal"/>
      <w:suff w:val="nothing"/>
      <w:lvlText w:val="（%1）"/>
      <w:lvlJc w:val="left"/>
    </w:lvl>
  </w:abstractNum>
  <w:num w:numId="1">
    <w:abstractNumId w:val="7"/>
  </w:num>
  <w:num w:numId="2">
    <w:abstractNumId w:val="4"/>
  </w:num>
  <w:num w:numId="3">
    <w:abstractNumId w:val="8"/>
  </w:num>
  <w:num w:numId="4">
    <w:abstractNumId w:val="10"/>
  </w:num>
  <w:num w:numId="5">
    <w:abstractNumId w:val="9"/>
  </w:num>
  <w:num w:numId="6">
    <w:abstractNumId w:val="1"/>
  </w:num>
  <w:num w:numId="7">
    <w:abstractNumId w:val="0"/>
  </w:num>
  <w:num w:numId="8">
    <w:abstractNumId w:val="11"/>
  </w:num>
  <w:num w:numId="9">
    <w:abstractNumId w:val="12"/>
  </w:num>
  <w:num w:numId="10">
    <w:abstractNumId w:val="2"/>
  </w:num>
  <w:num w:numId="11">
    <w:abstractNumId w:val="3"/>
  </w:num>
  <w:num w:numId="12">
    <w:abstractNumId w:val="5"/>
  </w:num>
  <w:num w:numId="1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RlYzU2OGZjMDZlZjRjZmI2ZDQxOGY0NWRhNDdhMGQifQ=="/>
  </w:docVars>
  <w:rsids>
    <w:rsidRoot w:val="001D0DCF"/>
    <w:rsid w:val="00031E9E"/>
    <w:rsid w:val="000379C8"/>
    <w:rsid w:val="00042D10"/>
    <w:rsid w:val="000500ED"/>
    <w:rsid w:val="00062936"/>
    <w:rsid w:val="00073EA7"/>
    <w:rsid w:val="00073FF0"/>
    <w:rsid w:val="00092899"/>
    <w:rsid w:val="00097E4C"/>
    <w:rsid w:val="000A593B"/>
    <w:rsid w:val="000B1F4B"/>
    <w:rsid w:val="000E4C2D"/>
    <w:rsid w:val="001028AB"/>
    <w:rsid w:val="0010635C"/>
    <w:rsid w:val="00133C19"/>
    <w:rsid w:val="00141DF8"/>
    <w:rsid w:val="00155852"/>
    <w:rsid w:val="00167C50"/>
    <w:rsid w:val="001714BC"/>
    <w:rsid w:val="00171990"/>
    <w:rsid w:val="0017612A"/>
    <w:rsid w:val="001B4C76"/>
    <w:rsid w:val="001D0DCF"/>
    <w:rsid w:val="00200C72"/>
    <w:rsid w:val="00221FD4"/>
    <w:rsid w:val="00226C24"/>
    <w:rsid w:val="002344BD"/>
    <w:rsid w:val="00266ED1"/>
    <w:rsid w:val="00276620"/>
    <w:rsid w:val="002913F0"/>
    <w:rsid w:val="0029332E"/>
    <w:rsid w:val="002B2830"/>
    <w:rsid w:val="002C0BC1"/>
    <w:rsid w:val="002C6A60"/>
    <w:rsid w:val="002E0C22"/>
    <w:rsid w:val="002E56EC"/>
    <w:rsid w:val="002E5A7B"/>
    <w:rsid w:val="002E74FD"/>
    <w:rsid w:val="002F022C"/>
    <w:rsid w:val="002F1120"/>
    <w:rsid w:val="002F6109"/>
    <w:rsid w:val="002F683F"/>
    <w:rsid w:val="00323192"/>
    <w:rsid w:val="00324E2E"/>
    <w:rsid w:val="0032717E"/>
    <w:rsid w:val="003402B0"/>
    <w:rsid w:val="00345BFE"/>
    <w:rsid w:val="00345EB4"/>
    <w:rsid w:val="003460C1"/>
    <w:rsid w:val="00373DF2"/>
    <w:rsid w:val="0038714D"/>
    <w:rsid w:val="0039146B"/>
    <w:rsid w:val="00394AB6"/>
    <w:rsid w:val="00397403"/>
    <w:rsid w:val="003F0DF9"/>
    <w:rsid w:val="0040472C"/>
    <w:rsid w:val="00407B9F"/>
    <w:rsid w:val="00416605"/>
    <w:rsid w:val="00441012"/>
    <w:rsid w:val="00442011"/>
    <w:rsid w:val="00476CAF"/>
    <w:rsid w:val="004A70CD"/>
    <w:rsid w:val="004B2F31"/>
    <w:rsid w:val="004C08B3"/>
    <w:rsid w:val="004C77DA"/>
    <w:rsid w:val="004E327E"/>
    <w:rsid w:val="004E5560"/>
    <w:rsid w:val="004E69A2"/>
    <w:rsid w:val="004F3BD7"/>
    <w:rsid w:val="00500A8E"/>
    <w:rsid w:val="0051111B"/>
    <w:rsid w:val="00511187"/>
    <w:rsid w:val="00521522"/>
    <w:rsid w:val="00524C90"/>
    <w:rsid w:val="00535737"/>
    <w:rsid w:val="00536104"/>
    <w:rsid w:val="0053621E"/>
    <w:rsid w:val="00546214"/>
    <w:rsid w:val="005532CE"/>
    <w:rsid w:val="00561EC6"/>
    <w:rsid w:val="00563AF9"/>
    <w:rsid w:val="005744C3"/>
    <w:rsid w:val="005805E2"/>
    <w:rsid w:val="005D5CC3"/>
    <w:rsid w:val="005F1511"/>
    <w:rsid w:val="00601841"/>
    <w:rsid w:val="00603260"/>
    <w:rsid w:val="0061713F"/>
    <w:rsid w:val="006179A0"/>
    <w:rsid w:val="006302BD"/>
    <w:rsid w:val="0063292C"/>
    <w:rsid w:val="006437DB"/>
    <w:rsid w:val="00646B08"/>
    <w:rsid w:val="00647D79"/>
    <w:rsid w:val="00651D79"/>
    <w:rsid w:val="00653944"/>
    <w:rsid w:val="006540B8"/>
    <w:rsid w:val="00656120"/>
    <w:rsid w:val="006717C1"/>
    <w:rsid w:val="00673FCC"/>
    <w:rsid w:val="006748B4"/>
    <w:rsid w:val="00676CA7"/>
    <w:rsid w:val="00681107"/>
    <w:rsid w:val="006A1A58"/>
    <w:rsid w:val="006A66C3"/>
    <w:rsid w:val="006C00A6"/>
    <w:rsid w:val="006C468F"/>
    <w:rsid w:val="006D2857"/>
    <w:rsid w:val="006E0FAE"/>
    <w:rsid w:val="006F1DAF"/>
    <w:rsid w:val="006F7D1D"/>
    <w:rsid w:val="00703FC7"/>
    <w:rsid w:val="00715808"/>
    <w:rsid w:val="007201A2"/>
    <w:rsid w:val="007245D4"/>
    <w:rsid w:val="00725A13"/>
    <w:rsid w:val="007420FB"/>
    <w:rsid w:val="00744A01"/>
    <w:rsid w:val="0075138F"/>
    <w:rsid w:val="007676FE"/>
    <w:rsid w:val="00767E48"/>
    <w:rsid w:val="007A6EE0"/>
    <w:rsid w:val="007A7A54"/>
    <w:rsid w:val="007C5177"/>
    <w:rsid w:val="007C7303"/>
    <w:rsid w:val="007D1346"/>
    <w:rsid w:val="007F2D1D"/>
    <w:rsid w:val="007F5D74"/>
    <w:rsid w:val="00811B5D"/>
    <w:rsid w:val="00812C4F"/>
    <w:rsid w:val="0081509E"/>
    <w:rsid w:val="008168F3"/>
    <w:rsid w:val="00823A37"/>
    <w:rsid w:val="008247F5"/>
    <w:rsid w:val="0082722F"/>
    <w:rsid w:val="00832AD9"/>
    <w:rsid w:val="008364E1"/>
    <w:rsid w:val="00862DEA"/>
    <w:rsid w:val="00864025"/>
    <w:rsid w:val="00870705"/>
    <w:rsid w:val="00881A2C"/>
    <w:rsid w:val="00887418"/>
    <w:rsid w:val="008A52C1"/>
    <w:rsid w:val="008B05C4"/>
    <w:rsid w:val="008B3278"/>
    <w:rsid w:val="008B674C"/>
    <w:rsid w:val="008B69C8"/>
    <w:rsid w:val="008C3CAF"/>
    <w:rsid w:val="008C3D3D"/>
    <w:rsid w:val="008E51B4"/>
    <w:rsid w:val="008E72B0"/>
    <w:rsid w:val="008F77B7"/>
    <w:rsid w:val="0090512C"/>
    <w:rsid w:val="00912181"/>
    <w:rsid w:val="00913A56"/>
    <w:rsid w:val="00927730"/>
    <w:rsid w:val="0093640D"/>
    <w:rsid w:val="0094435A"/>
    <w:rsid w:val="00945748"/>
    <w:rsid w:val="009579F3"/>
    <w:rsid w:val="009614AB"/>
    <w:rsid w:val="00970355"/>
    <w:rsid w:val="009749E8"/>
    <w:rsid w:val="00997332"/>
    <w:rsid w:val="0099784B"/>
    <w:rsid w:val="009A0C58"/>
    <w:rsid w:val="009A60C1"/>
    <w:rsid w:val="009B1F48"/>
    <w:rsid w:val="009B6166"/>
    <w:rsid w:val="009C36EB"/>
    <w:rsid w:val="009D44DE"/>
    <w:rsid w:val="009D4BD6"/>
    <w:rsid w:val="009D775A"/>
    <w:rsid w:val="009F4A52"/>
    <w:rsid w:val="009F4E87"/>
    <w:rsid w:val="00A043E6"/>
    <w:rsid w:val="00A11623"/>
    <w:rsid w:val="00A165C6"/>
    <w:rsid w:val="00A337D0"/>
    <w:rsid w:val="00A54956"/>
    <w:rsid w:val="00A66943"/>
    <w:rsid w:val="00A677CE"/>
    <w:rsid w:val="00A70065"/>
    <w:rsid w:val="00A874D4"/>
    <w:rsid w:val="00AC1BF4"/>
    <w:rsid w:val="00AD2AC9"/>
    <w:rsid w:val="00AD45D6"/>
    <w:rsid w:val="00AD5DD8"/>
    <w:rsid w:val="00AD7432"/>
    <w:rsid w:val="00AF2C82"/>
    <w:rsid w:val="00AF537A"/>
    <w:rsid w:val="00B1654F"/>
    <w:rsid w:val="00B51390"/>
    <w:rsid w:val="00B52AEA"/>
    <w:rsid w:val="00B557C9"/>
    <w:rsid w:val="00B57A65"/>
    <w:rsid w:val="00B825AB"/>
    <w:rsid w:val="00B87070"/>
    <w:rsid w:val="00B90788"/>
    <w:rsid w:val="00B93709"/>
    <w:rsid w:val="00B93F21"/>
    <w:rsid w:val="00BA7693"/>
    <w:rsid w:val="00BB1B12"/>
    <w:rsid w:val="00BD1CCE"/>
    <w:rsid w:val="00C1431D"/>
    <w:rsid w:val="00C44205"/>
    <w:rsid w:val="00C55294"/>
    <w:rsid w:val="00C56A39"/>
    <w:rsid w:val="00C63E39"/>
    <w:rsid w:val="00C97656"/>
    <w:rsid w:val="00CA0F8A"/>
    <w:rsid w:val="00CC72AC"/>
    <w:rsid w:val="00CD21AF"/>
    <w:rsid w:val="00CE63E5"/>
    <w:rsid w:val="00CF1A7C"/>
    <w:rsid w:val="00CF364F"/>
    <w:rsid w:val="00CF3E94"/>
    <w:rsid w:val="00D2166D"/>
    <w:rsid w:val="00D26FF3"/>
    <w:rsid w:val="00D32454"/>
    <w:rsid w:val="00D40FFC"/>
    <w:rsid w:val="00D422B0"/>
    <w:rsid w:val="00D559B4"/>
    <w:rsid w:val="00D6074E"/>
    <w:rsid w:val="00D63480"/>
    <w:rsid w:val="00D70AB8"/>
    <w:rsid w:val="00DA1254"/>
    <w:rsid w:val="00DA75B2"/>
    <w:rsid w:val="00DB0F0C"/>
    <w:rsid w:val="00DB30DE"/>
    <w:rsid w:val="00DB7894"/>
    <w:rsid w:val="00DC7797"/>
    <w:rsid w:val="00DE1A37"/>
    <w:rsid w:val="00DE280C"/>
    <w:rsid w:val="00DF19CD"/>
    <w:rsid w:val="00DF5237"/>
    <w:rsid w:val="00E07346"/>
    <w:rsid w:val="00E214CC"/>
    <w:rsid w:val="00E44FDD"/>
    <w:rsid w:val="00E4634F"/>
    <w:rsid w:val="00E51AB0"/>
    <w:rsid w:val="00E62687"/>
    <w:rsid w:val="00E737C6"/>
    <w:rsid w:val="00E86676"/>
    <w:rsid w:val="00E90A07"/>
    <w:rsid w:val="00EA01D8"/>
    <w:rsid w:val="00EA0990"/>
    <w:rsid w:val="00EB2F88"/>
    <w:rsid w:val="00EE3A5E"/>
    <w:rsid w:val="00EF65D2"/>
    <w:rsid w:val="00F07E40"/>
    <w:rsid w:val="00F20405"/>
    <w:rsid w:val="00F20948"/>
    <w:rsid w:val="00F33E3A"/>
    <w:rsid w:val="00F44647"/>
    <w:rsid w:val="00F53C5A"/>
    <w:rsid w:val="00F5672E"/>
    <w:rsid w:val="00F71C2A"/>
    <w:rsid w:val="00F77C3C"/>
    <w:rsid w:val="00F82A6F"/>
    <w:rsid w:val="00F83FC7"/>
    <w:rsid w:val="00F96108"/>
    <w:rsid w:val="00FA509A"/>
    <w:rsid w:val="00FC12D4"/>
    <w:rsid w:val="00FC1DAA"/>
    <w:rsid w:val="00FC5BF3"/>
    <w:rsid w:val="00FD2D7A"/>
    <w:rsid w:val="00FD4CF6"/>
    <w:rsid w:val="00FF2321"/>
    <w:rsid w:val="00FF2D7F"/>
    <w:rsid w:val="01A05DA1"/>
    <w:rsid w:val="03AF71C4"/>
    <w:rsid w:val="04EB7F10"/>
    <w:rsid w:val="06295E60"/>
    <w:rsid w:val="0851138F"/>
    <w:rsid w:val="08695CAD"/>
    <w:rsid w:val="087D07DF"/>
    <w:rsid w:val="088044F2"/>
    <w:rsid w:val="099973C3"/>
    <w:rsid w:val="0AD45A5E"/>
    <w:rsid w:val="0B9E0AA9"/>
    <w:rsid w:val="0C55403E"/>
    <w:rsid w:val="0CA67593"/>
    <w:rsid w:val="0D9B1D0A"/>
    <w:rsid w:val="0DA73FE3"/>
    <w:rsid w:val="0E3A2B2E"/>
    <w:rsid w:val="0E404249"/>
    <w:rsid w:val="1062102C"/>
    <w:rsid w:val="10AE3984"/>
    <w:rsid w:val="11526BDC"/>
    <w:rsid w:val="127A6D92"/>
    <w:rsid w:val="14453603"/>
    <w:rsid w:val="14583AE4"/>
    <w:rsid w:val="1502144E"/>
    <w:rsid w:val="15E55759"/>
    <w:rsid w:val="16374257"/>
    <w:rsid w:val="174565BC"/>
    <w:rsid w:val="196A44A9"/>
    <w:rsid w:val="1ABC77FA"/>
    <w:rsid w:val="1AFE2BC4"/>
    <w:rsid w:val="1B2A4FE7"/>
    <w:rsid w:val="1B6F751E"/>
    <w:rsid w:val="1BB70932"/>
    <w:rsid w:val="1D4F0F8B"/>
    <w:rsid w:val="1D71492F"/>
    <w:rsid w:val="1E616182"/>
    <w:rsid w:val="1EF434CD"/>
    <w:rsid w:val="1FB1091C"/>
    <w:rsid w:val="20207702"/>
    <w:rsid w:val="2093219E"/>
    <w:rsid w:val="20C3006C"/>
    <w:rsid w:val="234F4787"/>
    <w:rsid w:val="23EC6D1A"/>
    <w:rsid w:val="2421332F"/>
    <w:rsid w:val="24E671A1"/>
    <w:rsid w:val="24F32103"/>
    <w:rsid w:val="25A62AD6"/>
    <w:rsid w:val="25F85EA2"/>
    <w:rsid w:val="27147FA0"/>
    <w:rsid w:val="274B77C2"/>
    <w:rsid w:val="282622D7"/>
    <w:rsid w:val="28C101B8"/>
    <w:rsid w:val="2A26592D"/>
    <w:rsid w:val="2A3C5B75"/>
    <w:rsid w:val="2A7279D9"/>
    <w:rsid w:val="2A9C030F"/>
    <w:rsid w:val="2BB16FE1"/>
    <w:rsid w:val="2D9216AA"/>
    <w:rsid w:val="2EAF076A"/>
    <w:rsid w:val="2F3864D1"/>
    <w:rsid w:val="2F494AA2"/>
    <w:rsid w:val="2FCB3718"/>
    <w:rsid w:val="2FCF1334"/>
    <w:rsid w:val="30E60B7E"/>
    <w:rsid w:val="313B6099"/>
    <w:rsid w:val="31994DFB"/>
    <w:rsid w:val="319B7E2A"/>
    <w:rsid w:val="32DE7896"/>
    <w:rsid w:val="33B44397"/>
    <w:rsid w:val="340905EC"/>
    <w:rsid w:val="3439694D"/>
    <w:rsid w:val="344D3D88"/>
    <w:rsid w:val="346647E6"/>
    <w:rsid w:val="347B6451"/>
    <w:rsid w:val="348D2F00"/>
    <w:rsid w:val="359C2489"/>
    <w:rsid w:val="363F271F"/>
    <w:rsid w:val="36CB7136"/>
    <w:rsid w:val="3733497B"/>
    <w:rsid w:val="38F66FAA"/>
    <w:rsid w:val="38FB6050"/>
    <w:rsid w:val="39103FA1"/>
    <w:rsid w:val="3A11518F"/>
    <w:rsid w:val="3AC55994"/>
    <w:rsid w:val="3AD67737"/>
    <w:rsid w:val="3B305776"/>
    <w:rsid w:val="3B8F7CE1"/>
    <w:rsid w:val="3BCB419D"/>
    <w:rsid w:val="3BCE4D0E"/>
    <w:rsid w:val="3C1E12EB"/>
    <w:rsid w:val="3D98790D"/>
    <w:rsid w:val="3E150D6A"/>
    <w:rsid w:val="3EE447D0"/>
    <w:rsid w:val="3EE93ADD"/>
    <w:rsid w:val="3EF70077"/>
    <w:rsid w:val="3FD83365"/>
    <w:rsid w:val="40E8411A"/>
    <w:rsid w:val="4228596A"/>
    <w:rsid w:val="44D770EF"/>
    <w:rsid w:val="45D142B0"/>
    <w:rsid w:val="4699273D"/>
    <w:rsid w:val="472125D9"/>
    <w:rsid w:val="474B6584"/>
    <w:rsid w:val="48E23ED4"/>
    <w:rsid w:val="4A064396"/>
    <w:rsid w:val="4A667CBA"/>
    <w:rsid w:val="4A6E0E3C"/>
    <w:rsid w:val="4C2F0E42"/>
    <w:rsid w:val="4C3023F2"/>
    <w:rsid w:val="4C642D14"/>
    <w:rsid w:val="4F73787F"/>
    <w:rsid w:val="4FB14FBD"/>
    <w:rsid w:val="50BC6465"/>
    <w:rsid w:val="512D4DA2"/>
    <w:rsid w:val="5138519F"/>
    <w:rsid w:val="515D338D"/>
    <w:rsid w:val="525F706E"/>
    <w:rsid w:val="52AE1362"/>
    <w:rsid w:val="53B27538"/>
    <w:rsid w:val="54087542"/>
    <w:rsid w:val="54405BC4"/>
    <w:rsid w:val="5467309D"/>
    <w:rsid w:val="55231762"/>
    <w:rsid w:val="55322365"/>
    <w:rsid w:val="553647FD"/>
    <w:rsid w:val="5545425F"/>
    <w:rsid w:val="555E703C"/>
    <w:rsid w:val="557C66AC"/>
    <w:rsid w:val="56D73D29"/>
    <w:rsid w:val="575D5740"/>
    <w:rsid w:val="57BC1A92"/>
    <w:rsid w:val="596010F1"/>
    <w:rsid w:val="59BA2FBA"/>
    <w:rsid w:val="5A8336EB"/>
    <w:rsid w:val="5AAA0DAC"/>
    <w:rsid w:val="5B2E5D90"/>
    <w:rsid w:val="5B665A44"/>
    <w:rsid w:val="5B7336DB"/>
    <w:rsid w:val="5B9E03D7"/>
    <w:rsid w:val="5BEB066F"/>
    <w:rsid w:val="5C567DE8"/>
    <w:rsid w:val="5CC5310B"/>
    <w:rsid w:val="5DAC755B"/>
    <w:rsid w:val="5E5A2242"/>
    <w:rsid w:val="5ECA17B2"/>
    <w:rsid w:val="5F1A251A"/>
    <w:rsid w:val="600F4E86"/>
    <w:rsid w:val="61282985"/>
    <w:rsid w:val="619160C0"/>
    <w:rsid w:val="61A80B33"/>
    <w:rsid w:val="61FB5758"/>
    <w:rsid w:val="623421B0"/>
    <w:rsid w:val="6273711B"/>
    <w:rsid w:val="649DDA6A"/>
    <w:rsid w:val="64D1076F"/>
    <w:rsid w:val="65024291"/>
    <w:rsid w:val="6606018B"/>
    <w:rsid w:val="6772735D"/>
    <w:rsid w:val="679945FD"/>
    <w:rsid w:val="6A212D55"/>
    <w:rsid w:val="6A387D2B"/>
    <w:rsid w:val="6A5D7D00"/>
    <w:rsid w:val="6A896E47"/>
    <w:rsid w:val="6D53232F"/>
    <w:rsid w:val="6D867A23"/>
    <w:rsid w:val="6FBC771B"/>
    <w:rsid w:val="70A31094"/>
    <w:rsid w:val="711D62E0"/>
    <w:rsid w:val="72295C02"/>
    <w:rsid w:val="7323380C"/>
    <w:rsid w:val="7334788E"/>
    <w:rsid w:val="744B2C85"/>
    <w:rsid w:val="74C04C79"/>
    <w:rsid w:val="759A4A74"/>
    <w:rsid w:val="77E61AB9"/>
    <w:rsid w:val="780D575C"/>
    <w:rsid w:val="786B3B7D"/>
    <w:rsid w:val="797827A3"/>
    <w:rsid w:val="7A1E1F92"/>
    <w:rsid w:val="7B1C0279"/>
    <w:rsid w:val="7B7F71B4"/>
    <w:rsid w:val="7C132DE7"/>
    <w:rsid w:val="7D7A7EAD"/>
    <w:rsid w:val="7D8A211E"/>
    <w:rsid w:val="7DB01818"/>
    <w:rsid w:val="7E2F7A3A"/>
    <w:rsid w:val="9FF70FA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99" w:semiHidden="0"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11">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1"/>
    <w:qFormat/>
    <w:uiPriority w:val="0"/>
    <w:rPr>
      <w:rFonts w:ascii="Arial" w:hAnsi="Arial"/>
      <w:sz w:val="24"/>
    </w:rPr>
  </w:style>
  <w:style w:type="paragraph" w:styleId="3">
    <w:name w:val="Body Text Indent"/>
    <w:basedOn w:val="2"/>
    <w:next w:val="1"/>
    <w:link w:val="18"/>
    <w:qFormat/>
    <w:uiPriority w:val="0"/>
    <w:pPr>
      <w:spacing w:line="520" w:lineRule="exact"/>
      <w:ind w:left="570"/>
    </w:pPr>
    <w:rPr>
      <w:rFonts w:ascii="方正仿宋简体" w:hAnsi="创艺简仿宋" w:eastAsia="方正仿宋简体" w:cs="Times New Roman"/>
      <w:sz w:val="24"/>
      <w:szCs w:val="20"/>
    </w:rPr>
  </w:style>
  <w:style w:type="paragraph" w:styleId="4">
    <w:name w:val="Balloon Text"/>
    <w:basedOn w:val="1"/>
    <w:link w:val="17"/>
    <w:semiHidden/>
    <w:unhideWhenUsed/>
    <w:qFormat/>
    <w:uiPriority w:val="99"/>
    <w:rPr>
      <w:sz w:val="18"/>
      <w:szCs w:val="18"/>
    </w:rPr>
  </w:style>
  <w:style w:type="paragraph" w:styleId="5">
    <w:name w:val="footer"/>
    <w:basedOn w:val="1"/>
    <w:link w:val="22"/>
    <w:semiHidden/>
    <w:unhideWhenUsed/>
    <w:qFormat/>
    <w:uiPriority w:val="99"/>
    <w:pPr>
      <w:tabs>
        <w:tab w:val="center" w:pos="4153"/>
        <w:tab w:val="right" w:pos="8306"/>
      </w:tabs>
      <w:snapToGrid w:val="0"/>
      <w:jc w:val="left"/>
    </w:pPr>
    <w:rPr>
      <w:sz w:val="18"/>
      <w:szCs w:val="18"/>
    </w:rPr>
  </w:style>
  <w:style w:type="paragraph" w:styleId="6">
    <w:name w:val="header"/>
    <w:basedOn w:val="1"/>
    <w:link w:val="21"/>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7">
    <w:name w:val="HTML Preformatted"/>
    <w:basedOn w:val="1"/>
    <w:link w:val="15"/>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eastAsia="宋体" w:cs="宋体"/>
      <w:kern w:val="0"/>
      <w:sz w:val="24"/>
      <w:szCs w:val="24"/>
    </w:rPr>
  </w:style>
  <w:style w:type="paragraph" w:styleId="8">
    <w:name w:val="Body Text First Indent 2"/>
    <w:basedOn w:val="3"/>
    <w:next w:val="1"/>
    <w:qFormat/>
    <w:uiPriority w:val="0"/>
    <w:pPr>
      <w:ind w:firstLine="420" w:firstLineChars="200"/>
    </w:pPr>
    <w:rPr>
      <w:rFonts w:ascii="宋体" w:hAnsi="宋体" w:eastAsia="宋体"/>
      <w:sz w:val="28"/>
      <w:szCs w:val="28"/>
    </w:rPr>
  </w:style>
  <w:style w:type="table" w:styleId="10">
    <w:name w:val="Table Grid"/>
    <w:basedOn w:val="9"/>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paragraph" w:customStyle="1" w:styleId="12">
    <w:name w:val="Default"/>
    <w:next w:val="13"/>
    <w:qFormat/>
    <w:uiPriority w:val="0"/>
    <w:pPr>
      <w:widowControl w:val="0"/>
      <w:autoSpaceDE w:val="0"/>
      <w:autoSpaceDN w:val="0"/>
      <w:adjustRightInd w:val="0"/>
    </w:pPr>
    <w:rPr>
      <w:rFonts w:ascii="仿宋_GB2312" w:hAnsi="Calibri" w:eastAsia="仿宋_GB2312" w:cs="仿宋_GB2312"/>
      <w:color w:val="000000"/>
      <w:sz w:val="24"/>
      <w:szCs w:val="24"/>
      <w:lang w:val="en-US" w:eastAsia="zh-CN" w:bidi="ar-SA"/>
    </w:rPr>
  </w:style>
  <w:style w:type="paragraph" w:customStyle="1" w:styleId="13">
    <w:name w:val="大标题"/>
    <w:basedOn w:val="1"/>
    <w:next w:val="8"/>
    <w:qFormat/>
    <w:uiPriority w:val="0"/>
    <w:pPr>
      <w:jc w:val="center"/>
    </w:pPr>
    <w:rPr>
      <w:rFonts w:ascii="Arial" w:hAnsi="Arial" w:eastAsia="宋体"/>
      <w:b/>
      <w:sz w:val="28"/>
    </w:rPr>
  </w:style>
  <w:style w:type="paragraph" w:customStyle="1" w:styleId="14">
    <w:name w:val="Item List in Table"/>
    <w:basedOn w:val="1"/>
    <w:qFormat/>
    <w:uiPriority w:val="0"/>
    <w:pPr>
      <w:numPr>
        <w:ilvl w:val="0"/>
        <w:numId w:val="1"/>
      </w:numPr>
      <w:tabs>
        <w:tab w:val="left" w:pos="420"/>
        <w:tab w:val="clear" w:pos="960"/>
      </w:tabs>
      <w:jc w:val="left"/>
    </w:pPr>
    <w:rPr>
      <w:rFonts w:ascii="Times New Roman" w:hAnsi="Times New Roman" w:eastAsia="宋体" w:cs="Times New Roman"/>
      <w:szCs w:val="24"/>
    </w:rPr>
  </w:style>
  <w:style w:type="character" w:customStyle="1" w:styleId="15">
    <w:name w:val="HTML 预设格式 Char"/>
    <w:basedOn w:val="11"/>
    <w:link w:val="7"/>
    <w:qFormat/>
    <w:uiPriority w:val="99"/>
    <w:rPr>
      <w:rFonts w:ascii="宋体" w:hAnsi="宋体" w:eastAsia="宋体" w:cs="宋体"/>
      <w:kern w:val="0"/>
      <w:sz w:val="24"/>
      <w:szCs w:val="24"/>
    </w:rPr>
  </w:style>
  <w:style w:type="paragraph" w:styleId="16">
    <w:name w:val="List Paragraph"/>
    <w:basedOn w:val="1"/>
    <w:qFormat/>
    <w:uiPriority w:val="34"/>
    <w:pPr>
      <w:ind w:firstLine="420" w:firstLineChars="200"/>
    </w:pPr>
  </w:style>
  <w:style w:type="character" w:customStyle="1" w:styleId="17">
    <w:name w:val="批注框文本 Char"/>
    <w:basedOn w:val="11"/>
    <w:link w:val="4"/>
    <w:semiHidden/>
    <w:qFormat/>
    <w:uiPriority w:val="99"/>
    <w:rPr>
      <w:sz w:val="18"/>
      <w:szCs w:val="18"/>
    </w:rPr>
  </w:style>
  <w:style w:type="character" w:customStyle="1" w:styleId="18">
    <w:name w:val="正文文本缩进 Char"/>
    <w:basedOn w:val="11"/>
    <w:link w:val="3"/>
    <w:qFormat/>
    <w:uiPriority w:val="0"/>
    <w:rPr>
      <w:rFonts w:ascii="方正仿宋简体" w:hAnsi="创艺简仿宋" w:eastAsia="方正仿宋简体" w:cs="Times New Roman"/>
      <w:sz w:val="24"/>
      <w:szCs w:val="20"/>
    </w:rPr>
  </w:style>
  <w:style w:type="paragraph" w:customStyle="1" w:styleId="19">
    <w:name w:val="采购二级"/>
    <w:basedOn w:val="1"/>
    <w:link w:val="20"/>
    <w:qFormat/>
    <w:uiPriority w:val="0"/>
    <w:pPr>
      <w:snapToGrid w:val="0"/>
      <w:spacing w:line="560" w:lineRule="exact"/>
      <w:ind w:firstLine="480" w:firstLineChars="200"/>
      <w:outlineLvl w:val="1"/>
    </w:pPr>
    <w:rPr>
      <w:rFonts w:ascii="仿宋" w:hAnsi="仿宋" w:eastAsia="仿宋" w:cs="Times New Roman"/>
      <w:b/>
      <w:sz w:val="24"/>
      <w:szCs w:val="24"/>
    </w:rPr>
  </w:style>
  <w:style w:type="character" w:customStyle="1" w:styleId="20">
    <w:name w:val="采购二级 Char"/>
    <w:basedOn w:val="11"/>
    <w:link w:val="19"/>
    <w:qFormat/>
    <w:uiPriority w:val="0"/>
    <w:rPr>
      <w:rFonts w:ascii="仿宋" w:hAnsi="仿宋" w:eastAsia="仿宋" w:cs="Times New Roman"/>
      <w:b/>
      <w:sz w:val="24"/>
      <w:szCs w:val="24"/>
    </w:rPr>
  </w:style>
  <w:style w:type="character" w:customStyle="1" w:styleId="21">
    <w:name w:val="页眉 Char"/>
    <w:basedOn w:val="11"/>
    <w:link w:val="6"/>
    <w:semiHidden/>
    <w:qFormat/>
    <w:uiPriority w:val="99"/>
    <w:rPr>
      <w:sz w:val="18"/>
      <w:szCs w:val="18"/>
    </w:rPr>
  </w:style>
  <w:style w:type="character" w:customStyle="1" w:styleId="22">
    <w:name w:val="页脚 Char"/>
    <w:basedOn w:val="11"/>
    <w:link w:val="5"/>
    <w:semiHidden/>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微软中国</Company>
  <Pages>9</Pages>
  <Words>4266</Words>
  <Characters>4552</Characters>
  <Lines>29</Lines>
  <Paragraphs>8</Paragraphs>
  <TotalTime>32</TotalTime>
  <ScaleCrop>false</ScaleCrop>
  <LinksUpToDate>false</LinksUpToDate>
  <CharactersWithSpaces>4567</CharactersWithSpaces>
  <Application>WPS Office_11.8.2.10972_F1E327BC-269C-435d-A152-05C5408002CA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2018-05-28T12:43:00Z</dcterms:created>
  <dc:creator>微软中国</dc:creator>
  <cp:lastModifiedBy>lenovo</cp:lastModifiedBy>
  <dcterms:modified xsi:type="dcterms:W3CDTF">2025-03-22T08:52:54Z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2052-11.8.2.10972</vt:lpwstr>
  </property>
  <property fmtid="{D5CDD505-2E9C-101B-9397-08002B2CF9AE}" pid="3" name="ICV">
    <vt:lpwstr>2475252D2F5147F0B1B390D6157BC627_13</vt:lpwstr>
  </property>
  <property fmtid="{D5CDD505-2E9C-101B-9397-08002B2CF9AE}" pid="4" name="KSOTemplateDocerSaveRecord">
    <vt:lpwstr>eyJoZGlkIjoiYTc1NDBhNzVmNzYwN2Q5Y2VhZWYzNzQ5OWI1NmMxNjgiLCJ1c2VySWQiOiIyOTQ2NDEwNDIifQ==</vt:lpwstr>
  </property>
</Properties>
</file>