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竞价文件要求</w:t>
      </w:r>
      <w:bookmarkEnd w:id="0"/>
    </w:p>
    <w:bookmarkEnd w:id="1"/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一、有效竞价标准：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上传竞价响应文件（纸质材料扫描后在附件 中上传），包括：资质证书、营业执照、拟任人员资 质证书。 </w:t>
      </w:r>
    </w:p>
    <w:p>
      <w:pPr>
        <w:numPr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2.报价不得超过采购控制总价，否则报价无效。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二、投标人资格要求：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投标人必须是符合《中华人民共和国政府采 购法》第二十二条的合格供应商。 </w:t>
      </w:r>
    </w:p>
    <w:p>
      <w:pPr>
        <w:numPr>
          <w:ilvl w:val="1"/>
          <w:numId w:val="2"/>
        </w:numPr>
        <w:spacing w:line="360" w:lineRule="auto"/>
        <w:ind w:left="479" w:leftChars="228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具有承担民事责任能力、为中国境内合法 成立的法人单位或其他组织。 1.2 具有良好的商业信誉和健全的财务会计制度。</w:t>
      </w:r>
    </w:p>
    <w:p>
      <w:pPr>
        <w:numPr>
          <w:numId w:val="0"/>
        </w:numPr>
        <w:spacing w:line="360" w:lineRule="auto"/>
        <w:ind w:leftChars="22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</w:t>
      </w:r>
      <w:r>
        <w:rPr>
          <w:rFonts w:ascii="宋体" w:hAnsi="宋体" w:eastAsia="宋体" w:cs="宋体"/>
          <w:sz w:val="24"/>
          <w:szCs w:val="24"/>
        </w:rPr>
        <w:t>具有履行合同所必需的设备和专业技术能力。</w:t>
      </w:r>
    </w:p>
    <w:p>
      <w:pPr>
        <w:numPr>
          <w:numId w:val="0"/>
        </w:numPr>
        <w:spacing w:line="360" w:lineRule="auto"/>
        <w:ind w:leftChars="2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1.4 有依法缴纳税收和社会保障资金的良好记录。</w:t>
      </w:r>
    </w:p>
    <w:p>
      <w:pPr>
        <w:numPr>
          <w:numId w:val="0"/>
        </w:numPr>
        <w:spacing w:line="360" w:lineRule="auto"/>
        <w:ind w:leftChars="2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1.5 参加政府采购活动前三年内，在经营活动中没有重大违法记录。 </w:t>
      </w:r>
    </w:p>
    <w:p>
      <w:pPr>
        <w:numPr>
          <w:numId w:val="0"/>
        </w:numPr>
        <w:spacing w:line="360" w:lineRule="auto"/>
        <w:ind w:leftChars="2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1.6 法律、行政法规规定的其他条件。 </w:t>
      </w:r>
    </w:p>
    <w:p>
      <w:pPr>
        <w:numPr>
          <w:numId w:val="0"/>
        </w:numPr>
        <w:spacing w:line="360" w:lineRule="auto"/>
        <w:ind w:leftChars="22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ascii="宋体" w:hAnsi="宋体" w:eastAsia="宋体" w:cs="宋体"/>
          <w:sz w:val="24"/>
          <w:szCs w:val="24"/>
        </w:rPr>
        <w:t xml:space="preserve">其他资料要求 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具备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房屋建筑</w:t>
      </w:r>
      <w:r>
        <w:rPr>
          <w:rFonts w:ascii="宋体" w:hAnsi="宋体" w:eastAsia="宋体" w:cs="宋体"/>
          <w:sz w:val="24"/>
          <w:szCs w:val="24"/>
        </w:rPr>
        <w:t>工程监理乙级及以上资质。</w:t>
      </w:r>
    </w:p>
    <w:p>
      <w:pPr>
        <w:numPr>
          <w:numId w:val="0"/>
        </w:numPr>
        <w:spacing w:line="360" w:lineRule="auto"/>
        <w:ind w:leftChars="228"/>
      </w:pPr>
      <w:r>
        <w:rPr>
          <w:rFonts w:ascii="宋体" w:hAnsi="宋体" w:eastAsia="宋体" w:cs="宋体"/>
          <w:sz w:val="24"/>
          <w:szCs w:val="24"/>
        </w:rPr>
        <w:t>拟派总监理工程师需具有房屋建筑领域注册监理工程师证书；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EE2BB"/>
    <w:multiLevelType w:val="multilevel"/>
    <w:tmpl w:val="95BEE2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F7A3C318"/>
    <w:multiLevelType w:val="singleLevel"/>
    <w:tmpl w:val="F7A3C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3A19"/>
    <w:rsid w:val="0943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2024-09-05T11:29:00Z</dcterms:created>
  <dc:creator>98107</dc:creator>
  <cp:lastModifiedBy>98107</cp:lastModifiedBy>
  <dcterms:modified xsi:type="dcterms:W3CDTF">2024-09-05T11:33:23Z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83E3B7724FF547688D993FF994BBF5B1</vt:lpwstr>
  </property>
</Properties>
</file>