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03B87F">
      <w:pPr>
        <w:jc w:val="center"/>
        <w:rPr>
          <w:rFonts w:hint="eastAsia" w:asciiTheme="minorEastAsia" w:hAnsiTheme="minorEastAsia" w:cstheme="minorEastAsia"/>
          <w:b/>
          <w:bCs/>
          <w:sz w:val="28"/>
          <w:szCs w:val="28"/>
          <w:highlight w:val="none"/>
        </w:rPr>
      </w:pPr>
      <w:bookmarkStart w:id="0" w:name="OLE_LINK7"/>
      <w:r>
        <w:rPr>
          <w:rFonts w:hint="eastAsia" w:asciiTheme="minorEastAsia" w:hAnsiTheme="minorEastAsia" w:cstheme="minorEastAsia"/>
          <w:b/>
          <w:bCs/>
          <w:sz w:val="28"/>
          <w:szCs w:val="28"/>
          <w:highlight w:val="none"/>
          <w:u w:val="single"/>
          <w:lang w:val="en-US" w:eastAsia="zh-CN"/>
        </w:rPr>
        <w:t xml:space="preserve">中心幼儿园LED电子大屏  </w:t>
      </w:r>
      <w:r>
        <w:rPr>
          <w:rFonts w:hint="eastAsia" w:asciiTheme="minorEastAsia" w:hAnsiTheme="minorEastAsia" w:cstheme="minorEastAsia"/>
          <w:b/>
          <w:bCs/>
          <w:sz w:val="28"/>
          <w:szCs w:val="28"/>
          <w:highlight w:val="none"/>
        </w:rPr>
        <w:t>项目供应商要求</w:t>
      </w:r>
    </w:p>
    <w:p w14:paraId="661D7615">
      <w:pPr>
        <w:numPr>
          <w:ilvl w:val="0"/>
          <w:numId w:val="0"/>
        </w:numPr>
        <w:rPr>
          <w:rFonts w:hint="eastAsia" w:asciiTheme="minorEastAsia" w:hAnsiTheme="minorEastAsia" w:cstheme="minorEastAsia"/>
          <w:sz w:val="24"/>
          <w:highlight w:val="none"/>
          <w:lang w:val="en-US" w:eastAsia="zh-CN"/>
        </w:rPr>
      </w:pPr>
    </w:p>
    <w:p w14:paraId="3A0F58A3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kern w:val="2"/>
          <w:sz w:val="24"/>
          <w:szCs w:val="24"/>
          <w:lang w:val="en-US" w:eastAsia="zh-CN" w:bidi="ar-SA"/>
        </w:rPr>
      </w:pPr>
      <w:bookmarkStart w:id="1" w:name="OLE_LINK2"/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符合《中华人民共和国政府采购法》第二十二条的规定。</w:t>
      </w:r>
    </w:p>
    <w:p w14:paraId="746BB77C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供应商上传营业执照，不得转包售后服务，售后服务做到即时响应，1小时内到达现场，</w:t>
      </w:r>
      <w:r>
        <w:rPr>
          <w:rFonts w:hint="eastAsia" w:ascii="宋体" w:hAnsi="宋体" w:eastAsia="宋体" w:cs="宋体"/>
          <w:sz w:val="24"/>
          <w:szCs w:val="24"/>
          <w:highlight w:val="none"/>
          <w:lang w:val="zh-CN" w:eastAsia="zh-CN"/>
        </w:rPr>
        <w:t>提供7*24小时的响应服务售后人员需保持电话畅通。排除设备故障的速度:一般故障(不用更换材料)2小时内排除；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若不能在8小时内解决，须提供同等性能、同等配置的产品替换。</w:t>
      </w:r>
    </w:p>
    <w:p w14:paraId="7BBB9B6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参与本次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采购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的供应商（公司）须提供售后服务与承诺(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售后服务的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范围、标准及期限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、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保修期后维护费用及方式等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且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产品质量保修期不得低于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highlight w:val="none"/>
          <w:u w:val="single"/>
          <w:lang w:val="en-US" w:eastAsia="zh-CN"/>
        </w:rPr>
        <w:t xml:space="preserve"> 3  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 xml:space="preserve"> 年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)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。</w:t>
      </w:r>
    </w:p>
    <w:p w14:paraId="4406ADB3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参与本次采购的供应商，需与校方负责人联系并到校实地勘察施工部位，实际了解采购需求及相关要求，如未了解清楚出现需求不满足情况，询价方可做废标处理，报价时需上传校方开具的踏勘证明。</w:t>
      </w:r>
    </w:p>
    <w:p w14:paraId="142A69C5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在与招标人充分沟通后避开教学时间施工，验收完毕并交用户使用，如供货延误，由供货方负全责。</w:t>
      </w:r>
    </w:p>
    <w:p w14:paraId="2771342D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如所提供产品不是投标品牌、型号、二手翻新产品、</w:t>
      </w:r>
      <w:bookmarkStart w:id="2" w:name="_GoBack"/>
      <w:bookmarkEnd w:id="2"/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或假冒伪劣产品，按照相关法律法规条款追究其法律责任，供应商须严格按照招标方要求报价，如未看清参数盲目报价，中标后无法满足我单位采购要求的、无法按时按量完成的、产品以次充好的、中标后无故放弃的、存在不按合同约定履行等违约行为的，我单位将报政采云平台和政府采购管理部门处理并有权拒收。</w:t>
      </w:r>
    </w:p>
    <w:p w14:paraId="442F6A56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为避免低价低质恶性竞争，须实事求是报价，如有违反市场价格规律超低价恶意谋取中标后，又不能按招标人要求提供合格服务，一律按无效标处理。</w:t>
      </w:r>
    </w:p>
    <w:p w14:paraId="4D15B546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参与本次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采购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的供应商（公司）须提供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所参与报价的商品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生产厂商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的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授权书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及售后承诺书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。</w:t>
      </w:r>
    </w:p>
    <w:p w14:paraId="29791AA6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供应商报价应包含运费、人工费、拆除费、安装费、售后服务费、调试费、培训费、税费等所有费用。</w:t>
      </w:r>
    </w:p>
    <w:p w14:paraId="00C4E3A9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大屏安装后墙两侧需做背景墙。为有效开展相关活动电子大屏需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配套辅助工作主副输入设备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3台、2个输出设备（挂墙上）带调音台、2个移动输出设备。</w:t>
      </w:r>
    </w:p>
    <w:p w14:paraId="21113B5A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480" w:firstLineChars="200"/>
        <w:jc w:val="left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无法100%响应以上要求的供应商报价默认视为无效报价。</w:t>
      </w:r>
      <w:bookmarkEnd w:id="1"/>
    </w:p>
    <w:bookmarkEnd w:id="0"/>
    <w:p w14:paraId="0F7BB48F">
      <w:pPr>
        <w:ind w:firstLine="480" w:firstLineChars="200"/>
        <w:rPr>
          <w:rFonts w:asciiTheme="minorEastAsia" w:hAnsiTheme="minorEastAsia" w:cstheme="minorEastAsia"/>
          <w:sz w:val="24"/>
        </w:rPr>
      </w:pPr>
    </w:p>
    <w:p w14:paraId="434FC0DC">
      <w:pPr>
        <w:rPr>
          <w:rFonts w:asciiTheme="minorEastAsia" w:hAnsiTheme="minorEastAsia" w:cstheme="minorEastAsia"/>
          <w:sz w:val="24"/>
        </w:rPr>
      </w:pPr>
    </w:p>
    <w:p w14:paraId="31F2097A">
      <w:pPr>
        <w:rPr>
          <w:rFonts w:hint="eastAsia" w:asciiTheme="minorEastAsia" w:hAnsiTheme="minorEastAsia" w:cstheme="minorEastAsia"/>
          <w:sz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lang w:val="en-US" w:eastAsia="zh-CN"/>
        </w:rPr>
        <w:t>附件：</w:t>
      </w:r>
    </w:p>
    <w:p w14:paraId="27CBFB89">
      <w:pPr>
        <w:rPr>
          <w:rFonts w:hint="eastAsia" w:asciiTheme="minorEastAsia" w:hAnsiTheme="minorEastAsia" w:cstheme="minorEastAsia"/>
          <w:sz w:val="24"/>
          <w:lang w:val="en-US" w:eastAsia="zh-CN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8"/>
        <w:gridCol w:w="7844"/>
      </w:tblGrid>
      <w:tr w14:paraId="2611C2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8" w:type="dxa"/>
          </w:tcPr>
          <w:p w14:paraId="157EE332">
            <w:pPr>
              <w:spacing w:line="240" w:lineRule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名称</w:t>
            </w:r>
          </w:p>
        </w:tc>
        <w:tc>
          <w:tcPr>
            <w:tcW w:w="7844" w:type="dxa"/>
          </w:tcPr>
          <w:p w14:paraId="5CBC0E67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产品参数</w:t>
            </w:r>
          </w:p>
        </w:tc>
      </w:tr>
      <w:tr w14:paraId="1803E9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8" w:type="dxa"/>
          </w:tcPr>
          <w:p w14:paraId="0721B76B">
            <w:pPr>
              <w:spacing w:line="240" w:lineRule="auto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交互智能平板</w:t>
            </w:r>
          </w:p>
        </w:tc>
        <w:tc>
          <w:tcPr>
            <w:tcW w:w="7844" w:type="dxa"/>
          </w:tcPr>
          <w:p w14:paraId="6CC1D7C9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提供“中国驰名商标”认证资料，且为上市公司专业生产LED全彩屏的生产厂家，并提供相关证明材料；（建议品牌利亚德、艾比森、洲明）</w:t>
            </w:r>
          </w:p>
          <w:p w14:paraId="1E1AC574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材质：轻钢，具备优秀的散热性能。</w:t>
            </w:r>
          </w:p>
          <w:p w14:paraId="644FDC85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★像素间距≤1.86mm。LED类型：SMD 1515黑灯，像素密度≥ 289050点/m2；反光率≤1.5%。</w:t>
            </w:r>
          </w:p>
          <w:p w14:paraId="7BA9FE7B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★4.箱体单元尺寸约320mm*480mm，模组尺寸约320mm*240mm，单箱重量≤3kg。整机自然散热，无风扇，无孔，防尘静音设计；支持模组、电源、接收卡前维护；</w:t>
            </w:r>
          </w:p>
          <w:p w14:paraId="2AC33DDD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亮度：≥710nits，具有随环境照度的变化而自动亮度调整的功能,支持手动、自动、程控(0~100%可调)，支持无级调节，色温：3000—16000K可调（符合广电级标准），对比度：≥6000：1；</w:t>
            </w:r>
          </w:p>
          <w:p w14:paraId="54D0C6F7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平整度：≤0.1mm，模组间隙：≤0.1mm，四侧面平面度公差≤0.02mm，四侧面垂直度公差≤0.02mm；</w:t>
            </w:r>
          </w:p>
          <w:p w14:paraId="13D08900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★采用原厂整机出厂方式供货，不接受市场组装机，采用原厂整机出厂方式供货安装，提供厂家整机出厂承诺函、产品官网页面截图和查询链接，并附带有显示屏制造商箱体和模组的logo图片；</w:t>
            </w:r>
          </w:p>
          <w:p w14:paraId="4CB994A5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★所投LED品牌厂商须为真实制造商，不接受OEM厂家及非LED行业生产企业。LED显示屏厂商营业执照业务范围必须是“LED显示屏”或“电子显示设备”的生产研发销售，且LED显示屏厂商具有生产厂房，可提供用于生产厂的工业用地证明材料；</w:t>
            </w:r>
          </w:p>
          <w:p w14:paraId="567DF6F6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▲整机自然散热，无风扇，无孔，防尘静音设计；电源、接收卡、模组组合式一体设计，便于维护检修，提高安装和维护效率;支持模组、电源、接收卡前维护；</w:t>
            </w:r>
          </w:p>
          <w:p w14:paraId="049EB29C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▲防眩光黑色电喷工艺，表面墨色一致性和散热性能好，屏体正面为黑色亚光处理，反光率≤1.5%；样品在10Lux/5600K照度下，对屏幕表面进行光反射率试验，屏幕表面光反射率(单位面积反射亮度)＜2.2cd/m²</w:t>
            </w:r>
          </w:p>
          <w:p w14:paraId="4788F28D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▲亮度鉴别等级：C级 Bj≥20。色温可调范围：1000k~13000K连续可调，调节步长100K，并可自定义色温值；色温误差：色温为6500K时100%、75%、50%、25%四档电平白场调节色温误差≤100K。</w:t>
            </w:r>
          </w:p>
          <w:p w14:paraId="7CDBC387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LED 灯珠抗拉机械强度：≥1KG，底壳弯曲：支辊距离 75mm,测试最大弯曲力Fm(kN)≥6.5，LED像素失控率：0，无连续失控率；平均使用寿命：≥100000hrs，支持7x24小时连续工作无故障，故障平均修复时间(MTTR )≤8分钟；</w:t>
            </w:r>
          </w:p>
          <w:p w14:paraId="28548042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NTSC色覆盖率≥100%，搭配 HDR系统卡，实现高动态范围图像显示屏效果，支持20bit精细灰度，色域120%覆盖全面达到 DCI-P3 标准，超万亿色彩表现能力，屏幕支持色域范围调节，可任意按标准色域显示(如设置为NTSC、REC709、DCI-P3等)；色度均匀性：在±0.002 Cx，Cy 之内（符合广电级标准）；</w:t>
            </w:r>
          </w:p>
          <w:p w14:paraId="0151117B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▲显示单元间隙（mm）≤0.05；显示单元平整度（mm）≤0.03；模组平整度（mm）≤0.03；模组间隙（mm）≤0.05；相对错位偏差（水平/垂直）≤1.0%；</w:t>
            </w:r>
          </w:p>
          <w:p w14:paraId="55584DE9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▲基色主波长误差：C级 △λD≤5，亮度误差值在3%，灯芯的波长误差值在±1nm之内。白场色坐标符合SJ/T 11141-2017 5.10.5规定范围。</w:t>
            </w:r>
          </w:p>
          <w:p w14:paraId="080B7DF7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▲亮度≥580nit（0-100%无级可调）；亮度均匀性≥99.2%；显示屏最高对比度≥10816:1，灰度等级16bit；LED像素失控率≤1/1500000；像素中心距偏差0.82%；色域/色准：≥120% NTSC/△E≤0.9；色度均匀性：±0.001Cx,Cy 之内；刷新频率≥3840HZ，换帧频率：50Hz&amp;60Hz，换帧频率50Hz&amp;60Hz；画面延时≤2ms；水平视角≥169°，垂直视角≥165°；相对错位偏差(水平/垂直)≤0.85%；</w:t>
            </w:r>
          </w:p>
          <w:p w14:paraId="12303F28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工作电压100-240V,50/60Hz；峰值功耗≤240W/㎡，平均功耗≤90W/㎡，单箱功率≤40W，显示屏黑屏不点亮时功耗≤35W/㎡；屏体长时间没有使用，屏体自动切入除湿模式:开机后自动检测客户端未使用时间长，智能匹配相应时间的除湿模式，使屏体从10%到100%亮度逐步显示，无需人工定期手动维护，除湿功能可手动开启和关闭；</w:t>
            </w:r>
          </w:p>
          <w:p w14:paraId="7C07F00A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▲带有智能（黑屏）节电功能，开启智能节电功能比没有开启节能50%以上，能源效率值≥3cd/W，睡眠模式功率密度值≤125W/m2；</w:t>
            </w:r>
          </w:p>
          <w:p w14:paraId="0B794762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 xml:space="preserve">▲距离显示屏1米时的工作噪声声压为：前方3.5，后方2.9，左方3.3，右方3.2； </w:t>
            </w:r>
          </w:p>
          <w:p w14:paraId="58FF3B4B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支持 EPWM 灰阶控制技术提升低灰视觉效果，支持软件实现不同亮度情况下，灰度8-16bit任意设置，0-100%亮度时8-16bit 任意灰度设置；</w:t>
            </w:r>
          </w:p>
          <w:p w14:paraId="530D9AA3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▲采用EPWM 灰阶控制技术提升低灰视觉效果，100%亮度时，16bit灰度；70%亮度，16bit灰度；50%亮度，16bit灰度；20%亮度，14bit灰度，显示画面无单列或单行像素失控现象；支持0-100%亮度时，8-16bits灰度自定义设置；</w:t>
            </w:r>
          </w:p>
          <w:p w14:paraId="24CEB05B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7×24 小时连续工作无故障，平均故障间隔时间(MTBF)≥100000小时，平均故障恢复时间(MTTR)≤1分钟；LED使用寿命100000小时，设备在正常工作条件下,连续工作240h,不出现电、机械或操作系统的故障；</w:t>
            </w:r>
          </w:p>
          <w:p w14:paraId="038DF38E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▲产品符合 《GB/T2423.16-2008电工电子产品环境试验 第2部分：试验方法 试验J及导则：长霉》的测试要求，具备一定的抗霉菌能力。</w:t>
            </w:r>
          </w:p>
          <w:p w14:paraId="788FFE72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▲人眼视觉健康舒适度VICO指数达到1级， LED显示屏图像主观质量评价等级为优，评分为：优；蓝光危害辐亮度≤5.7 W/㎡/sr，对人眼无伤害；支持摩尔纹抑制功能，减轻摩尔纹视觉主观效果80%；</w:t>
            </w:r>
          </w:p>
          <w:p w14:paraId="27C32EDB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具有视频降噪、运动补偿、色彩变换等图像处理功能；具有亮度、对比度、色度调节、视觉修正等图像调整功能；LED图像无失真现象；LED 图像显示画面无重影和拖影现象，无几何失真和非线性失真。</w:t>
            </w:r>
          </w:p>
          <w:p w14:paraId="3ED4BA48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▲显示屏具有提高显示效果的技术特点，较短距离观看时，可以一定程度上缓解颗粒感问题，以及可以提高整个图像显示的视觉过渡效果（提供证明材料并加盖生产厂商公章）；</w:t>
            </w:r>
          </w:p>
          <w:p w14:paraId="668A3F77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▲具备一键除湿功能,屏体长时间没有使用,屏体自动切入除湿模式,有效防止湿气进入灯珠内部导致短路。</w:t>
            </w:r>
          </w:p>
          <w:p w14:paraId="31F26B92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▲盐雾试验符合10级要求，抗震符合8级要求。</w:t>
            </w:r>
          </w:p>
          <w:p w14:paraId="4DED79D3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具有单点、模块级亮度、色度校正功能，校正后亮度损失＜10%；通过调整流入每个LED的电流控制像素亮度，从而实现整屏一致的亮度，支持鬼影消除、拖尾消除、低灰偏色补偿、去除坏点、毛毛虫消除、余辉消除、亮度缓慢变亮功能；支持屏体拼缝亮线、暗线校正。</w:t>
            </w:r>
          </w:p>
          <w:p w14:paraId="3B4AF865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▲具有多点测温系统，均衡散热，防止局部温度过高造成色彩漂移，并提高显示屏寿命；</w:t>
            </w:r>
          </w:p>
          <w:p w14:paraId="12CE50A7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▲分布式供电，具有电源过压、过流、断电保护以及温度控制系统，提供电源实时温度监控，超出设定温度自动报警，防止过温失效；</w:t>
            </w:r>
          </w:p>
          <w:p w14:paraId="47C6666F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▲支持LED显示屏OSD及校正智能显示驱动软件；支持LED显示屏系统级联板卡自适应功能；支持BT.2020、DCI.P3、BT.709、sRGB 等多种色域转换</w:t>
            </w:r>
          </w:p>
          <w:p w14:paraId="0E9D66A2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支持软硬件调节亮暗线功能，暗线修复、隐亮消除。</w:t>
            </w:r>
          </w:p>
          <w:p w14:paraId="79CBA091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支持远程网络控制，可实现远程开关机；支持亮度、色温、场景调节，系统信息查看。</w:t>
            </w:r>
          </w:p>
          <w:p w14:paraId="007170C1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一体化驱动主板控制设计，拥有自带驱动控制的LED显示单元技术，灯驱合一，多层PCB设计，具备独特的抗消隐、节能设计，无毛毛虫、鬼影跟随现象；</w:t>
            </w:r>
          </w:p>
          <w:p w14:paraId="04F0BAF3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▲LED显示屏可确保协议通讯及系统运行稳定性，屏体控制器与屏体之间有信号加密传输功能，采用信息相关方式阻止电力通信，采用电子对抗原理，防止电磁3传导辐射泄露有用信息，防止劫持相关控制设备；</w:t>
            </w:r>
          </w:p>
          <w:p w14:paraId="74FF2A90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▲为提高显示屏调试连屏的高效性及便利性，控制卡根据各箱体间的位置关系，为各箱体自动分配图像显示地址，实现智能连屏（提供证明材料并加盖生产厂商公章）</w:t>
            </w:r>
          </w:p>
          <w:p w14:paraId="0DCA956A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▲LED 显示屏拼装结构采用环保型铝型材框架安装,其框架材料经过严格环保、无毒测试,符合国 家《GB/T26572-2011》标准限量要求。内部线材采用低烟无卤环保材质；箱体可裁剪，裁切后可与标准箱体上下拼接，实现模组级尺寸调整，匹配不同屏体尺寸需求；</w:t>
            </w:r>
          </w:p>
          <w:p w14:paraId="57F8A382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LED模组，接收卡，处理器，电源模块，配电箱等均为统一品牌，不接受各厂商品牌组合。</w:t>
            </w:r>
          </w:p>
          <w:p w14:paraId="0A8FDFC5">
            <w:pPr>
              <w:numPr>
                <w:ilvl w:val="0"/>
                <w:numId w:val="2"/>
              </w:numPr>
              <w:spacing w:line="240" w:lineRule="auto"/>
              <w:ind w:left="425" w:leftChars="0" w:hanging="425" w:firstLineChars="0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  <w:t>整屏像素失控率小于0.000001且区域像素失控率小于0.000003。（提供封面具有ilac-MRA、CNAS、标识盖章的权威检测报告）亮度0-600cd/㎡可调，支持256级无灰度损失调节，可通过定时器或传感器调节；色温2000K-10000K连续可调；亮度、灰度、色温可有手动、自动、软件三种调节方式。（提供封面具有ilac-MRA、CNAS标识盖章的权威检测报告）具有防几何失真，非线性失真的功能。（提供封面具有ilac-MRA、CNAS标识盖章的权威检测报告）上电采用分步时序上电，减少显示屏上电瞬间对电网的冲击。（提供封面具有ilac-MRA、CNAS标识盖章的权威检测报告）</w:t>
            </w:r>
          </w:p>
        </w:tc>
      </w:tr>
      <w:tr w14:paraId="4DC3EF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8" w:type="dxa"/>
            <w:vAlign w:val="center"/>
          </w:tcPr>
          <w:p w14:paraId="06303413">
            <w:pPr>
              <w:spacing w:line="240" w:lineRule="auto"/>
              <w:jc w:val="center"/>
              <w:rPr>
                <w:rFonts w:hint="eastAsia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>主副输入设备</w:t>
            </w:r>
          </w:p>
        </w:tc>
        <w:tc>
          <w:tcPr>
            <w:tcW w:w="7844" w:type="dxa"/>
          </w:tcPr>
          <w:p w14:paraId="5F1A651B">
            <w:pPr>
              <w:pStyle w:val="2"/>
              <w:keepNext w:val="0"/>
              <w:keepLines w:val="0"/>
              <w:widowControl/>
              <w:suppressLineNumbers w:val="0"/>
              <w:rPr>
                <w:rFonts w:hint="default" w:ascii="宋体" w:hAnsi="宋体" w:eastAsia="宋体" w:cs="宋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主输入设备：</w:t>
            </w:r>
            <w:r>
              <w:t>配备Intel酷睿i</w:t>
            </w:r>
            <w:r>
              <w:rPr>
                <w:rFonts w:hint="eastAsia"/>
                <w:lang w:val="en-US" w:eastAsia="zh-CN"/>
              </w:rPr>
              <w:t>7</w:t>
            </w:r>
            <w:r>
              <w:t>-12400F处理器，16GB DDR4 2666MHz内存，固态硬盘</w:t>
            </w:r>
            <w:r>
              <w:rPr>
                <w:rFonts w:hint="eastAsia"/>
                <w:lang w:eastAsia="zh-CN"/>
              </w:rPr>
              <w:t>：</w:t>
            </w:r>
            <w:r>
              <w:t>1TB，RX560  4G 独立显卡 台式单主机</w:t>
            </w:r>
            <w:r>
              <w:rPr>
                <w:rFonts w:hint="eastAsia"/>
                <w:lang w:eastAsia="zh-CN"/>
              </w:rPr>
              <w:t>。</w:t>
            </w:r>
            <w:r>
              <w:rPr>
                <w:rFonts w:hint="eastAsia"/>
                <w:lang w:val="en-US" w:eastAsia="zh-CN"/>
              </w:rPr>
              <w:t xml:space="preserve">                     </w:t>
            </w:r>
            <w:r>
              <w:rPr>
                <w:rFonts w:hint="eastAsia"/>
                <w:lang w:eastAsia="zh-CN"/>
              </w:rPr>
              <w:t xml:space="preserve">副输入设备：hinkBook 14 21MR006LCD 英特尔酷睿酷睿Ultra 5 125H(14核18线程,4.5GHz；18M)/16GB(8+8)/1TB SSD/核心显卡，(Intel lris Xe)/14" 2.8k(2880*1880)/蓝牙/摄像头/背光键盘/60Wh锂离子4芯电池/Win11 。 </w:t>
            </w:r>
          </w:p>
        </w:tc>
      </w:tr>
    </w:tbl>
    <w:p w14:paraId="26F0CF16">
      <w:pPr>
        <w:rPr>
          <w:rFonts w:hint="eastAsia" w:asciiTheme="minorEastAsia" w:hAnsiTheme="minorEastAsia" w:cstheme="minorEastAsia"/>
          <w:sz w:val="24"/>
          <w:lang w:val="en-US" w:eastAsia="zh-CN"/>
        </w:rPr>
      </w:pPr>
    </w:p>
    <w:p w14:paraId="28CF830F">
      <w:pPr>
        <w:rPr>
          <w:rFonts w:hint="eastAsia" w:asciiTheme="minorEastAsia" w:hAnsiTheme="minorEastAsia" w:cstheme="minorEastAsia"/>
          <w:sz w:val="24"/>
          <w:lang w:val="en-US" w:eastAsia="zh-CN"/>
        </w:rPr>
      </w:pPr>
    </w:p>
    <w:p w14:paraId="454665A2">
      <w:pPr>
        <w:rPr>
          <w:rFonts w:hint="eastAsia" w:asciiTheme="minorEastAsia" w:hAnsiTheme="minorEastAsia" w:cstheme="minorEastAsia"/>
          <w:sz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6BC4818"/>
    <w:multiLevelType w:val="singleLevel"/>
    <w:tmpl w:val="96BC4818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B8E23822"/>
    <w:multiLevelType w:val="singleLevel"/>
    <w:tmpl w:val="B8E23822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hmMDk4N2FiYjMxYzgyNDgyODgyYTcyYTg2ZjI2ZTYifQ=="/>
  </w:docVars>
  <w:rsids>
    <w:rsidRoot w:val="00000000"/>
    <w:rsid w:val="022F4024"/>
    <w:rsid w:val="037965AE"/>
    <w:rsid w:val="048D1A89"/>
    <w:rsid w:val="055D562D"/>
    <w:rsid w:val="0926603D"/>
    <w:rsid w:val="0CFF056A"/>
    <w:rsid w:val="17DF219A"/>
    <w:rsid w:val="17EF0C7F"/>
    <w:rsid w:val="1A5B544C"/>
    <w:rsid w:val="1E62199A"/>
    <w:rsid w:val="1F216AD3"/>
    <w:rsid w:val="2BEE106E"/>
    <w:rsid w:val="2D143D22"/>
    <w:rsid w:val="339706CA"/>
    <w:rsid w:val="369171D5"/>
    <w:rsid w:val="37305D1E"/>
    <w:rsid w:val="424566C9"/>
    <w:rsid w:val="42D422DA"/>
    <w:rsid w:val="47A258DE"/>
    <w:rsid w:val="49F16D5B"/>
    <w:rsid w:val="4A8D0B84"/>
    <w:rsid w:val="4ABC7120"/>
    <w:rsid w:val="4B0705FB"/>
    <w:rsid w:val="4D29358E"/>
    <w:rsid w:val="4D581F62"/>
    <w:rsid w:val="4FDE5D72"/>
    <w:rsid w:val="506912ED"/>
    <w:rsid w:val="51854A55"/>
    <w:rsid w:val="54DA3618"/>
    <w:rsid w:val="56075B8B"/>
    <w:rsid w:val="57C83D03"/>
    <w:rsid w:val="61E76E94"/>
    <w:rsid w:val="654322DD"/>
    <w:rsid w:val="65785580"/>
    <w:rsid w:val="660B40F2"/>
    <w:rsid w:val="66AF6B5F"/>
    <w:rsid w:val="677D153D"/>
    <w:rsid w:val="67B97227"/>
    <w:rsid w:val="682A3E58"/>
    <w:rsid w:val="69AB4080"/>
    <w:rsid w:val="6A260820"/>
    <w:rsid w:val="7B205002"/>
    <w:rsid w:val="7FAC3308"/>
    <w:rsid w:val="7FCD1201"/>
    <w:rsid w:val="7FE46E5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3790</Words>
  <Characters>4572</Characters>
  <Lines>13</Lines>
  <Paragraphs>3</Paragraphs>
  <TotalTime>120</TotalTime>
  <ScaleCrop>false</ScaleCrop>
  <LinksUpToDate>false</LinksUpToDate>
  <CharactersWithSpaces>4649</CharactersWithSpaces>
  <Application>WPS Office_12.1.0.19302_F1E327BC-269C-435d-A152-05C5408002CA</Application>
  <DocSecurity>4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2023-07-05T13:32:00Z</dcterms:created>
  <dc:creator>戈壁胡杨林</dc:creator>
  <cp:lastModifiedBy>芳菲四月</cp:lastModifiedBy>
  <cp:lastPrinted>2023-05-28T18:10:00Z</cp:lastPrinted>
  <dcterms:modified xsi:type="dcterms:W3CDTF">2025-04-12T14:21:57Z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40D7E58308834EF4A20F1547B3193F3B_13</vt:lpwstr>
  </property>
  <property fmtid="{D5CDD505-2E9C-101B-9397-08002B2CF9AE}" pid="4" name="ContentTypeId">
    <vt:lpwstr>0x010100B1D6B9F845E67341B19057D8EAF46F99</vt:lpwstr>
  </property>
  <property fmtid="{D5CDD505-2E9C-101B-9397-08002B2CF9AE}" pid="5" name="KSOTemplateDocerSaveRecord">
    <vt:lpwstr>eyJoZGlkIjoiMzdmNWNjMTMxZWNjYmRhZDUwODQ0NjcwYjZiOTRmYzciLCJ1c2VySWQiOiI0NDM4MDA0NjMifQ==</vt:lpwstr>
  </property>
</Properties>
</file>