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lang w:val="en-US" w:eastAsia="zh-CN"/>
        </w:rPr>
        <w:t>智能输液系统采购需求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</w:rPr>
        <w:t>参数</w:t>
      </w:r>
    </w:p>
    <w:p>
      <w:pPr>
        <w:numPr>
          <w:ilvl w:val="0"/>
          <w:numId w:val="1"/>
        </w:numPr>
        <w:spacing w:line="560" w:lineRule="exact"/>
        <w:ind w:left="15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项目名称及数量</w:t>
      </w:r>
    </w:p>
    <w:tbl>
      <w:tblPr>
        <w:tblStyle w:val="11"/>
        <w:tblW w:w="97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1269"/>
        <w:gridCol w:w="1057"/>
        <w:gridCol w:w="4201"/>
        <w:gridCol w:w="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8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超强信号基站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布署在病区走道与病房，接收智能输液报警终端信号。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超强信号基站嵌入式软件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布署在病区走道与病房，接收智能输液报警终端信号。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智能输液报警终端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实现滴速监测、输液完成报警等功能，每个床位一个，根据病区的具体床位数进行配置。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智能输液设备软件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实现滴速监测、输液完成报警等功能，每个床位一个，根据病区的具体床位数进行配置。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护士智能环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当触发输液报警时，手环可震动并显示报警内容及床位信息；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配发数量根据采购方需求提供。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护士智能环嵌入式软件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当触发输液报警时，手环可震动并显示报警内容及床位信息；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智能输液系统软件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实现输液进程查看、输液报警提醒等功能。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输液监控大屏软件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实现输液进程查看、输液报警提醒等功能。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充电集线器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按照病区配置，支持多个USB接口，同时为输液器电池充电。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软件接口对接开发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实现与HIS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和电子病历登相关软件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系统数据互通互联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线缆材料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网线、光纤根据现场实际情况铺设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通信网络交换机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根据现场实际情况选购数量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系统管理工作站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739"/>
              </w:tabs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根据现场实际情况选购数量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数据处理服务器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根据实际需求进行配置采购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护士站智能监控大屏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根据实际需求进行配置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，数量根据现场实际情况提供。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现场施工安装</w:t>
            </w:r>
          </w:p>
        </w:tc>
        <w:tc>
          <w:tcPr>
            <w:tcW w:w="12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项目所在地施工内容：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智能输液系统环境改造、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网络铺设、电力铺设、终端设备安装，包含施工费材料费（需报价单位实地考察）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480" w:hanging="420" w:hangingChars="2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备注;</w:t>
            </w:r>
            <w:bookmarkStart w:id="0" w:name="_GoBack"/>
            <w:bookmarkEnd w:id="0"/>
          </w:p>
        </w:tc>
      </w:tr>
    </w:tbl>
    <w:p>
      <w:pPr>
        <w:numPr>
          <w:ilvl w:val="0"/>
          <w:numId w:val="2"/>
        </w:numPr>
        <w:spacing w:line="420" w:lineRule="exact"/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eastAsia="zh-CN"/>
        </w:rPr>
        <w:t>要求：</w:t>
      </w:r>
    </w:p>
    <w:p>
      <w:pPr>
        <w:numPr>
          <w:ilvl w:val="0"/>
          <w:numId w:val="0"/>
        </w:numPr>
        <w:spacing w:line="420" w:lineRule="exact"/>
        <w:ind w:firstLine="241" w:firstLineChars="100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val="en-US" w:eastAsia="zh-CN"/>
        </w:rPr>
        <w:t>(一)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基本资质条件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必须符合政府采购法第二十二条规定的基本条件，同时符合该项目特定条件。</w:t>
      </w:r>
    </w:p>
    <w:p>
      <w:pPr>
        <w:spacing w:line="460" w:lineRule="exact"/>
        <w:ind w:firstLine="241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）联合体投标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本项目不接受联合体投标</w:t>
      </w:r>
    </w:p>
    <w:p>
      <w:pPr>
        <w:spacing w:line="420" w:lineRule="exact"/>
        <w:ind w:firstLine="241" w:firstLineChars="100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）特殊资格条件</w:t>
      </w:r>
    </w:p>
    <w:p>
      <w:pPr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1.具备生产或销售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特殊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 xml:space="preserve">设备资质的企业或公司，并提供营业执照。         </w:t>
      </w:r>
    </w:p>
    <w:p>
      <w:pPr>
        <w:spacing w:line="420" w:lineRule="exact"/>
        <w:ind w:left="719" w:leftChars="228" w:hanging="240" w:hangingChars="1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具备软件开发和维护的企业或公司，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并提供营业执照。</w:t>
      </w:r>
    </w:p>
    <w:p>
      <w:pPr>
        <w:pStyle w:val="10"/>
        <w:shd w:val="clear" w:color="auto" w:fill="FFFFFF"/>
        <w:spacing w:before="0" w:beforeAutospacing="0" w:after="150" w:afterAutospacing="0"/>
        <w:ind w:right="300"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4.实现与HIS和电子病历登相关软件系统数据互通互联。</w:t>
      </w:r>
    </w:p>
    <w:p>
      <w:pPr>
        <w:pStyle w:val="10"/>
        <w:shd w:val="clear" w:color="auto" w:fill="FFFFFF"/>
        <w:spacing w:before="0" w:beforeAutospacing="0" w:after="150" w:afterAutospacing="0"/>
        <w:ind w:right="300"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5.报价方需根据甲方现场实际情况提供设备安装图纸；</w:t>
      </w:r>
    </w:p>
    <w:p>
      <w:pPr>
        <w:pStyle w:val="10"/>
        <w:shd w:val="clear" w:color="auto" w:fill="FFFFFF"/>
        <w:spacing w:before="0" w:beforeAutospacing="0" w:after="150" w:afterAutospacing="0"/>
        <w:ind w:right="300" w:firstLine="480" w:firstLineChars="200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val="en-US" w:eastAsia="zh-CN"/>
        </w:rPr>
        <w:t>6.报价单位营业执照中具备本次采购要求的产品经营范围及供应能力，在人员、设备、资金等方面具有相应的履约能力，按客户要求现场安装部署，能够在项目所在地提供长期稳定的售后服务点（房产证或者租房合同），售后服务信誉高，能24小时提供全天候的随叫随到上门服务。</w:t>
      </w:r>
    </w:p>
    <w:p>
      <w:pPr>
        <w:topLinePunct/>
        <w:autoSpaceDN w:val="0"/>
        <w:adjustRightInd w:val="0"/>
        <w:snapToGrid w:val="0"/>
        <w:spacing w:line="420" w:lineRule="exact"/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  <w:t>、项目商务需求</w:t>
      </w:r>
    </w:p>
    <w:p>
      <w:pPr>
        <w:snapToGrid w:val="0"/>
        <w:spacing w:line="42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1.签订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合同及交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：要求中标公司在中标公示结束后7个工作日内与采购人完善合同签订等手续；自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签订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合同之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日起保证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天内完成安装调试并验收投入使用。</w:t>
      </w:r>
    </w:p>
    <w:p>
      <w:pPr>
        <w:snapToGrid w:val="0"/>
        <w:spacing w:line="420" w:lineRule="exact"/>
        <w:rPr>
          <w:rFonts w:hint="eastAsia" w:asciiTheme="minorEastAsia" w:hAnsiTheme="minorEastAsia" w:eastAsiaTheme="minorEastAsia" w:cstheme="minorEastAsia"/>
          <w:color w:val="C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2.交货地点：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克拉玛依市独山子区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3.验收方式：双方当场验收并签字确认。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val="zh-CN"/>
        </w:rPr>
        <w:t>、付款方式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付款方式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以购买合同约定为准。</w:t>
      </w:r>
    </w:p>
    <w:p>
      <w:pPr>
        <w:numPr>
          <w:ilvl w:val="0"/>
          <w:numId w:val="0"/>
        </w:numPr>
        <w:spacing w:line="560" w:lineRule="exact"/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val="en-US" w:eastAsia="zh-CN"/>
        </w:rPr>
        <w:t>五、服务要求</w:t>
      </w:r>
    </w:p>
    <w:p>
      <w:pPr>
        <w:widowControl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 对中标设备免费保修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保修期内免费更换零配件或整机（非人为损坏）；</w:t>
      </w:r>
    </w:p>
    <w:p>
      <w:pPr>
        <w:widowControl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接到用户报修后立即响应，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0分钟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现场(节假日照常服务)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解决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障；</w:t>
      </w:r>
    </w:p>
    <w:p>
      <w:pPr>
        <w:widowControl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按照甲方使用需求，必须与其它软件对接，由实现数据互联互通，软件接口产生的费用包含在项目预算中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widowControl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</w:rPr>
        <w:t>其他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厂家现场安装和操作培训，技术培训学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/>
        </w:rPr>
        <w:t>习。</w:t>
      </w:r>
    </w:p>
    <w:p>
      <w:pPr>
        <w:topLinePunct/>
        <w:autoSpaceDN w:val="0"/>
        <w:adjustRightInd w:val="0"/>
        <w:snapToGrid w:val="0"/>
        <w:spacing w:line="420" w:lineRule="exact"/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val="zh-CN"/>
        </w:rPr>
        <w:t>、违约责任</w:t>
      </w:r>
    </w:p>
    <w:p>
      <w:pPr>
        <w:snapToGrid w:val="0"/>
        <w:spacing w:line="42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  <w:lang w:val="zh-CN"/>
        </w:rPr>
        <w:t>1.若非采购人原因，中标方不能按要求提供产品的，采购人有权解除合同。</w:t>
      </w:r>
    </w:p>
    <w:p>
      <w:pPr>
        <w:pStyle w:val="2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shd w:val="clear" w:color="auto" w:fill="FFFFFF"/>
          <w:lang w:val="en-US" w:eastAsia="zh-CN"/>
        </w:rPr>
        <w:t>2.报价单位需根据甲方现场实际情况提供设备安装图纸，盲目报价的采购人有权解除合同。</w:t>
      </w:r>
    </w:p>
    <w:p>
      <w:pPr>
        <w:snapToGrid w:val="0"/>
        <w:spacing w:line="42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  <w:lang w:val="zh-CN"/>
        </w:rPr>
        <w:t>.中标方不按合同和采购文件技术标准提供产品，对质量问题和技术问题不进行整改的，采购人可以不予支付货款并有权解除合同。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val="en-US" w:eastAsia="zh-CN"/>
        </w:rPr>
        <w:t>七、上传附件要求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.上传相关资质、投标产品规格、品牌型号、技术参数、软件说明、产品说明书彩页、配置清单及售后服务承诺；我单位将按照招标参数、资质逐条对照，参与本次项目报价供应商报价必须严格遵守所有条款，如有恶意报价或虚假应标企业，将通过政采云维权中心上报上级采监部门进行处理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460" w:lineRule="exac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01970"/>
    <w:multiLevelType w:val="singleLevel"/>
    <w:tmpl w:val="24A019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247212"/>
    <w:multiLevelType w:val="singleLevel"/>
    <w:tmpl w:val="67247212"/>
    <w:lvl w:ilvl="0" w:tentative="0">
      <w:start w:val="1"/>
      <w:numFmt w:val="chineseCounting"/>
      <w:suff w:val="nothing"/>
      <w:lvlText w:val="%1、"/>
      <w:lvlJc w:val="left"/>
      <w:pPr>
        <w:ind w:left="15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zE4ODZmMWVhMzYwODhjNzgyNDJjOWEyZmMyYWEifQ=="/>
  </w:docVars>
  <w:rsids>
    <w:rsidRoot w:val="2AF93CFA"/>
    <w:rsid w:val="01E07A19"/>
    <w:rsid w:val="02167F60"/>
    <w:rsid w:val="03EC2CE1"/>
    <w:rsid w:val="03F373BB"/>
    <w:rsid w:val="04DA204D"/>
    <w:rsid w:val="05F6658E"/>
    <w:rsid w:val="065B2A33"/>
    <w:rsid w:val="06647018"/>
    <w:rsid w:val="07741FE2"/>
    <w:rsid w:val="099D3EE7"/>
    <w:rsid w:val="0B68065E"/>
    <w:rsid w:val="0BB6714A"/>
    <w:rsid w:val="0BD46400"/>
    <w:rsid w:val="0E032DD4"/>
    <w:rsid w:val="0E0F029A"/>
    <w:rsid w:val="0ED45A36"/>
    <w:rsid w:val="0FEE514F"/>
    <w:rsid w:val="10DA55E0"/>
    <w:rsid w:val="120D6539"/>
    <w:rsid w:val="121835D9"/>
    <w:rsid w:val="132148A7"/>
    <w:rsid w:val="1325608D"/>
    <w:rsid w:val="13561995"/>
    <w:rsid w:val="15EA73F7"/>
    <w:rsid w:val="18B27029"/>
    <w:rsid w:val="18BD7801"/>
    <w:rsid w:val="18CE645D"/>
    <w:rsid w:val="1A225BAA"/>
    <w:rsid w:val="1A393214"/>
    <w:rsid w:val="1B450BBA"/>
    <w:rsid w:val="1BA0514A"/>
    <w:rsid w:val="1DEE17DE"/>
    <w:rsid w:val="1E0E040E"/>
    <w:rsid w:val="1E611302"/>
    <w:rsid w:val="1EA0383C"/>
    <w:rsid w:val="1F932AE3"/>
    <w:rsid w:val="21C14DAF"/>
    <w:rsid w:val="22412323"/>
    <w:rsid w:val="22AA7086"/>
    <w:rsid w:val="24C21775"/>
    <w:rsid w:val="24ED40A4"/>
    <w:rsid w:val="25145E78"/>
    <w:rsid w:val="25864CFB"/>
    <w:rsid w:val="2600103D"/>
    <w:rsid w:val="266E1CF5"/>
    <w:rsid w:val="26B67AF4"/>
    <w:rsid w:val="273277DA"/>
    <w:rsid w:val="284B693D"/>
    <w:rsid w:val="29315823"/>
    <w:rsid w:val="2989460C"/>
    <w:rsid w:val="29B90621"/>
    <w:rsid w:val="29EA0022"/>
    <w:rsid w:val="2AF93CFA"/>
    <w:rsid w:val="2C4E123C"/>
    <w:rsid w:val="2EC22FCB"/>
    <w:rsid w:val="2EFB5DA8"/>
    <w:rsid w:val="2F5C531E"/>
    <w:rsid w:val="31C256D8"/>
    <w:rsid w:val="31D0623D"/>
    <w:rsid w:val="327E65CA"/>
    <w:rsid w:val="33A6332D"/>
    <w:rsid w:val="33B66679"/>
    <w:rsid w:val="34573326"/>
    <w:rsid w:val="35085004"/>
    <w:rsid w:val="363A38BF"/>
    <w:rsid w:val="364C5CE1"/>
    <w:rsid w:val="36EB0497"/>
    <w:rsid w:val="371B7647"/>
    <w:rsid w:val="3A2F1A99"/>
    <w:rsid w:val="3D781C90"/>
    <w:rsid w:val="3E6F6229"/>
    <w:rsid w:val="409317E7"/>
    <w:rsid w:val="40A17AF0"/>
    <w:rsid w:val="40BF6A75"/>
    <w:rsid w:val="413B25EF"/>
    <w:rsid w:val="4161521D"/>
    <w:rsid w:val="41BC1A2B"/>
    <w:rsid w:val="42341833"/>
    <w:rsid w:val="45686BD6"/>
    <w:rsid w:val="46EB70C4"/>
    <w:rsid w:val="47D27A8B"/>
    <w:rsid w:val="486F381C"/>
    <w:rsid w:val="48810A74"/>
    <w:rsid w:val="49D55D43"/>
    <w:rsid w:val="4A072DCC"/>
    <w:rsid w:val="4C911713"/>
    <w:rsid w:val="4CAB718C"/>
    <w:rsid w:val="4F0842FB"/>
    <w:rsid w:val="50596D3C"/>
    <w:rsid w:val="51347AAB"/>
    <w:rsid w:val="51713785"/>
    <w:rsid w:val="51EA1B46"/>
    <w:rsid w:val="52E635B0"/>
    <w:rsid w:val="533822BF"/>
    <w:rsid w:val="5344222E"/>
    <w:rsid w:val="53874BDE"/>
    <w:rsid w:val="53BD7E88"/>
    <w:rsid w:val="5621353B"/>
    <w:rsid w:val="576C1131"/>
    <w:rsid w:val="58C73921"/>
    <w:rsid w:val="59EB236C"/>
    <w:rsid w:val="5D002E36"/>
    <w:rsid w:val="5FF154B6"/>
    <w:rsid w:val="60776910"/>
    <w:rsid w:val="61F3336F"/>
    <w:rsid w:val="62820296"/>
    <w:rsid w:val="63273EDD"/>
    <w:rsid w:val="64603AC6"/>
    <w:rsid w:val="658E168F"/>
    <w:rsid w:val="6614675C"/>
    <w:rsid w:val="66F0470E"/>
    <w:rsid w:val="68533970"/>
    <w:rsid w:val="69B4543C"/>
    <w:rsid w:val="6AC32E0A"/>
    <w:rsid w:val="6B25044F"/>
    <w:rsid w:val="6CD001C6"/>
    <w:rsid w:val="6CF81D57"/>
    <w:rsid w:val="6DA31AF4"/>
    <w:rsid w:val="6FA13CCF"/>
    <w:rsid w:val="71240C38"/>
    <w:rsid w:val="714D038F"/>
    <w:rsid w:val="7352538D"/>
    <w:rsid w:val="73D15F7F"/>
    <w:rsid w:val="73DD061D"/>
    <w:rsid w:val="75635CC2"/>
    <w:rsid w:val="75A21AB9"/>
    <w:rsid w:val="75C51455"/>
    <w:rsid w:val="75F67608"/>
    <w:rsid w:val="763A7634"/>
    <w:rsid w:val="765005FA"/>
    <w:rsid w:val="79304051"/>
    <w:rsid w:val="79A54CC0"/>
    <w:rsid w:val="79E87372"/>
    <w:rsid w:val="7A5C7E4A"/>
    <w:rsid w:val="7CAF2AE1"/>
    <w:rsid w:val="7E86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2"/>
    <w:autoRedefine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Body Text"/>
    <w:basedOn w:val="1"/>
    <w:next w:val="5"/>
    <w:autoRedefine/>
    <w:qFormat/>
    <w:uiPriority w:val="0"/>
    <w:rPr>
      <w:rFonts w:ascii="Arial" w:hAnsi="Arial"/>
      <w:sz w:val="24"/>
    </w:rPr>
  </w:style>
  <w:style w:type="paragraph" w:customStyle="1" w:styleId="5">
    <w:name w:val="Default"/>
    <w:next w:val="6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6">
    <w:name w:val="大标题"/>
    <w:basedOn w:val="1"/>
    <w:next w:val="7"/>
    <w:autoRedefine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7">
    <w:name w:val="Body Text First Indent 2"/>
    <w:basedOn w:val="8"/>
    <w:next w:val="1"/>
    <w:autoRedefine/>
    <w:qFormat/>
    <w:uiPriority w:val="0"/>
    <w:pPr>
      <w:ind w:firstLine="420" w:firstLineChars="200"/>
    </w:pPr>
    <w:rPr>
      <w:rFonts w:ascii="宋体" w:hAnsi="宋体" w:eastAsia="宋体"/>
      <w:sz w:val="28"/>
      <w:szCs w:val="28"/>
    </w:rPr>
  </w:style>
  <w:style w:type="paragraph" w:styleId="8">
    <w:name w:val="Body Text Indent"/>
    <w:basedOn w:val="1"/>
    <w:next w:val="5"/>
    <w:autoRedefine/>
    <w:unhideWhenUsed/>
    <w:qFormat/>
    <w:uiPriority w:val="0"/>
    <w:pPr>
      <w:spacing w:after="120"/>
      <w:ind w:left="420" w:leftChars="200"/>
    </w:pPr>
  </w:style>
  <w:style w:type="paragraph" w:styleId="9">
    <w:name w:val="Plain Text"/>
    <w:basedOn w:val="1"/>
    <w:autoRedefine/>
    <w:qFormat/>
    <w:uiPriority w:val="0"/>
    <w:rPr>
      <w:rFonts w:cs="Courier New"/>
      <w:szCs w:val="21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TML Sample"/>
    <w:basedOn w:val="12"/>
    <w:qFormat/>
    <w:uiPriority w:val="0"/>
    <w:rPr>
      <w:rFonts w:ascii="Courier New" w:hAnsi="Courier New"/>
    </w:rPr>
  </w:style>
  <w:style w:type="character" w:customStyle="1" w:styleId="14">
    <w:name w:val="NormalCharacter"/>
    <w:autoRedefine/>
    <w:semiHidden/>
    <w:qFormat/>
    <w:uiPriority w:val="99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1357</Words>
  <Characters>1384</Characters>
  <Lines>0</Lines>
  <Paragraphs>0</Paragraphs>
  <TotalTime>5</TotalTime>
  <ScaleCrop>false</ScaleCrop>
  <LinksUpToDate>false</LinksUpToDate>
  <CharactersWithSpaces>1396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2023-08-24T09:00:00Z</dcterms:created>
  <dc:creator>糖糖藏在蔸蔸里</dc:creator>
  <cp:lastModifiedBy>这不是去幼儿园的车</cp:lastModifiedBy>
  <dcterms:modified xsi:type="dcterms:W3CDTF">2024-06-09T03:30:29Z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6A0CB1A94B1E4094863CFCB177D39131_13</vt:lpwstr>
  </property>
</Properties>
</file>