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06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0"/>
        <w:gridCol w:w="780"/>
        <w:gridCol w:w="1515"/>
        <w:gridCol w:w="900"/>
        <w:gridCol w:w="6785"/>
      </w:tblGrid>
      <w:tr w14:paraId="645CF7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600" w:type="dxa"/>
            <w:gridSpan w:val="5"/>
            <w:vAlign w:val="center"/>
          </w:tcPr>
          <w:p w14:paraId="2A8FDAC9">
            <w:pPr>
              <w:jc w:val="center"/>
              <w:rPr>
                <w:rFonts w:hint="eastAsia" w:asciiTheme="minorEastAsia" w:hAnsiTheme="minorEastAsia" w:eastAsiaTheme="minorEastAsia"/>
                <w:b/>
                <w:szCs w:val="21"/>
                <w:lang w:eastAsia="zh-CN"/>
              </w:rPr>
            </w:pPr>
            <w:r>
              <w:rPr>
                <w:rFonts w:hint="eastAsia" w:eastAsiaTheme="minorEastAsia"/>
                <w:b/>
                <w:sz w:val="44"/>
                <w:szCs w:val="44"/>
                <w:lang w:eastAsia="zh-CN"/>
              </w:rPr>
              <w:t>技术参数</w:t>
            </w:r>
          </w:p>
        </w:tc>
      </w:tr>
      <w:tr w14:paraId="78A7A8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620" w:type="dxa"/>
            <w:vAlign w:val="center"/>
          </w:tcPr>
          <w:p w14:paraId="3DE71123">
            <w:pPr>
              <w:spacing w:line="240" w:lineRule="auto"/>
              <w:ind w:left="16" w:leftChars="-59" w:right="-94" w:rightChars="-45" w:hanging="140" w:hangingChars="58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</w:tc>
        <w:tc>
          <w:tcPr>
            <w:tcW w:w="780" w:type="dxa"/>
            <w:vAlign w:val="center"/>
          </w:tcPr>
          <w:p w14:paraId="030A18CF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名称</w:t>
            </w:r>
          </w:p>
        </w:tc>
        <w:tc>
          <w:tcPr>
            <w:tcW w:w="1515" w:type="dxa"/>
            <w:vAlign w:val="center"/>
          </w:tcPr>
          <w:p w14:paraId="38CA4B01">
            <w:pPr>
              <w:spacing w:line="240" w:lineRule="auto"/>
              <w:ind w:left="29" w:leftChars="-45" w:right="-94" w:rightChars="-45" w:hanging="123" w:hangingChars="51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数量</w:t>
            </w:r>
          </w:p>
        </w:tc>
        <w:tc>
          <w:tcPr>
            <w:tcW w:w="900" w:type="dxa"/>
            <w:vAlign w:val="center"/>
          </w:tcPr>
          <w:p w14:paraId="1DF904F7">
            <w:pPr>
              <w:spacing w:line="240" w:lineRule="auto"/>
              <w:ind w:left="29" w:leftChars="-45" w:right="-94" w:rightChars="-45" w:hanging="123" w:hangingChars="51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单位</w:t>
            </w:r>
          </w:p>
        </w:tc>
        <w:tc>
          <w:tcPr>
            <w:tcW w:w="6785" w:type="dxa"/>
            <w:vAlign w:val="center"/>
          </w:tcPr>
          <w:p w14:paraId="334D2029">
            <w:pPr>
              <w:spacing w:line="240" w:lineRule="auto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技术指标及功能要求</w:t>
            </w:r>
          </w:p>
        </w:tc>
      </w:tr>
      <w:tr w14:paraId="36E190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20" w:type="dxa"/>
            <w:vMerge w:val="restart"/>
            <w:vAlign w:val="center"/>
          </w:tcPr>
          <w:p w14:paraId="3715D831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80" w:type="dxa"/>
            <w:vMerge w:val="restart"/>
            <w:vAlign w:val="center"/>
          </w:tcPr>
          <w:p w14:paraId="2F2AA2CD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硬质快速车库门</w:t>
            </w:r>
          </w:p>
        </w:tc>
        <w:tc>
          <w:tcPr>
            <w:tcW w:w="1515" w:type="dxa"/>
            <w:vAlign w:val="center"/>
          </w:tcPr>
          <w:p w14:paraId="1987DFD2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3.21*3.5（净空尺寸）*1</w:t>
            </w:r>
          </w:p>
        </w:tc>
        <w:tc>
          <w:tcPr>
            <w:tcW w:w="900" w:type="dxa"/>
            <w:vMerge w:val="restart"/>
            <w:vAlign w:val="center"/>
          </w:tcPr>
          <w:p w14:paraId="5D1EF46F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樘</w:t>
            </w:r>
          </w:p>
        </w:tc>
        <w:tc>
          <w:tcPr>
            <w:tcW w:w="6785" w:type="dxa"/>
            <w:vMerge w:val="restart"/>
            <w:vAlign w:val="center"/>
          </w:tcPr>
          <w:p w14:paraId="5DEE61E9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外平内弧3D超宽纯平无压线门板，256</w:t>
            </w:r>
            <w:r>
              <w:rPr>
                <w:rFonts w:hint="default" w:ascii="Arial" w:hAnsi="Arial" w:cs="Arial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×</w:t>
            </w: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50超宽门板。</w:t>
            </w:r>
          </w:p>
          <w:p w14:paraId="21097B7D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正反面采用0.7mm厚铝板断桥设计，内部填充环保级聚氨酯发泡材料，起到降噪、保温和隔热作用。</w:t>
            </w:r>
          </w:p>
          <w:p w14:paraId="608D8737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铰链采用对穿式翻铆、高精度立体冲压成型、互联式一体化连接技术，结构牢固，精度高，铰链隐藏安装不外露，产品美观。</w:t>
            </w:r>
          </w:p>
          <w:p w14:paraId="3849473A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铰链背板反扣门板用螺栓对穿门板一体式组装，门板固定牢固稳定。</w:t>
            </w:r>
          </w:p>
          <w:p w14:paraId="00C61AEE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隐藏式螺丝固定，门板正面无螺丝外露。</w:t>
            </w:r>
          </w:p>
          <w:p w14:paraId="7D8AB0A5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门板之间用</w:t>
            </w:r>
            <w:r>
              <w:rPr>
                <w:rFonts w:cs="Arial" w:asciiTheme="minorEastAsia" w:hAnsiTheme="minorEastAsia" w:eastAsiaTheme="minorEastAsia"/>
                <w:sz w:val="24"/>
              </w:rPr>
              <w:t>软连接</w:t>
            </w: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密封条密封，确保密封同时可有效对抗强对流风压，</w:t>
            </w:r>
            <w:r>
              <w:rPr>
                <w:rFonts w:cs="Arial" w:asciiTheme="minorEastAsia" w:hAnsiTheme="minorEastAsia" w:eastAsiaTheme="minorEastAsia"/>
                <w:sz w:val="24"/>
              </w:rPr>
              <w:t>软连接部分折叠寿命达百万次以上</w:t>
            </w: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。</w:t>
            </w:r>
          </w:p>
          <w:p w14:paraId="223CA152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门体两侧C型轨和门斗L型轨采用钢制超高精度冷弯成型技术。</w:t>
            </w:r>
          </w:p>
          <w:p w14:paraId="5AE68F2E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门斗L型单轨运用阿基米德螺旋线原理制轨技术。</w:t>
            </w:r>
          </w:p>
          <w:p w14:paraId="2338E76C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门斗整体装夹龙门式激光焊接技术，强度好，噪音小，不松动。</w:t>
            </w:r>
          </w:p>
          <w:p w14:paraId="1661B4C2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ascii="仿宋_GB2312" w:hAnsi="宋体" w:eastAsia="仿宋_GB2312"/>
                <w:bCs/>
                <w:color w:val="000000"/>
                <w:sz w:val="24"/>
                <w:lang w:eastAsia="zh-CN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双层螺旋结构，减小阻力，减小摩擦力，高速运行更平稳更静音。</w:t>
            </w:r>
          </w:p>
          <w:p w14:paraId="5919CE5F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滑轮采用一体注塑成型，-40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4"/>
                <w:szCs w:val="24"/>
                <w:lang w:val="en-US" w:eastAsia="zh-CN" w:bidi="ar-SA"/>
              </w:rPr>
              <w:t>℃</w:t>
            </w: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低温轴承+尼龙加纤骨架+外层超耐磨PU材质。</w:t>
            </w:r>
          </w:p>
          <w:p w14:paraId="60DF61D9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滑轮与铰链采用双头铆接技术，高速旋转耐磨低噪音。</w:t>
            </w:r>
          </w:p>
          <w:p w14:paraId="32A5F552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门板两侧上端加装H滑轮，底部加装侧向滑轮，使门体运行时左右不移位，运行更静音。</w:t>
            </w:r>
          </w:p>
          <w:p w14:paraId="3C09B8E9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门框外盖板采用内卡扣设计，无外露螺丝固定。</w:t>
            </w:r>
          </w:p>
          <w:p w14:paraId="49ED0840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传动链条涨紧机构门体底部设计，可以打开门框的外挂板下部调节。</w:t>
            </w:r>
          </w:p>
          <w:p w14:paraId="6B9AAE37">
            <w:pPr>
              <w:spacing w:line="240" w:lineRule="auto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传动系统采用循环链条牵引设计。</w:t>
            </w:r>
          </w:p>
          <w:p w14:paraId="5B5C6055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驱动电机和减速机是采用外挂式安装，方便更换和维护。</w:t>
            </w:r>
          </w:p>
          <w:p w14:paraId="7F640A22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拉簧平衡系统，有效平衡门体重量，降低电机负载，提高电机使用寿命。</w:t>
            </w:r>
          </w:p>
          <w:p w14:paraId="61C54FB0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产品的提升机构为钢制螺旋导向轨道装置，是公司专利技术，确保门扇在启闭过程的高速运行，有效控制门扇与轨道间摩擦的噪音。</w:t>
            </w:r>
          </w:p>
          <w:p w14:paraId="7F8D4DD6">
            <w:pPr>
              <w:pStyle w:val="15"/>
              <w:numPr>
                <w:ilvl w:val="0"/>
                <w:numId w:val="0"/>
              </w:numPr>
              <w:spacing w:line="440" w:lineRule="exact"/>
              <w:ind w:leftChars="0"/>
              <w:rPr>
                <w:rFonts w:cs="Arial" w:asciiTheme="minorEastAsia" w:hAnsiTheme="minorEastAsia" w:eastAsiaTheme="minorEastAsia"/>
                <w:sz w:val="24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◆ </w:t>
            </w:r>
            <w:r>
              <w:rPr>
                <w:rFonts w:hint="eastAsia" w:cs="Arial" w:asciiTheme="minorEastAsia" w:hAnsiTheme="minorEastAsia" w:eastAsiaTheme="minorEastAsia"/>
                <w:sz w:val="24"/>
              </w:rPr>
              <w:t>产品采用</w:t>
            </w:r>
            <w:r>
              <w:rPr>
                <w:rFonts w:cs="Arial" w:asciiTheme="minorEastAsia" w:hAnsiTheme="minorEastAsia" w:eastAsiaTheme="minorEastAsia"/>
                <w:sz w:val="24"/>
              </w:rPr>
              <w:t>专用</w:t>
            </w:r>
            <w:r>
              <w:rPr>
                <w:rFonts w:hint="eastAsia" w:cs="Arial" w:asciiTheme="minorEastAsia" w:hAnsiTheme="minorEastAsia" w:eastAsiaTheme="minorEastAsia"/>
                <w:sz w:val="24"/>
              </w:rPr>
              <w:t>控制</w:t>
            </w:r>
            <w:r>
              <w:rPr>
                <w:rFonts w:cs="Arial" w:asciiTheme="minorEastAsia" w:hAnsiTheme="minorEastAsia" w:eastAsiaTheme="minorEastAsia"/>
                <w:sz w:val="24"/>
              </w:rPr>
              <w:t>系统，内核为DSP处理芯片，系统通过接收</w:t>
            </w:r>
            <w:r>
              <w:rPr>
                <w:rFonts w:hint="eastAsia" w:cs="Arial" w:asciiTheme="minorEastAsia" w:hAnsiTheme="minorEastAsia" w:eastAsiaTheme="minorEastAsia"/>
                <w:sz w:val="24"/>
              </w:rPr>
              <w:t>伺服</w:t>
            </w:r>
            <w:r>
              <w:rPr>
                <w:rFonts w:cs="Arial" w:asciiTheme="minorEastAsia" w:hAnsiTheme="minorEastAsia" w:eastAsiaTheme="minorEastAsia"/>
                <w:sz w:val="24"/>
              </w:rPr>
              <w:t>电机编码器信号来精确控制门体的开启高度：</w:t>
            </w:r>
          </w:p>
          <w:p w14:paraId="3586A747">
            <w:pPr>
              <w:pStyle w:val="15"/>
              <w:numPr>
                <w:ilvl w:val="0"/>
                <w:numId w:val="0"/>
              </w:numPr>
              <w:spacing w:line="440" w:lineRule="exact"/>
              <w:rPr>
                <w:rFonts w:hint="default" w:cs="Arial" w:asciiTheme="minorEastAsia" w:hAnsiTheme="minorEastAsia" w:eastAsiaTheme="minorEastAsia"/>
                <w:color w:val="000000"/>
                <w:sz w:val="24"/>
                <w:lang w:val="en-US" w:eastAsia="zh-CN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◆ </w:t>
            </w:r>
            <w:r>
              <w:rPr>
                <w:rFonts w:cs="Arial" w:asciiTheme="minorEastAsia" w:hAnsiTheme="minorEastAsia" w:eastAsiaTheme="minorEastAsia"/>
                <w:color w:val="000000"/>
                <w:sz w:val="24"/>
              </w:rPr>
              <w:t>系统具通过LED管显示故障代码功能</w:t>
            </w:r>
            <w:r>
              <w:rPr>
                <w:rFonts w:hint="eastAsia" w:cs="Arial" w:asciiTheme="minorEastAsia" w:hAnsiTheme="minorEastAsia" w:eastAsiaTheme="minorEastAsia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cs="Arial" w:asciiTheme="minorEastAsia" w:hAnsiTheme="minorEastAsia" w:eastAsiaTheme="minorEastAsia"/>
                <w:color w:val="000000"/>
                <w:sz w:val="24"/>
                <w:lang w:val="en-US" w:eastAsia="zh-CN"/>
              </w:rPr>
              <w:t>可显示故障名称。</w:t>
            </w:r>
          </w:p>
          <w:p w14:paraId="095C4645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安全底边：当障碍物处在安全光幕保护的盲区或安全光幕保护区，安全底边均可起到安全作用，门体反弹至最高位，有效的保护下方物体或行人避免事故。</w:t>
            </w:r>
          </w:p>
          <w:p w14:paraId="35805807">
            <w:pPr>
              <w:tabs>
                <w:tab w:val="left" w:pos="1485"/>
              </w:tabs>
              <w:spacing w:line="440" w:lineRule="exact"/>
              <w:ind w:right="277" w:rightChars="132"/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>◆ 安全光幕系统：电动硬质快卷门的一种安全防护装置。防护区域垂直方向0.3米至1.5米，设置在门体两侧垂直方向，由8组光电组成，光电交叉方式防护。当关门时防护区域内有物体或行人通过，门体反弹至最高位，起到安全作用。</w:t>
            </w:r>
          </w:p>
          <w:p w14:paraId="2F005E61">
            <w:pPr>
              <w:pStyle w:val="15"/>
              <w:numPr>
                <w:ilvl w:val="0"/>
                <w:numId w:val="0"/>
              </w:numPr>
              <w:tabs>
                <w:tab w:val="left" w:pos="331"/>
              </w:tabs>
              <w:overflowPunct w:val="0"/>
              <w:autoSpaceDE w:val="0"/>
              <w:autoSpaceDN w:val="0"/>
              <w:adjustRightInd w:val="0"/>
              <w:spacing w:line="440" w:lineRule="exact"/>
              <w:ind w:right="80" w:rightChars="0"/>
              <w:rPr>
                <w:rFonts w:cs="ËÎÌå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◆ 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门板采用双面</w:t>
            </w:r>
            <w:r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  <w:t xml:space="preserve"> </w:t>
            </w:r>
            <w:r>
              <w:rPr>
                <w:rFonts w:cs="ËÎÌå" w:asciiTheme="minorEastAsia" w:hAnsiTheme="minorEastAsia" w:eastAsiaTheme="minorEastAsia"/>
                <w:bCs/>
                <w:kern w:val="0"/>
                <w:sz w:val="24"/>
              </w:rPr>
              <w:t>0.7mm</w:t>
            </w:r>
            <w:r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厚双层铝板经流水线一次复合成型，中间填充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val="en-US" w:eastAsia="zh-CN"/>
              </w:rPr>
              <w:t>环保级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防火聚氨酯材料，门板总厚度为</w:t>
            </w:r>
            <w:r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50</w:t>
            </w:r>
            <w:r>
              <w:rPr>
                <w:rFonts w:cs="ËÎÌå" w:asciiTheme="minorEastAsia" w:hAnsiTheme="minorEastAsia" w:eastAsiaTheme="minorEastAsia"/>
                <w:bCs/>
                <w:kern w:val="0"/>
                <w:sz w:val="24"/>
              </w:rPr>
              <w:t>mm</w:t>
            </w:r>
            <w:r>
              <w:rPr>
                <w:rFonts w:hint="eastAsia" w:cs="ËÎÌå" w:asciiTheme="minorEastAsia" w:hAnsiTheme="minorEastAsia" w:eastAsiaTheme="minorEastAsia"/>
                <w:bCs/>
                <w:kern w:val="0"/>
                <w:sz w:val="24"/>
              </w:rPr>
              <w:t>，宽度为256mm,长度根据订单而定，最长可达6000mm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；</w:t>
            </w:r>
          </w:p>
          <w:p w14:paraId="3912F870">
            <w:pPr>
              <w:pStyle w:val="15"/>
              <w:numPr>
                <w:ilvl w:val="0"/>
                <w:numId w:val="0"/>
              </w:numPr>
              <w:tabs>
                <w:tab w:val="left" w:pos="331"/>
              </w:tabs>
              <w:overflowPunct w:val="0"/>
              <w:autoSpaceDE w:val="0"/>
              <w:autoSpaceDN w:val="0"/>
              <w:adjustRightInd w:val="0"/>
              <w:spacing w:line="440" w:lineRule="exact"/>
              <w:ind w:right="80" w:rightChars="0"/>
              <w:rPr>
                <w:rFonts w:cs="ËÎÌå" w:asciiTheme="minorEastAsia" w:hAnsiTheme="minorEastAsia" w:eastAsiaTheme="minorEastAsia"/>
                <w:kern w:val="0"/>
                <w:sz w:val="24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◆ 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门板截面设计为断桥隔热结构，具有保温好、重量轻、强度大、抗冲击等特点，抗风等级</w:t>
            </w:r>
            <w:r>
              <w:rPr>
                <w:rFonts w:cs="ËÎÌå" w:asciiTheme="minorEastAsia" w:hAnsiTheme="minorEastAsia" w:eastAsiaTheme="minorEastAsia"/>
                <w:bCs/>
                <w:kern w:val="0"/>
                <w:sz w:val="24"/>
              </w:rPr>
              <w:t>≤1</w:t>
            </w:r>
            <w:r>
              <w:rPr>
                <w:rFonts w:hint="eastAsia" w:cs="ËÎÌå" w:asciiTheme="minorEastAsia" w:hAnsiTheme="minorEastAsia" w:eastAsiaTheme="minorEastAsia"/>
                <w:bCs/>
                <w:kern w:val="0"/>
                <w:sz w:val="24"/>
              </w:rPr>
              <w:t>0</w:t>
            </w:r>
            <w:r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级；</w:t>
            </w:r>
          </w:p>
          <w:p w14:paraId="795B8D09">
            <w:pPr>
              <w:pStyle w:val="15"/>
              <w:numPr>
                <w:ilvl w:val="0"/>
                <w:numId w:val="1"/>
              </w:numPr>
              <w:spacing w:line="440" w:lineRule="exact"/>
              <w:ind w:left="425" w:leftChars="0" w:hanging="425" w:firstLineChars="0"/>
              <w:rPr>
                <w:rFonts w:hint="eastAsia" w:cs="Arial" w:asciiTheme="minorEastAsia" w:hAnsiTheme="minorEastAsia" w:eastAsiaTheme="minorEastAsia"/>
                <w:color w:val="000000"/>
                <w:sz w:val="24"/>
              </w:rPr>
            </w:pPr>
            <w:r>
              <w:rPr>
                <w:rFonts w:hint="eastAsia" w:cs="Arial" w:asciiTheme="minorEastAsia" w:hAnsiTheme="minorEastAsia" w:eastAsiaTheme="minorEastAsia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◆ 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驱动控制采用</w:t>
            </w:r>
            <w:r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稳定、节能、准确的伺服系统保障门体的可靠运行，无故障运行</w:t>
            </w:r>
            <w:r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  <w:t xml:space="preserve"> 1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val="en-US" w:eastAsia="zh-CN"/>
              </w:rPr>
              <w:t>0</w:t>
            </w:r>
            <w:r>
              <w:rPr>
                <w:rFonts w:cs="宋体" w:asciiTheme="minorEastAsia" w:hAnsiTheme="minorEastAsia" w:eastAsiaTheme="minorEastAsia"/>
                <w:bCs/>
                <w:kern w:val="0"/>
                <w:sz w:val="24"/>
              </w:rPr>
              <w:t xml:space="preserve"> 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</w:rPr>
              <w:t>万次以上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，</w:t>
            </w:r>
            <w:r>
              <w:rPr>
                <w:rFonts w:cs="Arial" w:asciiTheme="minorEastAsia" w:hAnsiTheme="minorEastAsia" w:eastAsiaTheme="minorEastAsia"/>
                <w:color w:val="000000"/>
                <w:sz w:val="24"/>
              </w:rPr>
              <w:t>保温性能K≤0.6W/（㎡•K）</w:t>
            </w:r>
            <w:r>
              <w:rPr>
                <w:rFonts w:hint="eastAsia" w:cs="Arial" w:asciiTheme="minorEastAsia" w:hAnsiTheme="minorEastAsia" w:eastAsiaTheme="minorEastAsia"/>
                <w:color w:val="000000"/>
                <w:sz w:val="24"/>
              </w:rPr>
              <w:t>；防水防尘</w:t>
            </w:r>
            <w:r>
              <w:rPr>
                <w:rFonts w:hint="eastAsia" w:cs="Arial" w:asciiTheme="minorEastAsia" w:hAnsiTheme="minorEastAsia" w:eastAsiaTheme="minorEastAsia"/>
                <w:color w:val="000000"/>
                <w:sz w:val="24"/>
                <w:lang w:val="en-US" w:eastAsia="zh-CN"/>
              </w:rPr>
              <w:t>等级达到IP</w:t>
            </w:r>
            <w:r>
              <w:rPr>
                <w:rFonts w:hint="eastAsia" w:cs="Arial" w:asciiTheme="minorEastAsia" w:hAnsiTheme="minorEastAsia" w:eastAsiaTheme="minorEastAsia"/>
                <w:color w:val="000000"/>
                <w:sz w:val="24"/>
              </w:rPr>
              <w:t>54 级；</w:t>
            </w:r>
            <w:r>
              <w:rPr>
                <w:rFonts w:cs="Arial" w:asciiTheme="minorEastAsia" w:hAnsiTheme="minorEastAsia" w:eastAsiaTheme="minorEastAsia"/>
                <w:sz w:val="24"/>
              </w:rPr>
              <w:t>抗风能力</w:t>
            </w:r>
            <w:r>
              <w:rPr>
                <w:rFonts w:hint="eastAsia" w:cs="Arial" w:asciiTheme="minorEastAsia" w:hAnsiTheme="minorEastAsia" w:eastAsiaTheme="minorEastAsia"/>
                <w:sz w:val="24"/>
              </w:rPr>
              <w:t>达28</w:t>
            </w:r>
            <w:r>
              <w:rPr>
                <w:rFonts w:cs="Arial" w:asciiTheme="minorEastAsia" w:hAnsiTheme="minorEastAsia" w:eastAsiaTheme="minorEastAsia"/>
                <w:sz w:val="24"/>
              </w:rPr>
              <w:t xml:space="preserve"> m/s</w:t>
            </w:r>
          </w:p>
          <w:p w14:paraId="5D84A4E2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1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工作环境温度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 xml:space="preserve"> -25°C～ +65°C</w:t>
            </w:r>
          </w:p>
          <w:p w14:paraId="4894A35F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2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工作电压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AC220V/50Hz</w:t>
            </w:r>
          </w:p>
          <w:p w14:paraId="798E5017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3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环境湿度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≤90%</w:t>
            </w:r>
          </w:p>
          <w:p w14:paraId="43F72393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4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电机类型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稀土永磁同步电机</w:t>
            </w:r>
          </w:p>
          <w:p w14:paraId="1D74816E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5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电机额定功率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750W～2200W</w:t>
            </w:r>
          </w:p>
          <w:p w14:paraId="1799FB60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6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电机额定转速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2000rpm</w:t>
            </w:r>
          </w:p>
          <w:p w14:paraId="0B0649E7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7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电机防护等级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IP54</w:t>
            </w:r>
          </w:p>
          <w:p w14:paraId="7DB7B7BC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8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电机绝缘等级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B级</w:t>
            </w:r>
          </w:p>
          <w:p w14:paraId="5F83DD33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9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门体运行速度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0.6～1.5m/s</w:t>
            </w:r>
          </w:p>
          <w:p w14:paraId="14B99AAC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>10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ascii="宋体" w:hAnsi="宋体" w:cs="宋体"/>
                <w:kern w:val="0"/>
                <w:szCs w:val="21"/>
              </w:rPr>
              <w:t>噪声</w:t>
            </w:r>
            <w:r>
              <w:rPr>
                <w:rFonts w:hint="eastAsia" w:cs="宋体" w:asciiTheme="minorEastAsia" w:hAnsiTheme="minorEastAsia" w:eastAsiaTheme="minorEastAsia"/>
                <w:bCs/>
                <w:kern w:val="0"/>
                <w:sz w:val="24"/>
                <w:lang w:eastAsia="zh-CN"/>
              </w:rPr>
              <w:tab/>
            </w:r>
            <w:r>
              <w:rPr>
                <w:rFonts w:hint="eastAsia" w:ascii="宋体" w:hAnsi="宋体" w:cs="宋体"/>
                <w:kern w:val="0"/>
                <w:szCs w:val="21"/>
              </w:rPr>
              <w:t>≤60dB</w:t>
            </w:r>
          </w:p>
          <w:p w14:paraId="006BBBB8">
            <w:pPr>
              <w:pStyle w:val="15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331"/>
              </w:tabs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/>
              <w:spacing w:line="440" w:lineRule="exact"/>
              <w:ind w:right="0" w:rightChars="0"/>
              <w:textAlignment w:val="auto"/>
              <w:rPr>
                <w:rFonts w:hint="default" w:ascii="宋体" w:hAnsi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8"/>
                <w:szCs w:val="28"/>
                <w:lang w:val="en-US" w:eastAsia="zh-CN"/>
              </w:rPr>
              <w:t>因环境安装问题，需现场勘察，出具施工设计方案效果图纸，使用方审核通过后，方可报价。需上传使用方出具的现场勘察证明。</w:t>
            </w:r>
          </w:p>
        </w:tc>
      </w:tr>
      <w:tr w14:paraId="0D490F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  <w:jc w:val="center"/>
        </w:trPr>
        <w:tc>
          <w:tcPr>
            <w:tcW w:w="620" w:type="dxa"/>
            <w:vMerge w:val="continue"/>
            <w:vAlign w:val="center"/>
          </w:tcPr>
          <w:p w14:paraId="7358F40C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780" w:type="dxa"/>
            <w:vMerge w:val="continue"/>
            <w:vAlign w:val="center"/>
          </w:tcPr>
          <w:p w14:paraId="07340F30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515" w:type="dxa"/>
            <w:vAlign w:val="center"/>
          </w:tcPr>
          <w:p w14:paraId="3574A533">
            <w:pPr>
              <w:widowControl/>
              <w:spacing w:line="240" w:lineRule="auto"/>
              <w:jc w:val="center"/>
              <w:textAlignment w:val="center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3.1*3.57（净空尺寸）*1</w:t>
            </w:r>
          </w:p>
        </w:tc>
        <w:tc>
          <w:tcPr>
            <w:tcW w:w="900" w:type="dxa"/>
            <w:vMerge w:val="continue"/>
            <w:vAlign w:val="center"/>
          </w:tcPr>
          <w:p w14:paraId="0E432F3A">
            <w:pPr>
              <w:widowControl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6785" w:type="dxa"/>
            <w:vMerge w:val="continue"/>
            <w:vAlign w:val="center"/>
          </w:tcPr>
          <w:p w14:paraId="2594C693">
            <w:pPr>
              <w:spacing w:line="240" w:lineRule="auto"/>
              <w:ind w:left="574" w:leftChars="102" w:hanging="360" w:hangingChars="150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</w:p>
        </w:tc>
      </w:tr>
      <w:tr w14:paraId="7E983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0600" w:type="dxa"/>
            <w:gridSpan w:val="5"/>
            <w:vAlign w:val="center"/>
          </w:tcPr>
          <w:p w14:paraId="09B0AA2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中标单位需提供（但不限于）以下资质：</w:t>
            </w:r>
          </w:p>
          <w:p w14:paraId="09D9F70B">
            <w:pPr>
              <w:keepNext w:val="0"/>
              <w:keepLines w:val="0"/>
              <w:widowControl/>
              <w:suppressLineNumbers w:val="0"/>
              <w:spacing w:line="24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1.厂家授权书证书复印件；2、厂家安全生产许可证；3、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de-DE" w:eastAsia="zh-CN"/>
              </w:rPr>
              <w:t>安防《设计、施工、维修资格证》肆级以上；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4、专精特新【小巨人企业】 5、国家级高新技术企业 6、企业信用评价 AAA 级信用企业</w:t>
            </w:r>
          </w:p>
          <w:p w14:paraId="7CE45FD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FF0000"/>
                <w:sz w:val="24"/>
                <w:szCs w:val="24"/>
                <w:lang w:val="en-US" w:eastAsia="zh-CN"/>
              </w:rPr>
              <w:t>7、所有产品的主要部件门体、电机、主控须为同一品牌、同一生产厂家。</w:t>
            </w:r>
          </w:p>
        </w:tc>
      </w:tr>
    </w:tbl>
    <w:p w14:paraId="10FE55D0">
      <w:pPr>
        <w:spacing w:line="240" w:lineRule="auto"/>
        <w:rPr>
          <w:rFonts w:hint="eastAsia" w:ascii="宋体" w:hAnsi="宋体" w:eastAsia="宋体" w:cs="宋体"/>
          <w:sz w:val="24"/>
          <w:szCs w:val="24"/>
        </w:rPr>
      </w:pPr>
      <w:bookmarkStart w:id="0" w:name="_GoBack"/>
      <w:bookmarkEnd w:id="0"/>
    </w:p>
    <w:sectPr>
      <w:pgSz w:w="11906" w:h="16838"/>
      <w:pgMar w:top="1440" w:right="1406" w:bottom="952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decorative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ËÎÌå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9D0BAF4"/>
    <w:multiLevelType w:val="singleLevel"/>
    <w:tmpl w:val="D9D0BAF4"/>
    <w:lvl w:ilvl="0" w:tentative="0">
      <w:start w:val="1"/>
      <w:numFmt w:val="decimal"/>
      <w:lvlText w:val="%1."/>
      <w:lvlJc w:val="left"/>
      <w:pPr>
        <w:ind w:left="63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I5M2YxMWI4ZTI1YmZjYzcyYzUyMDQyM2NlZTMzNDAifQ=="/>
  </w:docVars>
  <w:rsids>
    <w:rsidRoot w:val="0832658B"/>
    <w:rsid w:val="003666CC"/>
    <w:rsid w:val="008A67B7"/>
    <w:rsid w:val="0575419C"/>
    <w:rsid w:val="0832658B"/>
    <w:rsid w:val="0B8E420A"/>
    <w:rsid w:val="0C5F4797"/>
    <w:rsid w:val="0CD8042E"/>
    <w:rsid w:val="13EC377E"/>
    <w:rsid w:val="156E3B31"/>
    <w:rsid w:val="1B944D7D"/>
    <w:rsid w:val="1BA235D8"/>
    <w:rsid w:val="1C18571A"/>
    <w:rsid w:val="22232BC2"/>
    <w:rsid w:val="22D30829"/>
    <w:rsid w:val="239F090A"/>
    <w:rsid w:val="28A46CA2"/>
    <w:rsid w:val="314A45AB"/>
    <w:rsid w:val="37986A57"/>
    <w:rsid w:val="3ABD23EC"/>
    <w:rsid w:val="3ADF04ED"/>
    <w:rsid w:val="3B914DF6"/>
    <w:rsid w:val="3E0B2E38"/>
    <w:rsid w:val="3FCE3087"/>
    <w:rsid w:val="404E2735"/>
    <w:rsid w:val="41AE7428"/>
    <w:rsid w:val="4C1A1006"/>
    <w:rsid w:val="53187D0C"/>
    <w:rsid w:val="56CD45B6"/>
    <w:rsid w:val="5A1F5D26"/>
    <w:rsid w:val="5B984680"/>
    <w:rsid w:val="5E8E347A"/>
    <w:rsid w:val="61AB4782"/>
    <w:rsid w:val="63B31507"/>
    <w:rsid w:val="6649491D"/>
    <w:rsid w:val="668D0E90"/>
    <w:rsid w:val="6CAE4E67"/>
    <w:rsid w:val="6DA647A4"/>
    <w:rsid w:val="72CA214F"/>
    <w:rsid w:val="73B2330F"/>
    <w:rsid w:val="74936C9D"/>
    <w:rsid w:val="74CD1347"/>
    <w:rsid w:val="75654182"/>
    <w:rsid w:val="76AE24B4"/>
    <w:rsid w:val="7E374551"/>
    <w:rsid w:val="7E4B1B62"/>
    <w:rsid w:val="7EF90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line="480" w:lineRule="auto"/>
      <w:jc w:val="left"/>
      <w:outlineLvl w:val="1"/>
    </w:pPr>
    <w:rPr>
      <w:rFonts w:ascii="黑体" w:hAnsi="Arial" w:eastAsia="黑体"/>
      <w:b/>
      <w:bCs/>
      <w:kern w:val="0"/>
      <w:sz w:val="28"/>
      <w:szCs w:val="28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rPr>
      <w:sz w:val="28"/>
    </w:rPr>
  </w:style>
  <w:style w:type="paragraph" w:styleId="4">
    <w:name w:val="Body Text Indent"/>
    <w:basedOn w:val="1"/>
    <w:next w:val="1"/>
    <w:qFormat/>
    <w:uiPriority w:val="0"/>
    <w:pPr>
      <w:spacing w:line="540" w:lineRule="exact"/>
      <w:ind w:firstLine="480" w:firstLineChars="200"/>
    </w:pPr>
    <w:rPr>
      <w:sz w:val="24"/>
    </w:rPr>
  </w:style>
  <w:style w:type="paragraph" w:styleId="5">
    <w:name w:val="toc 2"/>
    <w:basedOn w:val="1"/>
    <w:next w:val="1"/>
    <w:qFormat/>
    <w:uiPriority w:val="39"/>
    <w:pPr>
      <w:ind w:left="210"/>
      <w:jc w:val="left"/>
    </w:pPr>
    <w:rPr>
      <w:smallCaps/>
      <w:sz w:val="20"/>
    </w:rPr>
  </w:style>
  <w:style w:type="paragraph" w:styleId="6">
    <w:name w:val="Body Text First Indent 2"/>
    <w:basedOn w:val="4"/>
    <w:next w:val="1"/>
    <w:qFormat/>
    <w:uiPriority w:val="0"/>
    <w:pPr>
      <w:spacing w:after="120" w:afterLines="0" w:line="240" w:lineRule="auto"/>
      <w:ind w:left="420" w:leftChars="200" w:firstLine="420"/>
    </w:pPr>
    <w:rPr>
      <w:sz w:val="21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列出段落1"/>
    <w:basedOn w:val="1"/>
    <w:qFormat/>
    <w:uiPriority w:val="0"/>
    <w:pPr>
      <w:ind w:firstLine="420" w:firstLineChars="200"/>
    </w:pPr>
  </w:style>
  <w:style w:type="table" w:customStyle="1" w:styleId="11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三级条标题"/>
    <w:basedOn w:val="13"/>
    <w:next w:val="1"/>
    <w:qFormat/>
    <w:uiPriority w:val="99"/>
    <w:pPr>
      <w:outlineLvl w:val="4"/>
    </w:pPr>
  </w:style>
  <w:style w:type="paragraph" w:customStyle="1" w:styleId="13">
    <w:name w:val="二级条标题"/>
    <w:basedOn w:val="14"/>
    <w:next w:val="1"/>
    <w:qFormat/>
    <w:uiPriority w:val="99"/>
    <w:pPr>
      <w:outlineLvl w:val="3"/>
    </w:pPr>
  </w:style>
  <w:style w:type="paragraph" w:customStyle="1" w:styleId="14">
    <w:name w:val="一级条标题"/>
    <w:next w:val="1"/>
    <w:qFormat/>
    <w:uiPriority w:val="99"/>
    <w:pPr>
      <w:spacing w:beforeLines="50" w:afterLines="50"/>
      <w:outlineLvl w:val="2"/>
    </w:pPr>
    <w:rPr>
      <w:rFonts w:ascii="黑体" w:hAnsi="Times New Roman" w:eastAsia="黑体" w:cs="Times New Roman"/>
      <w:sz w:val="21"/>
      <w:szCs w:val="21"/>
      <w:lang w:val="en-US" w:eastAsia="zh-CN" w:bidi="ar-SA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1372</Words>
  <Characters>1484</Characters>
  <Lines>0</Lines>
  <Paragraphs>0</Paragraphs>
  <TotalTime>14</TotalTime>
  <ScaleCrop>false</ScaleCrop>
  <LinksUpToDate>false</LinksUpToDate>
  <CharactersWithSpaces>1545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2021-07-07T08:39:00Z</dcterms:created>
  <dc:creator>Administrator</dc:creator>
  <cp:lastModifiedBy>周周周董 </cp:lastModifiedBy>
  <cp:lastPrinted>2025-04-09T05:23:00Z</cp:lastPrinted>
  <dcterms:modified xsi:type="dcterms:W3CDTF">2025-04-16T03:43:28Z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290590F2E9704541BBA0BFB631A01DDF_13</vt:lpwstr>
  </property>
  <property fmtid="{D5CDD505-2E9C-101B-9397-08002B2CF9AE}" pid="4" name="KSOTemplateDocerSaveRecord">
    <vt:lpwstr>eyJoZGlkIjoiMzBmMGY1NDhhM2RiM2MwZDFlNWZkYjJlZjdiNjI4NDciLCJ1c2VySWQiOiIyMTc2MTc0NzYifQ==</vt:lpwstr>
  </property>
</Properties>
</file>