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539A9">
      <w:pPr>
        <w:pStyle w:val="2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  <w:t>乌鲁木齐市口腔医院水电暖维修工采购内容及要求</w:t>
      </w:r>
    </w:p>
    <w:p w14:paraId="46E12644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一、项目概况</w:t>
      </w:r>
    </w:p>
    <w:p w14:paraId="1483D09B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乌鲁木齐市口腔医院为保障医院（准噶尔街777号）及中山路院区水电暖系统稳定运行，现公开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采购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水电暖维修工物业服务。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成交方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需按要求派遣专业人员，承担两院区日常水电暖设施维护、故障维修及应急处置工作，确保医疗工作正常开展与患者、医护人员的舒适就医环境。</w:t>
      </w:r>
    </w:p>
    <w:p w14:paraId="1499737F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采购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内容</w:t>
      </w:r>
    </w:p>
    <w:p w14:paraId="7A9620DC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（一）人员配置与资质</w:t>
      </w:r>
    </w:p>
    <w:p w14:paraId="4E98B0B5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成交方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需委派 7 名水电暖维修人员，</w:t>
      </w:r>
      <w:r>
        <w:rPr>
          <w:rFonts w:hint="eastAsia"/>
          <w:sz w:val="32"/>
          <w:szCs w:val="40"/>
        </w:rPr>
        <w:t>要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求身体健康，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四肢健全，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无不良嗜</w:t>
      </w:r>
      <w:r>
        <w:rPr>
          <w:rFonts w:hint="eastAsia"/>
          <w:sz w:val="32"/>
          <w:szCs w:val="40"/>
        </w:rPr>
        <w:t>好</w:t>
      </w:r>
      <w:r>
        <w:rPr>
          <w:rFonts w:hint="eastAsia"/>
          <w:sz w:val="32"/>
          <w:szCs w:val="40"/>
          <w:lang w:eastAsia="zh-CN"/>
        </w:rPr>
        <w:t>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其中中山路院区 1 人，医院（准噶尔街777号） 6 人。所有人员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必须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持有中华人民共和国特种设备操作证（电工作业），且具备水暖维修及日常一般维修技能，同时需满足以下专业要求：</w:t>
      </w:r>
    </w:p>
    <w:p w14:paraId="59106D99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1.电工专业技能：熟练掌握医院电气系统的安装、调试、维护与故障排查，包括配电柜、配电箱、照明线路、插座电路、医疗设备供电线路等；能独立处理线路短路、漏电、设备不工作等常见电气故障；熟悉电气安全规范，具备电气火灾预防与应急处理能力。</w:t>
      </w:r>
    </w:p>
    <w:p w14:paraId="767854FF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2.水暖维修技能：精通医院给排水系统、供暖系统的维修与保养，能处理水管漏水、管道堵塞、阀门损坏、暖气不热、散热器故障等问题；掌握水暖设备（如水泵、热水器、锅炉辅助设备等）的维修技术，熟悉水暖系统的运行原理与操作流程。</w:t>
      </w:r>
    </w:p>
    <w:p w14:paraId="75F7291E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3.日常维修技能：具备对医院门窗、桌椅、隔断、小型器械等设施的维修能力；能进行简单的木工、金属加工等工作，保障医院各类设施的正常使用。</w:t>
      </w:r>
    </w:p>
    <w:p w14:paraId="345F8D73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（二）具体工作内容</w:t>
      </w:r>
    </w:p>
    <w:p w14:paraId="5E430BFE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1.日常巡检与维护</w:t>
      </w:r>
    </w:p>
    <w:p w14:paraId="5FC4BEB3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制定详细的水电暖设施巡检计划，每日对两院区的配电室、水泵房、锅炉房、卫生间、病房、诊室、走廊等区域的水电暖设施进行全面巡检，包括线路、管道、阀门、开关、插座、灯具、水龙头、暖气片等设备。</w:t>
      </w:r>
    </w:p>
    <w:p w14:paraId="075602CF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记录巡检情况，对发现的隐患和问题及时处理，如紧固松动部件、更换损坏零件、清理管道杂物等；无法当场解决的问题，需及时上报并跟踪处理进度。</w:t>
      </w:r>
    </w:p>
    <w:p w14:paraId="0C37794A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定期对水电暖设备进行保养，如对水泵添加润滑油、对配电柜进行除尘、对阀门进行防锈处理、对供暖系统进行水质检测与维护等，确保设备处于良好运行状态。</w:t>
      </w:r>
    </w:p>
    <w:p w14:paraId="3A7ACF50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2.故障维修</w:t>
      </w:r>
    </w:p>
    <w:p w14:paraId="72D4966E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接到报修通知后，需在 10 分钟内响应（特殊情况除外），并携带相应工具和配件迅速到达现场。准确判断故障原因，制定合理的维修方案，高效完成水电暖故障维修工作，如修复漏水的水管、排除电路故障、解决供暖系统不热问题等。维修完成后，清理现场杂物，恢复设施原貌，并向报修科室反馈维修结果，确保维修质量。</w:t>
      </w:r>
    </w:p>
    <w:p w14:paraId="0C786D32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3.应急处理</w:t>
      </w:r>
    </w:p>
    <w:p w14:paraId="68F21FA0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熟悉医院水电暖突发事件应急预案，在发生停水、停电、停暖、水管爆裂、电气火灾等紧急情况时，第一时间到达现场，采取有效措施控制事态发展，如关闭阀门、切断电源、疏散人员等。</w:t>
      </w:r>
    </w:p>
    <w:p w14:paraId="009CBA67">
      <w:pPr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按照应急预案流程，配合医院相关部门进行应急抢修工作，尽快恢复水电暖供应，并详细记录事件经过与处理结果。</w:t>
      </w:r>
    </w:p>
    <w:p w14:paraId="405C1CC1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4.配合其他工作</w:t>
      </w:r>
    </w:p>
    <w:p w14:paraId="0FDDE86A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积极配合医院的基建、装修、改造等工程，提供水电暖方面的技术支持与施工配合，如预留管道接口、调整线路布局等。</w:t>
      </w:r>
    </w:p>
    <w:p w14:paraId="538FFF4D">
      <w:pPr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协助医院开展水电暖安全宣传与培训工作，向医护人员和患者普及安全用水、用电、用暖知识。</w:t>
      </w:r>
    </w:p>
    <w:p w14:paraId="75AE2B59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三、</w:t>
      </w: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采购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要求</w:t>
      </w:r>
    </w:p>
    <w:p w14:paraId="3857019A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（一）人员要求</w:t>
      </w:r>
    </w:p>
    <w:p w14:paraId="6038767E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服从院方管理，身体健康，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四肢健全、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无传染性疾病、无不良嗜好，年龄不超过 50 周岁，能够适应高强度工作。</w:t>
      </w:r>
    </w:p>
    <w:p w14:paraId="33F1C937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上岗期间必须使用国家通用语言进行沟通，具备良好的沟通能力，能够准确理解院方工作要求，清晰反馈维修情况及问题。</w:t>
      </w:r>
    </w:p>
    <w:p w14:paraId="7F065FBB">
      <w:pPr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具备高度的责任心，工作态度严谨，能够严格遵守医院各项规章制度，维护医院利益，做到勤俭节约，杜绝浪费水电资源等行为。</w:t>
      </w:r>
    </w:p>
    <w:p w14:paraId="6C0AD483">
      <w:pPr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熟练掌握水电暖维修专业技能，熟悉各类维修工具、设备的操作使用，具备独立解决常见故障的能力。同时，需在入职后 3 个工作日内快速熟悉医院工作环境、水电暖设施分布及运行状况。</w:t>
      </w:r>
    </w:p>
    <w:p w14:paraId="2DD92BA5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（二）工作要求</w:t>
      </w:r>
    </w:p>
    <w:p w14:paraId="1A0DC862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维修人员实行 24 小时轮班值守制度，确保医院水电暖设施全天候得到监控与维护。值班期间不得擅离职守，随时响应医院的维修需求，接到报修通知后，须在十分钟内到达现场进行处理 。</w:t>
      </w:r>
    </w:p>
    <w:p w14:paraId="11DD31ED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当医院出现突发事件（如水电暖设施严重故障、自然灾害等）时，第一时间根据医院应急预案做好处置工作，采取有效措施保障医院正常运转及人员生命财产安全，并及时向院方相关部门汇报事件进展及处理情况。</w:t>
      </w:r>
    </w:p>
    <w:p w14:paraId="761813B8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（三）人员管理要求</w:t>
      </w:r>
    </w:p>
    <w:p w14:paraId="362B7FB1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人员数量可根据医院实际情况进行增减，费用结算参照中标金额平均到人后，按实际派遣人数及岗位执行。</w:t>
      </w:r>
    </w:p>
    <w:p w14:paraId="7F946C01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若需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进行人员更换，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成交方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需提前三个工作日向院方总务科报备，并将新进人员相关信息资料（包括但不限于身份证、特种设备操作证、健康证明、无犯罪记录证明等政审及证件查验资料）提交审核，经院方同意后方可安排新人员上岗。</w:t>
      </w:r>
    </w:p>
    <w:p w14:paraId="4F16DD0B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若人员不符合医院要求，院方有权要求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成交方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在三个工作日内完成人员更换，确保服务质量不受影响。</w:t>
      </w:r>
    </w:p>
    <w:p w14:paraId="6EEE958F">
      <w:p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（四）合同管理要求</w:t>
      </w:r>
    </w:p>
    <w:p w14:paraId="43D9AEDF">
      <w:pPr>
        <w:ind w:firstLine="60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合同期为一年。一年期合同结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束后，</w:t>
      </w:r>
      <w:r>
        <w:rPr>
          <w:rFonts w:hint="eastAsia" w:cstheme="minorBidi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在年度预算能保障的前提下，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若院方对服务满意度达标，经医院研究同意，可以续签合同。续签合同期为一年，最多续签两次，且总合同时长不得超过三年，合同价格及内容保持不变。</w:t>
      </w:r>
    </w:p>
    <w:p w14:paraId="3840877E">
      <w:pPr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成交方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须严格执行上级和医院的各项规定，如有违反，医院将根据内部考核办法对中标单位进行考核，包括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但不限于扣除服务费用、通报批评、终止合同等措施。</w:t>
      </w:r>
    </w:p>
    <w:p w14:paraId="640BF258">
      <w:pPr>
        <w:numPr>
          <w:ilvl w:val="0"/>
          <w:numId w:val="1"/>
        </w:numPr>
        <w:ind w:firstLine="602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其他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要求</w:t>
      </w:r>
    </w:p>
    <w:p w14:paraId="4A869941">
      <w:pPr>
        <w:numPr>
          <w:ilvl w:val="0"/>
          <w:numId w:val="0"/>
        </w:numPr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 xml:space="preserve">       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需上传不少于两次与医疗机构的合作业绩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。</w:t>
      </w:r>
    </w:p>
    <w:p w14:paraId="3462CDAF">
      <w:pPr>
        <w:jc w:val="left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DD03D"/>
    <w:multiLevelType w:val="singleLevel"/>
    <w:tmpl w:val="595DD03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1D925D94"/>
    <w:rsid w:val="314470A5"/>
    <w:rsid w:val="320E01A3"/>
    <w:rsid w:val="527E1E32"/>
    <w:rsid w:val="57F36589"/>
    <w:rsid w:val="5A051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2048</Words>
  <Characters>2062</Characters>
  <TotalTime>9</TotalTime>
  <ScaleCrop>false</ScaleCrop>
  <LinksUpToDate>false</LinksUpToDate>
  <CharactersWithSpaces>2085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2025-04-27T08:15:00Z</dcterms:created>
  <dc:creator>Un-named</dc:creator>
  <cp:lastModifiedBy>只为自己</cp:lastModifiedBy>
  <cp:lastPrinted>2025-04-28T04:54:00Z</cp:lastPrinted>
  <dcterms:modified xsi:type="dcterms:W3CDTF">2025-06-11T05:06:16Z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eyJoZGlkIjoiZWRmZjIwZjVmZmQ2N2JlMDNiNzg3OTg2ZTcwOTE4YWIiLCJ1c2VySWQiOiI0MDYwMTI5NzUifQ==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6A797F86E7D94852B072AB9E7D52C953_13</vt:lpwstr>
  </property>
</Properties>
</file>