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pageBreakBefore w:val="0"/>
        <w:widowControl w:val="0"/>
        <w:kinsoku/>
        <w:wordWrap/>
        <w:overflowPunct/>
        <w:topLinePunct w:val="0"/>
        <w:autoSpaceDE/>
        <w:autoSpaceDN/>
        <w:bidi w:val="0"/>
        <w:adjustRightInd/>
        <w:snapToGrid/>
        <w:spacing w:after="0" w:line="520" w:lineRule="exact"/>
        <w:textAlignment w:val="auto"/>
        <w:rPr>
          <w:rFonts w:hint="default" w:ascii="方正小标宋_GBK" w:hAnsi="方正小标宋_GBK" w:eastAsia="方正小标宋_GBK" w:cs="方正小标宋_GBK"/>
          <w:sz w:val="44"/>
          <w:szCs w:val="44"/>
          <w:lang w:val="en-US"/>
        </w:rPr>
      </w:pPr>
      <w:r>
        <w:rPr>
          <w:rFonts w:hint="eastAsia" w:ascii="方正小标宋_GBK" w:hAnsi="方正小标宋_GBK" w:eastAsia="方正小标宋_GBK" w:cs="方正小标宋_GBK"/>
          <w:sz w:val="44"/>
          <w:szCs w:val="44"/>
          <w:lang w:val="en-US" w:eastAsia="zh-CN"/>
        </w:rPr>
        <w:t>乌鲁木齐市</w:t>
      </w:r>
      <w:r>
        <w:rPr>
          <w:rFonts w:hint="eastAsia" w:ascii="方正小标宋_GBK" w:hAnsi="方正小标宋_GBK" w:eastAsia="方正小标宋_GBK" w:cs="方正小标宋_GBK"/>
          <w:sz w:val="44"/>
          <w:szCs w:val="44"/>
        </w:rPr>
        <w:t>义务教育学校作业监测</w:t>
      </w:r>
      <w:r>
        <w:rPr>
          <w:rFonts w:hint="eastAsia" w:ascii="方正小标宋_GBK" w:hAnsi="方正小标宋_GBK" w:eastAsia="方正小标宋_GBK" w:cs="方正小标宋_GBK"/>
          <w:sz w:val="44"/>
          <w:szCs w:val="44"/>
          <w:lang w:val="en-US" w:eastAsia="zh-CN"/>
        </w:rPr>
        <w:t>服务采购需求</w:t>
      </w:r>
    </w:p>
    <w:p>
      <w:pPr>
        <w:pageBreakBefore w:val="0"/>
        <w:widowControl w:val="0"/>
        <w:kinsoku/>
        <w:wordWrap/>
        <w:overflowPunct/>
        <w:topLinePunct w:val="0"/>
        <w:autoSpaceDE/>
        <w:autoSpaceDN/>
        <w:bidi w:val="0"/>
        <w:adjustRightInd/>
        <w:snapToGrid/>
        <w:spacing w:line="520" w:lineRule="exact"/>
        <w:ind w:left="0"/>
        <w:jc w:val="both"/>
        <w:textAlignment w:val="auto"/>
        <w:rPr>
          <w:rFonts w:ascii="楷体" w:hAnsi="楷体"/>
          <w:sz w:val="32"/>
          <w:szCs w:val="32"/>
        </w:rPr>
      </w:pPr>
    </w:p>
    <w:p>
      <w:pPr>
        <w:pStyle w:val="2"/>
        <w:pageBreakBefore w:val="0"/>
        <w:widowControl w:val="0"/>
        <w:kinsoku/>
        <w:wordWrap/>
        <w:overflowPunct/>
        <w:topLinePunct w:val="0"/>
        <w:autoSpaceDE/>
        <w:autoSpaceDN/>
        <w:bidi w:val="0"/>
        <w:adjustRightInd/>
        <w:snapToGrid/>
        <w:spacing w:before="0" w:after="0" w:line="520" w:lineRule="exact"/>
        <w:ind w:left="0"/>
        <w:textAlignment w:val="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lang w:val="en-US" w:eastAsia="zh-CN"/>
        </w:rPr>
        <w:t>一、</w:t>
      </w:r>
      <w:r>
        <w:rPr>
          <w:rFonts w:hint="eastAsia" w:ascii="方正黑体_GBK" w:hAnsi="方正黑体_GBK" w:eastAsia="方正黑体_GBK" w:cs="方正黑体_GBK"/>
          <w:b w:val="0"/>
          <w:bCs/>
          <w:sz w:val="32"/>
          <w:szCs w:val="32"/>
        </w:rPr>
        <w:t>项目概述</w:t>
      </w:r>
    </w:p>
    <w:p>
      <w:pPr>
        <w:pStyle w:val="3"/>
        <w:pageBreakBefore w:val="0"/>
        <w:widowControl w:val="0"/>
        <w:numPr>
          <w:ilvl w:val="0"/>
          <w:numId w:val="0"/>
        </w:numPr>
        <w:kinsoku/>
        <w:wordWrap/>
        <w:overflowPunct/>
        <w:topLinePunct w:val="0"/>
        <w:autoSpaceDE/>
        <w:autoSpaceDN/>
        <w:bidi w:val="0"/>
        <w:adjustRightInd/>
        <w:snapToGrid/>
        <w:spacing w:before="0" w:after="0" w:line="520" w:lineRule="exact"/>
        <w:textAlignment w:val="auto"/>
        <w:rPr>
          <w:rFonts w:hint="eastAsia" w:ascii="方正楷体_GBK" w:hAnsi="方正楷体_GBK" w:eastAsia="方正楷体_GBK" w:cs="方正楷体_GBK"/>
          <w:b w:val="0"/>
          <w:bCs/>
        </w:rPr>
      </w:pPr>
      <w:r>
        <w:rPr>
          <w:rFonts w:hint="eastAsia" w:ascii="方正楷体_GBK" w:hAnsi="方正楷体_GBK" w:eastAsia="方正楷体_GBK" w:cs="方正楷体_GBK"/>
          <w:b w:val="0"/>
          <w:bCs/>
          <w:lang w:val="en-US" w:eastAsia="zh-CN"/>
        </w:rPr>
        <w:t>1、</w:t>
      </w:r>
      <w:r>
        <w:rPr>
          <w:rFonts w:hint="eastAsia" w:ascii="方正楷体_GBK" w:hAnsi="方正楷体_GBK" w:eastAsia="方正楷体_GBK" w:cs="方正楷体_GBK"/>
          <w:b w:val="0"/>
          <w:bCs/>
        </w:rPr>
        <w:t>项目背景</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为落实国家义务教育减负政策，解决当前学校作业管理中存在的不透明、不合理问题，同时回应家长和社会对学生课业负担过重的高度关注，建设一套科学高效的义务教育学校作业监测</w:t>
      </w:r>
      <w:r>
        <w:rPr>
          <w:rFonts w:hint="eastAsia" w:ascii="方正仿宋_GBK" w:hAnsi="方正仿宋_GBK" w:eastAsia="方正仿宋_GBK" w:cs="方正仿宋_GBK"/>
          <w:sz w:val="32"/>
          <w:szCs w:val="32"/>
          <w:lang w:val="en-US" w:eastAsia="zh-CN"/>
        </w:rPr>
        <w:t>机制</w:t>
      </w:r>
      <w:r>
        <w:rPr>
          <w:rFonts w:hint="eastAsia" w:ascii="方正仿宋_GBK" w:hAnsi="方正仿宋_GBK" w:eastAsia="方正仿宋_GBK" w:cs="方正仿宋_GBK"/>
          <w:sz w:val="32"/>
          <w:szCs w:val="32"/>
        </w:rPr>
        <w:t>成为当务之急。</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目前，许多学校在作业布置上缺乏统一标准和数据支撑，导致作业量难以精准把控，学科间协调不足，甚至出现学生负担过重或学习效果不佳的情况。随着大数据、人工智能等技术的快速发展，通过技术手段对作业进行全流程监测、分析和优化成为可能。</w:t>
      </w:r>
      <w:r>
        <w:rPr>
          <w:rFonts w:hint="eastAsia" w:ascii="方正仿宋_GBK" w:hAnsi="方正仿宋_GBK" w:eastAsia="方正仿宋_GBK" w:cs="方正仿宋_GBK"/>
          <w:sz w:val="32"/>
          <w:szCs w:val="32"/>
          <w:lang w:val="en-US" w:eastAsia="zh-CN"/>
        </w:rPr>
        <w:t>作业监测服务</w:t>
      </w:r>
      <w:r>
        <w:rPr>
          <w:rFonts w:hint="eastAsia" w:ascii="方正仿宋_GBK" w:hAnsi="方正仿宋_GBK" w:eastAsia="方正仿宋_GBK" w:cs="方正仿宋_GBK"/>
          <w:sz w:val="32"/>
          <w:szCs w:val="32"/>
        </w:rPr>
        <w:t>不仅能够帮助教育</w:t>
      </w:r>
      <w:r>
        <w:rPr>
          <w:rFonts w:hint="eastAsia" w:ascii="方正仿宋_GBK" w:hAnsi="方正仿宋_GBK" w:eastAsia="方正仿宋_GBK" w:cs="方正仿宋_GBK"/>
          <w:sz w:val="32"/>
          <w:szCs w:val="32"/>
          <w:lang w:val="en-US" w:eastAsia="zh-CN"/>
        </w:rPr>
        <w:t>行政</w:t>
      </w:r>
      <w:r>
        <w:rPr>
          <w:rFonts w:hint="eastAsia" w:ascii="方正仿宋_GBK" w:hAnsi="方正仿宋_GBK" w:eastAsia="方正仿宋_GBK" w:cs="方正仿宋_GBK"/>
          <w:sz w:val="32"/>
          <w:szCs w:val="32"/>
        </w:rPr>
        <w:t>部门和学校实时掌握各年级、各学科作业情况，还能为教师提供科学的数据支持，助力作业设计更加合理高效。同时，通过</w:t>
      </w:r>
      <w:r>
        <w:rPr>
          <w:rFonts w:hint="eastAsia" w:ascii="方正仿宋_GBK" w:hAnsi="方正仿宋_GBK" w:eastAsia="方正仿宋_GBK" w:cs="方正仿宋_GBK"/>
          <w:sz w:val="32"/>
          <w:szCs w:val="32"/>
          <w:lang w:val="en-US" w:eastAsia="zh-CN"/>
        </w:rPr>
        <w:t>监测服务</w:t>
      </w:r>
      <w:r>
        <w:rPr>
          <w:rFonts w:hint="eastAsia" w:ascii="方正仿宋_GBK" w:hAnsi="方正仿宋_GBK" w:eastAsia="方正仿宋_GBK" w:cs="方正仿宋_GBK"/>
          <w:sz w:val="32"/>
          <w:szCs w:val="32"/>
        </w:rPr>
        <w:t>的透明化运作，</w:t>
      </w:r>
      <w:r>
        <w:rPr>
          <w:rFonts w:hint="eastAsia" w:ascii="方正仿宋_GBK" w:hAnsi="方正仿宋_GBK" w:eastAsia="方正仿宋_GBK" w:cs="方正仿宋_GBK"/>
          <w:sz w:val="32"/>
          <w:szCs w:val="32"/>
          <w:lang w:val="en-US" w:eastAsia="zh-CN"/>
        </w:rPr>
        <w:t>教育行政部门、学生</w:t>
      </w:r>
      <w:r>
        <w:rPr>
          <w:rFonts w:hint="eastAsia" w:ascii="方正仿宋_GBK" w:hAnsi="方正仿宋_GBK" w:eastAsia="方正仿宋_GBK" w:cs="方正仿宋_GBK"/>
          <w:sz w:val="32"/>
          <w:szCs w:val="32"/>
        </w:rPr>
        <w:t>家长</w:t>
      </w:r>
      <w:r>
        <w:rPr>
          <w:rFonts w:hint="eastAsia" w:ascii="方正仿宋_GBK" w:hAnsi="方正仿宋_GBK" w:eastAsia="方正仿宋_GBK" w:cs="方正仿宋_GBK"/>
          <w:sz w:val="32"/>
          <w:szCs w:val="32"/>
          <w:lang w:val="en-US" w:eastAsia="zh-CN"/>
        </w:rPr>
        <w:t>等</w:t>
      </w:r>
      <w:r>
        <w:rPr>
          <w:rFonts w:hint="eastAsia" w:ascii="方正仿宋_GBK" w:hAnsi="方正仿宋_GBK" w:eastAsia="方正仿宋_GBK" w:cs="方正仿宋_GBK"/>
          <w:sz w:val="32"/>
          <w:szCs w:val="32"/>
        </w:rPr>
        <w:t>可以及时了解孩子的学习任务，增强家校协同育人的效果。最终推动作业管理的精细化与科学化，切实减轻学生负担，提升教学质量，促进教育公平与可持续发展。</w:t>
      </w:r>
    </w:p>
    <w:p>
      <w:pPr>
        <w:pStyle w:val="3"/>
        <w:pageBreakBefore w:val="0"/>
        <w:widowControl w:val="0"/>
        <w:numPr>
          <w:ilvl w:val="0"/>
          <w:numId w:val="0"/>
        </w:numPr>
        <w:kinsoku/>
        <w:wordWrap/>
        <w:overflowPunct/>
        <w:topLinePunct w:val="0"/>
        <w:autoSpaceDE/>
        <w:autoSpaceDN/>
        <w:bidi w:val="0"/>
        <w:adjustRightInd/>
        <w:snapToGrid/>
        <w:spacing w:before="0" w:after="0" w:line="520" w:lineRule="exact"/>
        <w:textAlignment w:val="auto"/>
        <w:rPr>
          <w:rFonts w:hint="eastAsia" w:ascii="方正楷体_GBK" w:hAnsi="方正楷体_GBK" w:eastAsia="方正楷体_GBK" w:cs="方正楷体_GBK"/>
          <w:b w:val="0"/>
          <w:bCs/>
          <w:lang w:val="en-US" w:eastAsia="zh-CN"/>
        </w:rPr>
      </w:pPr>
      <w:r>
        <w:rPr>
          <w:rFonts w:hint="eastAsia" w:ascii="方正楷体_GBK" w:hAnsi="方正楷体_GBK" w:eastAsia="方正楷体_GBK" w:cs="方正楷体_GBK"/>
          <w:b w:val="0"/>
          <w:bCs/>
          <w:lang w:val="en-US" w:eastAsia="zh-CN"/>
        </w:rPr>
        <w:t>1.2 项目目标</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本项目旨在构建一套科学、智能的义务教育学校作业监测</w:t>
      </w:r>
      <w:r>
        <w:rPr>
          <w:rFonts w:hint="eastAsia" w:ascii="方正仿宋_GBK" w:hAnsi="方正仿宋_GBK" w:eastAsia="方正仿宋_GBK" w:cs="方正仿宋_GBK"/>
          <w:sz w:val="32"/>
          <w:szCs w:val="32"/>
          <w:lang w:val="en-US" w:eastAsia="zh-CN"/>
        </w:rPr>
        <w:t>机制</w:t>
      </w:r>
      <w:r>
        <w:rPr>
          <w:rFonts w:hint="eastAsia" w:ascii="方正仿宋_GBK" w:hAnsi="方正仿宋_GBK" w:eastAsia="方正仿宋_GBK" w:cs="方正仿宋_GBK"/>
          <w:sz w:val="32"/>
          <w:szCs w:val="32"/>
        </w:rPr>
        <w:t>，通过运用大数据和人工智能技术，实现对作业布置、完成及效果的全流程精准监测与优化。系统将以统一标准规范作业管理，促进学科间协调，合理控制作业量，帮助教育部门和学校实时掌握作业动态，为教师提供数据支持以优化作业设计，同时提升家校信息透明度，增强家长参与度。最终，通过精细化与科学化的作业管理，有效减轻学生课业负担，提高学习效率与教学质量，推动教育公平与可持续发展，回应社会对减负政策的高度期待。</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本次服务计划在全市七区一县合计约60个学校开展定时、定点、定向作业监测。</w:t>
      </w:r>
    </w:p>
    <w:p>
      <w:pPr>
        <w:pStyle w:val="3"/>
        <w:pageBreakBefore w:val="0"/>
        <w:widowControl w:val="0"/>
        <w:numPr>
          <w:ilvl w:val="0"/>
          <w:numId w:val="0"/>
        </w:numPr>
        <w:kinsoku/>
        <w:wordWrap/>
        <w:overflowPunct/>
        <w:topLinePunct w:val="0"/>
        <w:autoSpaceDE/>
        <w:autoSpaceDN/>
        <w:bidi w:val="0"/>
        <w:adjustRightInd/>
        <w:snapToGrid/>
        <w:spacing w:before="0" w:after="0" w:line="520" w:lineRule="exact"/>
        <w:textAlignment w:val="auto"/>
        <w:rPr>
          <w:rFonts w:hint="default" w:ascii="方正楷体_GBK" w:hAnsi="方正楷体_GBK" w:eastAsia="方正楷体_GBK" w:cs="方正楷体_GBK"/>
          <w:b w:val="0"/>
          <w:bCs/>
          <w:lang w:val="en-US" w:eastAsia="zh-CN"/>
        </w:rPr>
      </w:pPr>
      <w:r>
        <w:rPr>
          <w:rFonts w:hint="eastAsia" w:ascii="方正楷体_GBK" w:hAnsi="方正楷体_GBK" w:eastAsia="方正楷体_GBK" w:cs="方正楷体_GBK"/>
          <w:b w:val="0"/>
          <w:bCs/>
          <w:lang w:val="en-US" w:eastAsia="zh-CN"/>
        </w:rPr>
        <w:t>1.3 项目任务</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本项目将以系统管理和作业监测为核心建设任务，通过搭建标准化、智能化的教育管理平台，实现学校基础数据维护、权限分级管控及作业全流程监管。具体包括：</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1）系统管理模块将构建学校信息、角色权限、用户部门等基础数据管理体系，通过菜单配置、字典管理、日志审计等功能实现系统安全可控；</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作业监测模块将建立覆盖作业填报、统计分析、可视化展示的完整链条，支持学校按年级/班级/学科维度实时填报、多维度统计作业时长与频次，并通过曲线图实现作业量趋势分析，最终形成教育管理数据驾驶舱。</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项目将通过标准化数据接口与可视化分析工具，助力教育部门规范作业管理流程，科学评估教学负荷，为教育质量提升提供数字化支撑。</w:t>
      </w:r>
    </w:p>
    <w:p>
      <w:pPr>
        <w:pStyle w:val="3"/>
        <w:pageBreakBefore w:val="0"/>
        <w:widowControl w:val="0"/>
        <w:numPr>
          <w:ilvl w:val="0"/>
          <w:numId w:val="0"/>
        </w:numPr>
        <w:kinsoku/>
        <w:wordWrap/>
        <w:overflowPunct/>
        <w:topLinePunct w:val="0"/>
        <w:autoSpaceDE/>
        <w:autoSpaceDN/>
        <w:bidi w:val="0"/>
        <w:adjustRightInd/>
        <w:snapToGrid/>
        <w:spacing w:before="0" w:after="0" w:line="520" w:lineRule="exact"/>
        <w:textAlignment w:val="auto"/>
        <w:rPr>
          <w:rFonts w:hint="default" w:ascii="方正楷体_GBK" w:hAnsi="方正楷体_GBK" w:eastAsia="方正楷体_GBK" w:cs="方正楷体_GBK"/>
          <w:b w:val="0"/>
          <w:bCs/>
          <w:lang w:val="en-US" w:eastAsia="zh-CN"/>
        </w:rPr>
      </w:pPr>
      <w:r>
        <w:rPr>
          <w:rFonts w:hint="eastAsia" w:ascii="方正楷体_GBK" w:hAnsi="方正楷体_GBK" w:eastAsia="方正楷体_GBK" w:cs="方正楷体_GBK"/>
          <w:b w:val="0"/>
          <w:bCs/>
          <w:lang w:val="en-US" w:eastAsia="zh-CN"/>
        </w:rPr>
        <w:t>1.4 服务原则</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rPr>
      </w:pPr>
      <w:r>
        <w:rPr>
          <w:rFonts w:hint="eastAsia" w:ascii="方正黑体_GBK" w:hAnsi="方正黑体_GBK" w:eastAsia="方正黑体_GBK" w:cs="方正黑体_GBK"/>
          <w:b w:val="0"/>
          <w:bCs w:val="0"/>
          <w:sz w:val="32"/>
          <w:szCs w:val="32"/>
        </w:rPr>
        <w:t>实用性与先进性原则：</w:t>
      </w:r>
      <w:r>
        <w:rPr>
          <w:rFonts w:hint="eastAsia" w:ascii="方正仿宋_GBK" w:hAnsi="方正仿宋_GBK" w:eastAsia="方正仿宋_GBK" w:cs="方正仿宋_GBK"/>
          <w:sz w:val="32"/>
          <w:szCs w:val="32"/>
        </w:rPr>
        <w:t xml:space="preserve">采用的技术成熟、可靠，具有一定的先进性，提供强大而灵活的流程引擎对系统的支持，工作流平台技术领先、定制灵活，具有很好的系统结构和系统扩展性； </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rPr>
      </w:pPr>
      <w:r>
        <w:rPr>
          <w:rFonts w:hint="eastAsia" w:ascii="方正黑体_GBK" w:hAnsi="方正黑体_GBK" w:eastAsia="方正黑体_GBK" w:cs="方正黑体_GBK"/>
          <w:b w:val="0"/>
          <w:bCs w:val="0"/>
          <w:sz w:val="32"/>
          <w:szCs w:val="32"/>
        </w:rPr>
        <w:t>安全性原则：</w:t>
      </w:r>
      <w:r>
        <w:rPr>
          <w:rFonts w:hint="eastAsia" w:ascii="方正仿宋_GBK" w:hAnsi="方正仿宋_GBK" w:eastAsia="方正仿宋_GBK" w:cs="方正仿宋_GBK"/>
          <w:sz w:val="32"/>
          <w:szCs w:val="32"/>
        </w:rPr>
        <w:t>具备强大的安全机制，能够保证内部信息、流程、附件与数据安全，保障网络、主机系统、数据库安全、数据访问权限等的安全管理。</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rPr>
      </w:pPr>
      <w:r>
        <w:rPr>
          <w:rFonts w:hint="eastAsia" w:ascii="方正黑体_GBK" w:hAnsi="方正黑体_GBK" w:eastAsia="方正黑体_GBK" w:cs="方正黑体_GBK"/>
          <w:b w:val="0"/>
          <w:bCs w:val="0"/>
          <w:sz w:val="32"/>
          <w:szCs w:val="32"/>
        </w:rPr>
        <w:t>稳定性原则：</w:t>
      </w:r>
      <w:r>
        <w:rPr>
          <w:rFonts w:hint="eastAsia" w:ascii="方正仿宋_GBK" w:hAnsi="方正仿宋_GBK" w:eastAsia="方正仿宋_GBK" w:cs="方正仿宋_GBK"/>
          <w:sz w:val="32"/>
          <w:szCs w:val="32"/>
        </w:rPr>
        <w:t>具备良好、稳定、可靠的性能，为用户提供持续可用的服务，保障及支撑系统运作。</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rPr>
      </w:pPr>
      <w:r>
        <w:rPr>
          <w:rFonts w:hint="eastAsia" w:ascii="方正黑体_GBK" w:hAnsi="方正黑体_GBK" w:eastAsia="方正黑体_GBK" w:cs="方正黑体_GBK"/>
          <w:b w:val="0"/>
          <w:bCs w:val="0"/>
          <w:sz w:val="32"/>
          <w:szCs w:val="32"/>
        </w:rPr>
        <w:t>开放性原则：</w:t>
      </w:r>
      <w:r>
        <w:rPr>
          <w:rFonts w:hint="eastAsia" w:ascii="方正仿宋_GBK" w:hAnsi="方正仿宋_GBK" w:eastAsia="方正仿宋_GBK" w:cs="方正仿宋_GBK"/>
          <w:sz w:val="32"/>
          <w:szCs w:val="32"/>
        </w:rPr>
        <w:t>系统设计遵循业内标准，提供开放的系统平台与接口，支持主流的软硬件平台与网络协议等，支持Web 2.0、REST API、XML等，保证平台的无关性，易于二次开发，能够很方便在此平台上开发新的业务流程、应用功能及与其它应用系统的集成，降低开发量。</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rPr>
      </w:pPr>
      <w:r>
        <w:rPr>
          <w:rFonts w:hint="eastAsia" w:ascii="方正黑体_GBK" w:hAnsi="方正黑体_GBK" w:eastAsia="方正黑体_GBK" w:cs="方正黑体_GBK"/>
          <w:b w:val="0"/>
          <w:bCs w:val="0"/>
          <w:sz w:val="32"/>
          <w:szCs w:val="32"/>
        </w:rPr>
        <w:t>扩展性原则：</w:t>
      </w:r>
      <w:r>
        <w:rPr>
          <w:rFonts w:hint="eastAsia" w:ascii="方正仿宋_GBK" w:hAnsi="方正仿宋_GBK" w:eastAsia="方正仿宋_GBK" w:cs="方正仿宋_GBK"/>
          <w:sz w:val="32"/>
          <w:szCs w:val="32"/>
        </w:rPr>
        <w:t>具备扩展能力，能够支撑灵活、扩展的软硬件平台，能够根据应用需求，方便扩展产品容量和提升产品性能。</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rPr>
      </w:pPr>
      <w:r>
        <w:rPr>
          <w:rFonts w:hint="eastAsia" w:ascii="方正黑体_GBK" w:hAnsi="方正黑体_GBK" w:eastAsia="方正黑体_GBK" w:cs="方正黑体_GBK"/>
          <w:b w:val="0"/>
          <w:bCs w:val="0"/>
          <w:sz w:val="32"/>
          <w:szCs w:val="32"/>
        </w:rPr>
        <w:t>可维护原则：</w:t>
      </w:r>
      <w:r>
        <w:rPr>
          <w:rFonts w:hint="eastAsia" w:ascii="方正仿宋_GBK" w:hAnsi="方正仿宋_GBK" w:eastAsia="方正仿宋_GBK" w:cs="方正仿宋_GBK"/>
          <w:sz w:val="32"/>
          <w:szCs w:val="32"/>
        </w:rPr>
        <w:t>各种工作流程、管理和维护，采用图形化/可视化的方式配置与管理，系统调整方便简易。</w:t>
      </w:r>
    </w:p>
    <w:p>
      <w:pPr>
        <w:pStyle w:val="2"/>
        <w:pageBreakBefore w:val="0"/>
        <w:widowControl w:val="0"/>
        <w:kinsoku/>
        <w:wordWrap/>
        <w:overflowPunct/>
        <w:topLinePunct w:val="0"/>
        <w:autoSpaceDE/>
        <w:autoSpaceDN/>
        <w:bidi w:val="0"/>
        <w:adjustRightInd/>
        <w:snapToGrid/>
        <w:spacing w:before="0" w:after="0" w:line="520" w:lineRule="exact"/>
        <w:textAlignment w:val="auto"/>
        <w:rPr>
          <w:rFonts w:hint="default" w:ascii="方正黑体_GBK" w:hAnsi="方正黑体_GBK" w:eastAsia="方正黑体_GBK" w:cs="方正黑体_GBK"/>
          <w:b w:val="0"/>
          <w:bCs/>
          <w:sz w:val="32"/>
          <w:szCs w:val="32"/>
          <w:lang w:val="en-US" w:eastAsia="zh-CN"/>
        </w:rPr>
      </w:pPr>
      <w:r>
        <w:rPr>
          <w:rFonts w:hint="eastAsia" w:ascii="方正黑体_GBK" w:hAnsi="方正黑体_GBK" w:eastAsia="方正黑体_GBK" w:cs="方正黑体_GBK"/>
          <w:b w:val="0"/>
          <w:bCs/>
          <w:sz w:val="32"/>
          <w:szCs w:val="32"/>
          <w:lang w:val="en-US" w:eastAsia="zh-CN"/>
        </w:rPr>
        <w:t>二、详细需求</w:t>
      </w:r>
    </w:p>
    <w:p>
      <w:pPr>
        <w:pStyle w:val="3"/>
        <w:pageBreakBefore w:val="0"/>
        <w:widowControl w:val="0"/>
        <w:kinsoku/>
        <w:wordWrap/>
        <w:overflowPunct/>
        <w:topLinePunct w:val="0"/>
        <w:autoSpaceDE/>
        <w:autoSpaceDN/>
        <w:bidi w:val="0"/>
        <w:adjustRightInd/>
        <w:snapToGrid/>
        <w:spacing w:before="0" w:after="0" w:line="520" w:lineRule="exact"/>
        <w:textAlignment w:val="auto"/>
        <w:rPr>
          <w:rFonts w:hint="eastAsia" w:ascii="方正楷体_GBK" w:hAnsi="方正楷体_GBK" w:eastAsia="方正楷体_GBK" w:cs="方正楷体_GBK"/>
          <w:b w:val="0"/>
          <w:bCs/>
        </w:rPr>
      </w:pPr>
      <w:r>
        <w:rPr>
          <w:rFonts w:hint="eastAsia" w:ascii="方正楷体_GBK" w:hAnsi="方正楷体_GBK" w:eastAsia="方正楷体_GBK" w:cs="方正楷体_GBK"/>
          <w:b w:val="0"/>
          <w:bCs/>
        </w:rPr>
        <w:t>2.1 数据采集与维护</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通过学校作业信息填报与管理功能，可以实现对作业信息的精细化管理，支持按天、按年级、按班级进行作业内容、预计完成时长、布置教师等相关信息的实时录入与动态更新，确保数据的准确性和时效性。系统能够提供灵活的数据维护机制，教师可随时根据教学进度调整作业安排，同时支持多维度查询和统计分析，帮助管理者全面掌握各年级、班级的作业分布情况，为优化教学资源配置和减轻学生负担提供科学依据，同时也通过权限管理和操作日志记录等手段保障数据的真实性和可追溯性。</w:t>
      </w:r>
    </w:p>
    <w:p>
      <w:pPr>
        <w:pStyle w:val="3"/>
        <w:pageBreakBefore w:val="0"/>
        <w:widowControl w:val="0"/>
        <w:kinsoku/>
        <w:wordWrap/>
        <w:overflowPunct/>
        <w:topLinePunct w:val="0"/>
        <w:autoSpaceDE/>
        <w:autoSpaceDN/>
        <w:bidi w:val="0"/>
        <w:adjustRightInd/>
        <w:snapToGrid/>
        <w:spacing w:before="0" w:after="0" w:line="520" w:lineRule="exact"/>
        <w:textAlignment w:val="auto"/>
        <w:rPr>
          <w:rFonts w:hint="eastAsia" w:ascii="方正楷体_GBK" w:hAnsi="方正楷体_GBK" w:eastAsia="方正楷体_GBK" w:cs="方正楷体_GBK"/>
          <w:b w:val="0"/>
          <w:bCs/>
        </w:rPr>
      </w:pPr>
      <w:r>
        <w:rPr>
          <w:rFonts w:hint="eastAsia" w:ascii="方正楷体_GBK" w:hAnsi="方正楷体_GBK" w:eastAsia="方正楷体_GBK" w:cs="方正楷体_GBK"/>
          <w:b w:val="0"/>
          <w:bCs/>
        </w:rPr>
        <w:t>2.2 统计分析</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支持从多个维度对作业情况进行全面统计与分析，包括按学校、年级、班级以及学科等分类，综合考量作业的时长、布置频次及平均负荷等关键指标。通过汇总总时长、覆盖天数以及计算平均值等数据，精准量化学生的作业量，从而为教育管理者提供科学的数据支撑，帮助制定合理的作业规范与时长标准，进一步促进学生学业负担的均衡化与规范化管理，助力实现减负增效的教育目标。</w:t>
      </w:r>
    </w:p>
    <w:p>
      <w:pPr>
        <w:pStyle w:val="3"/>
        <w:pageBreakBefore w:val="0"/>
        <w:widowControl w:val="0"/>
        <w:kinsoku/>
        <w:wordWrap/>
        <w:overflowPunct/>
        <w:topLinePunct w:val="0"/>
        <w:autoSpaceDE/>
        <w:autoSpaceDN/>
        <w:bidi w:val="0"/>
        <w:adjustRightInd/>
        <w:snapToGrid/>
        <w:spacing w:before="0" w:after="0" w:line="520" w:lineRule="exact"/>
        <w:textAlignment w:val="auto"/>
        <w:rPr>
          <w:rFonts w:hint="eastAsia" w:ascii="方正楷体_GBK" w:hAnsi="方正楷体_GBK" w:eastAsia="方正楷体_GBK" w:cs="方正楷体_GBK"/>
          <w:b w:val="0"/>
          <w:bCs/>
          <w:lang w:val="en-US" w:eastAsia="zh-CN"/>
        </w:rPr>
      </w:pPr>
      <w:r>
        <w:rPr>
          <w:rFonts w:hint="eastAsia" w:ascii="方正楷体_GBK" w:hAnsi="方正楷体_GBK" w:eastAsia="方正楷体_GBK" w:cs="方正楷体_GBK"/>
          <w:b w:val="0"/>
          <w:bCs/>
          <w:lang w:val="en-US" w:eastAsia="zh-CN"/>
        </w:rPr>
        <w:t>2.3分级控制与管理</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支持学校、区（县）级教育行政主管部门、市级教育行政主管部门等按权限、属地等方式，结合学校、年级、班级、学科、作业时长等关键字查询、统计关键指标数据。可按天、月、年等时间跨度进行综合统计分析。</w:t>
      </w:r>
    </w:p>
    <w:p>
      <w:pPr>
        <w:pStyle w:val="3"/>
        <w:pageBreakBefore w:val="0"/>
        <w:widowControl w:val="0"/>
        <w:kinsoku/>
        <w:wordWrap/>
        <w:overflowPunct/>
        <w:topLinePunct w:val="0"/>
        <w:autoSpaceDE/>
        <w:autoSpaceDN/>
        <w:bidi w:val="0"/>
        <w:adjustRightInd/>
        <w:snapToGrid/>
        <w:spacing w:before="0" w:after="0" w:line="520" w:lineRule="exact"/>
        <w:textAlignment w:val="auto"/>
        <w:rPr>
          <w:rFonts w:hint="eastAsia" w:ascii="方正楷体_GBK" w:hAnsi="方正楷体_GBK" w:eastAsia="方正楷体_GBK" w:cs="方正楷体_GBK"/>
          <w:b w:val="0"/>
          <w:bCs/>
          <w:lang w:val="en-US" w:eastAsia="zh-CN"/>
        </w:rPr>
      </w:pPr>
      <w:r>
        <w:rPr>
          <w:rFonts w:hint="eastAsia" w:ascii="方正楷体_GBK" w:hAnsi="方正楷体_GBK" w:eastAsia="方正楷体_GBK" w:cs="方正楷体_GBK"/>
          <w:b w:val="0"/>
          <w:bCs/>
          <w:lang w:val="en-US" w:eastAsia="zh-CN"/>
        </w:rPr>
        <w:t>2.4动态调整及更新</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市、区（县）两级教育行政部门，可随时动态调整监测目标（校）。通过定点、定时监测及多</w:t>
      </w:r>
      <w:r>
        <w:rPr>
          <w:rFonts w:hint="eastAsia" w:ascii="方正仿宋_GBK" w:hAnsi="方正仿宋_GBK" w:eastAsia="方正仿宋_GBK" w:cs="方正仿宋_GBK"/>
          <w:sz w:val="32"/>
          <w:szCs w:val="32"/>
        </w:rPr>
        <w:t>维度查询和统计分析</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对已经达标的学校可暂停监测（历史数据不会丢失），对学生、家长投诉、举报集中的学校可重新纳入监测体系（新增或者恢复）。</w:t>
      </w:r>
    </w:p>
    <w:p>
      <w:pPr>
        <w:pStyle w:val="3"/>
        <w:pageBreakBefore w:val="0"/>
        <w:widowControl w:val="0"/>
        <w:kinsoku/>
        <w:wordWrap/>
        <w:overflowPunct/>
        <w:topLinePunct w:val="0"/>
        <w:autoSpaceDE/>
        <w:autoSpaceDN/>
        <w:bidi w:val="0"/>
        <w:adjustRightInd/>
        <w:snapToGrid/>
        <w:spacing w:before="0" w:after="0" w:line="520" w:lineRule="exact"/>
        <w:textAlignment w:val="auto"/>
        <w:rPr>
          <w:rFonts w:hint="eastAsia" w:ascii="方正楷体_GBK" w:hAnsi="方正楷体_GBK" w:eastAsia="方正楷体_GBK" w:cs="方正楷体_GBK"/>
          <w:b w:val="0"/>
          <w:bCs/>
          <w:lang w:val="en-US" w:eastAsia="zh-CN"/>
        </w:rPr>
      </w:pPr>
      <w:r>
        <w:rPr>
          <w:rFonts w:hint="eastAsia" w:ascii="方正楷体_GBK" w:hAnsi="方正楷体_GBK" w:eastAsia="方正楷体_GBK" w:cs="方正楷体_GBK"/>
          <w:b w:val="0"/>
          <w:bCs/>
          <w:lang w:val="en-US" w:eastAsia="zh-CN"/>
        </w:rPr>
        <w:t>2.5操作简单</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监测服务系统应具有图形化操作界面，确保各级用户经简单培训后即可正常使用。系统操作简单，各功能菜单（按钮）关联性强。</w:t>
      </w:r>
    </w:p>
    <w:p>
      <w:pPr>
        <w:pStyle w:val="3"/>
        <w:pageBreakBefore w:val="0"/>
        <w:widowControl w:val="0"/>
        <w:kinsoku/>
        <w:wordWrap/>
        <w:overflowPunct/>
        <w:topLinePunct w:val="0"/>
        <w:autoSpaceDE/>
        <w:autoSpaceDN/>
        <w:bidi w:val="0"/>
        <w:adjustRightInd/>
        <w:snapToGrid/>
        <w:spacing w:before="0" w:after="0" w:line="520" w:lineRule="exact"/>
        <w:textAlignment w:val="auto"/>
        <w:rPr>
          <w:rFonts w:hint="default" w:ascii="方正楷体_GBK" w:hAnsi="方正楷体_GBK" w:eastAsia="方正楷体_GBK" w:cs="方正楷体_GBK"/>
          <w:b w:val="0"/>
          <w:bCs/>
          <w:lang w:val="en-US" w:eastAsia="zh-CN"/>
        </w:rPr>
      </w:pPr>
      <w:r>
        <w:rPr>
          <w:rFonts w:hint="eastAsia" w:ascii="方正楷体_GBK" w:hAnsi="方正楷体_GBK" w:eastAsia="方正楷体_GBK" w:cs="方正楷体_GBK"/>
          <w:b w:val="0"/>
          <w:bCs/>
          <w:lang w:val="en-US" w:eastAsia="zh-CN"/>
        </w:rPr>
        <w:t>2.6安全性高</w:t>
      </w:r>
    </w:p>
    <w:p>
      <w:pPr>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监测服务系统应采用关键技术和策略，确保系统持续、安全、稳定运行。应充分考虑身份冒用和中间人攻击对服务系统的影响。在数据传输过程中，应采用多种加密方法和技术，确保敏感信息在任何环节都保持加密状态，即使数据被窃取，也无法轻易被解密利用。同时应充分考虑数据安全，采用多种数据备份技术，确保数据安全可靠。</w:t>
      </w:r>
    </w:p>
    <w:p>
      <w:pPr>
        <w:pStyle w:val="2"/>
        <w:pageBreakBefore w:val="0"/>
        <w:widowControl w:val="0"/>
        <w:kinsoku/>
        <w:wordWrap/>
        <w:overflowPunct/>
        <w:topLinePunct w:val="0"/>
        <w:autoSpaceDE/>
        <w:autoSpaceDN/>
        <w:bidi w:val="0"/>
        <w:adjustRightInd/>
        <w:snapToGrid/>
        <w:spacing w:before="0" w:after="0" w:line="520" w:lineRule="exact"/>
        <w:textAlignment w:val="auto"/>
        <w:rPr>
          <w:rFonts w:hint="default" w:ascii="方正黑体_GBK" w:hAnsi="方正黑体_GBK" w:eastAsia="方正黑体_GBK" w:cs="方正黑体_GBK"/>
          <w:b w:val="0"/>
          <w:bCs/>
          <w:sz w:val="32"/>
          <w:szCs w:val="32"/>
          <w:lang w:val="en-US" w:eastAsia="zh-CN"/>
        </w:rPr>
      </w:pPr>
      <w:r>
        <w:rPr>
          <w:rFonts w:hint="eastAsia" w:ascii="方正黑体_GBK" w:hAnsi="方正黑体_GBK" w:eastAsia="方正黑体_GBK" w:cs="方正黑体_GBK"/>
          <w:b w:val="0"/>
          <w:bCs/>
          <w:sz w:val="32"/>
          <w:szCs w:val="32"/>
          <w:lang w:val="en-US" w:eastAsia="zh-CN"/>
        </w:rPr>
        <w:t>三、其他要求</w:t>
      </w:r>
    </w:p>
    <w:p>
      <w:pPr>
        <w:rPr>
          <w:rFonts w:hint="eastAsia" w:ascii="方正仿宋_GBK" w:hAnsi="方正仿宋_GBK" w:eastAsia="方正仿宋_GBK" w:cs="方正仿宋_GBK"/>
          <w:sz w:val="32"/>
          <w:szCs w:val="32"/>
          <w:lang w:val="en-US" w:eastAsia="zh-CN"/>
        </w:rPr>
      </w:pPr>
      <w:r>
        <w:rPr>
          <w:rFonts w:hint="eastAsia"/>
          <w:lang w:val="en-US" w:eastAsia="zh-CN"/>
        </w:rPr>
        <w:t xml:space="preserve"> </w:t>
      </w:r>
      <w:r>
        <w:rPr>
          <w:rFonts w:hint="eastAsia" w:ascii="方正仿宋_GBK" w:hAnsi="方正仿宋_GBK" w:eastAsia="方正仿宋_GBK" w:cs="方正仿宋_GBK"/>
          <w:sz w:val="32"/>
          <w:szCs w:val="32"/>
          <w:lang w:val="en-US" w:eastAsia="zh-CN"/>
        </w:rPr>
        <w:t xml:space="preserve">  1、服务周期：一年。</w:t>
      </w:r>
    </w:p>
    <w:p>
      <w:pPr>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2、服务载体及呈现方式：由中标单位提供支撑本服务所必须的软件、硬件、应用程序、中间件等必要环境和网络资源。确保采购单位如期获得服务成果，即各监测样本（校）作业量整体下降。</w:t>
      </w:r>
    </w:p>
    <w:p>
      <w:pPr>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3、中标单位构建基础服务时间（系统开发及其他条件准备时间）：5个日历日。</w:t>
      </w:r>
    </w:p>
    <w:p>
      <w:pPr>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4、培训：由中标单位提供，采用线上、线下相结合方式提供培训服务。培训人数不少于100人，场次不少于3场。</w:t>
      </w:r>
    </w:p>
    <w:p>
      <w:pPr>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5、售后服务：由中标单位提供。服务保障期间，中标应提供不少于3名专业技术人员，对服务系统使用过程中出现的问题进行解答。</w:t>
      </w:r>
    </w:p>
    <w:p>
      <w:pPr>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6、服务预算：</w:t>
      </w:r>
      <w:bookmarkStart w:id="0" w:name="_GoBack"/>
      <w:r>
        <w:rPr>
          <w:rFonts w:hint="eastAsia" w:ascii="方正仿宋_GBK" w:hAnsi="方正仿宋_GBK" w:eastAsia="方正仿宋_GBK" w:cs="方正仿宋_GBK"/>
          <w:sz w:val="32"/>
          <w:szCs w:val="32"/>
          <w:lang w:val="en-US" w:eastAsia="zh-CN"/>
        </w:rPr>
        <w:t>56500元</w:t>
      </w:r>
      <w:bookmarkEnd w:id="0"/>
      <w:r>
        <w:rPr>
          <w:rFonts w:hint="eastAsia" w:ascii="方正仿宋_GBK" w:hAnsi="方正仿宋_GBK" w:eastAsia="方正仿宋_GBK" w:cs="方正仿宋_GBK"/>
          <w:sz w:val="32"/>
          <w:szCs w:val="32"/>
          <w:lang w:val="en-US"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2364"/>
    <w:rsid w:val="000B5D24"/>
    <w:rsid w:val="0013297B"/>
    <w:rsid w:val="00134E98"/>
    <w:rsid w:val="001A7728"/>
    <w:rsid w:val="003B4DA5"/>
    <w:rsid w:val="00420EAA"/>
    <w:rsid w:val="00433BF2"/>
    <w:rsid w:val="00452CFF"/>
    <w:rsid w:val="0047275F"/>
    <w:rsid w:val="00513911"/>
    <w:rsid w:val="00524BED"/>
    <w:rsid w:val="00575718"/>
    <w:rsid w:val="00737AD6"/>
    <w:rsid w:val="00831FBA"/>
    <w:rsid w:val="008841D7"/>
    <w:rsid w:val="008C3617"/>
    <w:rsid w:val="009962FC"/>
    <w:rsid w:val="009E634B"/>
    <w:rsid w:val="009F3650"/>
    <w:rsid w:val="009F53CE"/>
    <w:rsid w:val="00A328DD"/>
    <w:rsid w:val="00A97553"/>
    <w:rsid w:val="00B53E1A"/>
    <w:rsid w:val="00BE0115"/>
    <w:rsid w:val="00CA0E36"/>
    <w:rsid w:val="00CD232A"/>
    <w:rsid w:val="00CE3847"/>
    <w:rsid w:val="00D61E6C"/>
    <w:rsid w:val="00D6361D"/>
    <w:rsid w:val="00E83EF7"/>
    <w:rsid w:val="00FA2364"/>
    <w:rsid w:val="2F6D527D"/>
    <w:rsid w:val="33574531"/>
    <w:rsid w:val="3C6F2879"/>
    <w:rsid w:val="715344ED"/>
    <w:rsid w:val="7DEA6F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楷体" w:asciiTheme="minorHAnsi" w:hAnsiTheme="minorHAnsi" w:cstheme="minorBidi"/>
      <w:kern w:val="2"/>
      <w:sz w:val="30"/>
      <w:szCs w:val="22"/>
      <w:lang w:val="en-US" w:eastAsia="zh-CN" w:bidi="ar-SA"/>
    </w:rPr>
  </w:style>
  <w:style w:type="paragraph" w:styleId="2">
    <w:name w:val="heading 1"/>
    <w:basedOn w:val="1"/>
    <w:next w:val="1"/>
    <w:link w:val="17"/>
    <w:qFormat/>
    <w:uiPriority w:val="9"/>
    <w:pPr>
      <w:keepNext/>
      <w:keepLines/>
      <w:spacing w:before="480" w:after="80"/>
      <w:outlineLvl w:val="0"/>
    </w:pPr>
    <w:rPr>
      <w:rFonts w:asciiTheme="majorHAnsi" w:hAnsiTheme="majorHAnsi" w:cstheme="majorBidi"/>
      <w:b/>
      <w:sz w:val="48"/>
      <w:szCs w:val="48"/>
    </w:rPr>
  </w:style>
  <w:style w:type="paragraph" w:styleId="3">
    <w:name w:val="heading 2"/>
    <w:basedOn w:val="1"/>
    <w:next w:val="1"/>
    <w:link w:val="18"/>
    <w:unhideWhenUsed/>
    <w:qFormat/>
    <w:uiPriority w:val="9"/>
    <w:pPr>
      <w:keepNext/>
      <w:keepLines/>
      <w:spacing w:before="160" w:after="80"/>
      <w:outlineLvl w:val="1"/>
    </w:pPr>
    <w:rPr>
      <w:rFonts w:asciiTheme="majorHAnsi" w:hAnsiTheme="majorHAnsi" w:cstheme="majorBidi"/>
      <w:b/>
      <w:sz w:val="32"/>
      <w:szCs w:val="40"/>
    </w:rPr>
  </w:style>
  <w:style w:type="paragraph" w:styleId="4">
    <w:name w:val="heading 3"/>
    <w:basedOn w:val="1"/>
    <w:next w:val="1"/>
    <w:link w:val="19"/>
    <w:unhideWhenUsed/>
    <w:qFormat/>
    <w:uiPriority w:val="9"/>
    <w:pPr>
      <w:keepNext/>
      <w:keepLines/>
      <w:spacing w:before="160" w:after="80"/>
      <w:outlineLvl w:val="2"/>
    </w:pPr>
    <w:rPr>
      <w:rFonts w:asciiTheme="majorHAnsi" w:hAnsiTheme="majorHAnsi" w:cstheme="majorBidi"/>
      <w:szCs w:val="32"/>
    </w:rPr>
  </w:style>
  <w:style w:type="paragraph" w:styleId="5">
    <w:name w:val="heading 4"/>
    <w:basedOn w:val="1"/>
    <w:next w:val="1"/>
    <w:link w:val="20"/>
    <w:unhideWhenUsed/>
    <w:qFormat/>
    <w:uiPriority w:val="9"/>
    <w:pPr>
      <w:keepNext/>
      <w:keepLines/>
      <w:spacing w:before="80" w:after="40"/>
      <w:outlineLvl w:val="3"/>
    </w:pPr>
    <w:rPr>
      <w:rFonts w:cstheme="majorBidi"/>
      <w:sz w:val="28"/>
      <w:szCs w:val="28"/>
    </w:rPr>
  </w:style>
  <w:style w:type="paragraph" w:styleId="6">
    <w:name w:val="heading 5"/>
    <w:basedOn w:val="1"/>
    <w:next w:val="1"/>
    <w:link w:val="21"/>
    <w:semiHidden/>
    <w:unhideWhenUsed/>
    <w:qFormat/>
    <w:uiPriority w:val="9"/>
    <w:pPr>
      <w:keepNext/>
      <w:keepLines/>
      <w:spacing w:before="80" w:after="40"/>
      <w:outlineLvl w:val="4"/>
    </w:pPr>
    <w:rPr>
      <w:rFonts w:cstheme="majorBidi"/>
      <w:color w:val="2F5597" w:themeColor="accent1" w:themeShade="BF"/>
      <w:sz w:val="24"/>
      <w:szCs w:val="24"/>
    </w:rPr>
  </w:style>
  <w:style w:type="paragraph" w:styleId="7">
    <w:name w:val="heading 6"/>
    <w:basedOn w:val="1"/>
    <w:next w:val="1"/>
    <w:link w:val="22"/>
    <w:semiHidden/>
    <w:unhideWhenUsed/>
    <w:qFormat/>
    <w:uiPriority w:val="9"/>
    <w:pPr>
      <w:keepNext/>
      <w:keepLines/>
      <w:spacing w:before="40"/>
      <w:outlineLvl w:val="5"/>
    </w:pPr>
    <w:rPr>
      <w:rFonts w:cstheme="majorBidi"/>
      <w:b/>
      <w:bCs/>
      <w:color w:val="2F5597" w:themeColor="accent1" w:themeShade="BF"/>
    </w:rPr>
  </w:style>
  <w:style w:type="paragraph" w:styleId="8">
    <w:name w:val="heading 7"/>
    <w:basedOn w:val="1"/>
    <w:next w:val="1"/>
    <w:link w:val="23"/>
    <w:semiHidden/>
    <w:unhideWhenUsed/>
    <w:qFormat/>
    <w:uiPriority w:val="9"/>
    <w:pPr>
      <w:keepNext/>
      <w:keepLines/>
      <w:spacing w:before="4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4"/>
    <w:semiHidden/>
    <w:unhideWhenUsed/>
    <w:qFormat/>
    <w:uiPriority w:val="9"/>
    <w:pPr>
      <w:keepNext/>
      <w:keepLines/>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25"/>
    <w:semiHidden/>
    <w:unhideWhenUsed/>
    <w:qFormat/>
    <w:uiPriority w:val="9"/>
    <w:pPr>
      <w:keepNext/>
      <w:keepLines/>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16">
    <w:name w:val="Default Paragraph Font"/>
    <w:unhideWhenUsed/>
    <w:qFormat/>
    <w:uiPriority w:val="1"/>
  </w:style>
  <w:style w:type="table" w:default="1" w:styleId="15">
    <w:name w:val="Normal Table"/>
    <w:semiHidden/>
    <w:unhideWhenUsed/>
    <w:qFormat/>
    <w:uiPriority w:val="99"/>
    <w:tblPr>
      <w:tblLayout w:type="fixed"/>
      <w:tblCellMar>
        <w:top w:w="0" w:type="dxa"/>
        <w:left w:w="108" w:type="dxa"/>
        <w:bottom w:w="0" w:type="dxa"/>
        <w:right w:w="108" w:type="dxa"/>
      </w:tblCellMar>
    </w:tblPr>
  </w:style>
  <w:style w:type="paragraph" w:styleId="11">
    <w:name w:val="footer"/>
    <w:basedOn w:val="1"/>
    <w:link w:val="36"/>
    <w:unhideWhenUsed/>
    <w:qFormat/>
    <w:uiPriority w:val="99"/>
    <w:pPr>
      <w:tabs>
        <w:tab w:val="center" w:pos="4153"/>
        <w:tab w:val="right" w:pos="8306"/>
      </w:tabs>
      <w:snapToGrid w:val="0"/>
      <w:jc w:val="left"/>
    </w:pPr>
    <w:rPr>
      <w:sz w:val="18"/>
      <w:szCs w:val="18"/>
    </w:rPr>
  </w:style>
  <w:style w:type="paragraph" w:styleId="12">
    <w:name w:val="header"/>
    <w:basedOn w:val="1"/>
    <w:link w:val="35"/>
    <w:unhideWhenUsed/>
    <w:qFormat/>
    <w:uiPriority w:val="99"/>
    <w:pPr>
      <w:tabs>
        <w:tab w:val="center" w:pos="4153"/>
        <w:tab w:val="right" w:pos="8306"/>
      </w:tabs>
      <w:snapToGrid w:val="0"/>
      <w:jc w:val="center"/>
    </w:pPr>
    <w:rPr>
      <w:sz w:val="18"/>
      <w:szCs w:val="18"/>
    </w:rPr>
  </w:style>
  <w:style w:type="paragraph" w:styleId="13">
    <w:name w:val="Subtitle"/>
    <w:basedOn w:val="1"/>
    <w:next w:val="1"/>
    <w:link w:val="27"/>
    <w:qFormat/>
    <w:uiPriority w:val="11"/>
    <w:pPr>
      <w:spacing w:after="160"/>
      <w:jc w:val="center"/>
    </w:pPr>
    <w:rPr>
      <w:rFonts w:asciiTheme="majorHAnsi" w:hAnsiTheme="majorHAnsi" w:cstheme="majorBidi"/>
      <w:spacing w:val="15"/>
      <w:sz w:val="48"/>
      <w:szCs w:val="28"/>
    </w:rPr>
  </w:style>
  <w:style w:type="paragraph" w:styleId="14">
    <w:name w:val="Title"/>
    <w:basedOn w:val="1"/>
    <w:next w:val="1"/>
    <w:link w:val="26"/>
    <w:qFormat/>
    <w:uiPriority w:val="10"/>
    <w:pPr>
      <w:spacing w:after="80"/>
      <w:contextualSpacing/>
      <w:jc w:val="center"/>
    </w:pPr>
    <w:rPr>
      <w:rFonts w:asciiTheme="majorHAnsi" w:hAnsiTheme="majorHAnsi" w:eastAsiaTheme="majorEastAsia" w:cstheme="majorBidi"/>
      <w:spacing w:val="-10"/>
      <w:kern w:val="28"/>
      <w:sz w:val="56"/>
      <w:szCs w:val="56"/>
    </w:rPr>
  </w:style>
  <w:style w:type="character" w:customStyle="1" w:styleId="17">
    <w:name w:val="标题 1 字符"/>
    <w:basedOn w:val="16"/>
    <w:link w:val="2"/>
    <w:qFormat/>
    <w:uiPriority w:val="9"/>
    <w:rPr>
      <w:rFonts w:eastAsia="楷体" w:asciiTheme="majorHAnsi" w:hAnsiTheme="majorHAnsi" w:cstheme="majorBidi"/>
      <w:b/>
      <w:sz w:val="48"/>
      <w:szCs w:val="48"/>
    </w:rPr>
  </w:style>
  <w:style w:type="character" w:customStyle="1" w:styleId="18">
    <w:name w:val="标题 2 字符"/>
    <w:basedOn w:val="16"/>
    <w:link w:val="3"/>
    <w:qFormat/>
    <w:uiPriority w:val="9"/>
    <w:rPr>
      <w:rFonts w:eastAsia="楷体" w:asciiTheme="majorHAnsi" w:hAnsiTheme="majorHAnsi" w:cstheme="majorBidi"/>
      <w:b/>
      <w:sz w:val="32"/>
      <w:szCs w:val="40"/>
    </w:rPr>
  </w:style>
  <w:style w:type="character" w:customStyle="1" w:styleId="19">
    <w:name w:val="标题 3 字符"/>
    <w:basedOn w:val="16"/>
    <w:link w:val="4"/>
    <w:qFormat/>
    <w:uiPriority w:val="9"/>
    <w:rPr>
      <w:rFonts w:eastAsia="楷体" w:asciiTheme="majorHAnsi" w:hAnsiTheme="majorHAnsi" w:cstheme="majorBidi"/>
      <w:sz w:val="30"/>
      <w:szCs w:val="32"/>
    </w:rPr>
  </w:style>
  <w:style w:type="character" w:customStyle="1" w:styleId="20">
    <w:name w:val="标题 4 字符"/>
    <w:basedOn w:val="16"/>
    <w:link w:val="5"/>
    <w:qFormat/>
    <w:uiPriority w:val="9"/>
    <w:rPr>
      <w:rFonts w:eastAsia="楷体" w:cstheme="majorBidi"/>
      <w:sz w:val="28"/>
      <w:szCs w:val="28"/>
    </w:rPr>
  </w:style>
  <w:style w:type="character" w:customStyle="1" w:styleId="21">
    <w:name w:val="标题 5 字符"/>
    <w:basedOn w:val="16"/>
    <w:link w:val="6"/>
    <w:semiHidden/>
    <w:qFormat/>
    <w:uiPriority w:val="9"/>
    <w:rPr>
      <w:rFonts w:cstheme="majorBidi"/>
      <w:color w:val="2F5597" w:themeColor="accent1" w:themeShade="BF"/>
      <w:sz w:val="24"/>
      <w:szCs w:val="24"/>
    </w:rPr>
  </w:style>
  <w:style w:type="character" w:customStyle="1" w:styleId="22">
    <w:name w:val="标题 6 字符"/>
    <w:basedOn w:val="16"/>
    <w:link w:val="7"/>
    <w:semiHidden/>
    <w:qFormat/>
    <w:uiPriority w:val="9"/>
    <w:rPr>
      <w:rFonts w:cstheme="majorBidi"/>
      <w:b/>
      <w:bCs/>
      <w:color w:val="2F5597" w:themeColor="accent1" w:themeShade="BF"/>
    </w:rPr>
  </w:style>
  <w:style w:type="character" w:customStyle="1" w:styleId="23">
    <w:name w:val="标题 7 字符"/>
    <w:basedOn w:val="16"/>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4">
    <w:name w:val="标题 8 字符"/>
    <w:basedOn w:val="16"/>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5">
    <w:name w:val="标题 9 字符"/>
    <w:basedOn w:val="16"/>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6">
    <w:name w:val="标题 字符"/>
    <w:basedOn w:val="16"/>
    <w:link w:val="14"/>
    <w:qFormat/>
    <w:uiPriority w:val="10"/>
    <w:rPr>
      <w:rFonts w:asciiTheme="majorHAnsi" w:hAnsiTheme="majorHAnsi" w:eastAsiaTheme="majorEastAsia" w:cstheme="majorBidi"/>
      <w:spacing w:val="-10"/>
      <w:kern w:val="28"/>
      <w:sz w:val="56"/>
      <w:szCs w:val="56"/>
    </w:rPr>
  </w:style>
  <w:style w:type="character" w:customStyle="1" w:styleId="27">
    <w:name w:val="副标题 字符"/>
    <w:basedOn w:val="16"/>
    <w:link w:val="13"/>
    <w:qFormat/>
    <w:uiPriority w:val="11"/>
    <w:rPr>
      <w:rFonts w:eastAsia="楷体" w:asciiTheme="majorHAnsi" w:hAnsiTheme="majorHAnsi" w:cstheme="majorBidi"/>
      <w:spacing w:val="15"/>
      <w:sz w:val="48"/>
      <w:szCs w:val="28"/>
    </w:rPr>
  </w:style>
  <w:style w:type="paragraph" w:styleId="28">
    <w:name w:val="Quote"/>
    <w:basedOn w:val="1"/>
    <w:next w:val="1"/>
    <w:link w:val="29"/>
    <w:qFormat/>
    <w:uiPriority w:val="29"/>
    <w:pPr>
      <w:spacing w:before="160" w:after="160"/>
      <w:jc w:val="center"/>
    </w:pPr>
    <w:rPr>
      <w:i/>
      <w:iCs/>
      <w:color w:val="404040" w:themeColor="text1" w:themeTint="BF"/>
      <w14:textFill>
        <w14:solidFill>
          <w14:schemeClr w14:val="tx1">
            <w14:lumMod w14:val="75000"/>
            <w14:lumOff w14:val="25000"/>
          </w14:schemeClr>
        </w14:solidFill>
      </w14:textFill>
    </w:rPr>
  </w:style>
  <w:style w:type="character" w:customStyle="1" w:styleId="29">
    <w:name w:val="引用 字符"/>
    <w:basedOn w:val="16"/>
    <w:link w:val="28"/>
    <w:qFormat/>
    <w:uiPriority w:val="29"/>
    <w:rPr>
      <w:i/>
      <w:iCs/>
      <w:color w:val="404040" w:themeColor="text1" w:themeTint="BF"/>
      <w14:textFill>
        <w14:solidFill>
          <w14:schemeClr w14:val="tx1">
            <w14:lumMod w14:val="75000"/>
            <w14:lumOff w14:val="25000"/>
          </w14:schemeClr>
        </w14:solidFill>
      </w14:textFill>
    </w:rPr>
  </w:style>
  <w:style w:type="paragraph" w:styleId="30">
    <w:name w:val="List Paragraph"/>
    <w:basedOn w:val="1"/>
    <w:qFormat/>
    <w:uiPriority w:val="34"/>
    <w:pPr>
      <w:ind w:left="720"/>
      <w:contextualSpacing/>
    </w:pPr>
  </w:style>
  <w:style w:type="character" w:customStyle="1" w:styleId="31">
    <w:name w:val="Intense Emphasis"/>
    <w:basedOn w:val="16"/>
    <w:qFormat/>
    <w:uiPriority w:val="21"/>
    <w:rPr>
      <w:i/>
      <w:iCs/>
      <w:color w:val="2F5597" w:themeColor="accent1" w:themeShade="BF"/>
    </w:rPr>
  </w:style>
  <w:style w:type="paragraph" w:styleId="32">
    <w:name w:val="Intense Quote"/>
    <w:basedOn w:val="1"/>
    <w:next w:val="1"/>
    <w:link w:val="33"/>
    <w:qFormat/>
    <w:uiPriority w:val="30"/>
    <w:pPr>
      <w:pBdr>
        <w:top w:val="single" w:color="2F5496" w:themeColor="accent1" w:themeShade="BF" w:sz="4" w:space="10"/>
        <w:bottom w:val="single" w:color="2F5496" w:themeColor="accent1" w:themeShade="BF" w:sz="4" w:space="10"/>
      </w:pBdr>
      <w:spacing w:before="360" w:after="360"/>
      <w:ind w:left="864" w:right="864"/>
      <w:jc w:val="center"/>
    </w:pPr>
    <w:rPr>
      <w:i/>
      <w:iCs/>
      <w:color w:val="2F5597" w:themeColor="accent1" w:themeShade="BF"/>
    </w:rPr>
  </w:style>
  <w:style w:type="character" w:customStyle="1" w:styleId="33">
    <w:name w:val="明显引用 字符"/>
    <w:basedOn w:val="16"/>
    <w:link w:val="32"/>
    <w:qFormat/>
    <w:uiPriority w:val="30"/>
    <w:rPr>
      <w:i/>
      <w:iCs/>
      <w:color w:val="2F5597" w:themeColor="accent1" w:themeShade="BF"/>
    </w:rPr>
  </w:style>
  <w:style w:type="character" w:customStyle="1" w:styleId="34">
    <w:name w:val="Intense Reference"/>
    <w:basedOn w:val="16"/>
    <w:qFormat/>
    <w:uiPriority w:val="32"/>
    <w:rPr>
      <w:b/>
      <w:bCs/>
      <w:smallCaps/>
      <w:color w:val="2F5597" w:themeColor="accent1" w:themeShade="BF"/>
      <w:spacing w:val="5"/>
    </w:rPr>
  </w:style>
  <w:style w:type="character" w:customStyle="1" w:styleId="35">
    <w:name w:val="页眉 字符"/>
    <w:basedOn w:val="16"/>
    <w:link w:val="12"/>
    <w:qFormat/>
    <w:uiPriority w:val="99"/>
    <w:rPr>
      <w:sz w:val="18"/>
      <w:szCs w:val="18"/>
    </w:rPr>
  </w:style>
  <w:style w:type="character" w:customStyle="1" w:styleId="36">
    <w:name w:val="页脚 字符"/>
    <w:basedOn w:val="16"/>
    <w:link w:val="11"/>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893</Words>
  <Characters>5091</Characters>
  <Lines>42</Lines>
  <Paragraphs>11</Paragraphs>
  <TotalTime>61</TotalTime>
  <ScaleCrop>false</ScaleCrop>
  <LinksUpToDate>false</LinksUpToDate>
  <CharactersWithSpaces>5973</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2025-03-14T09:00:00Z</dcterms:created>
  <dc:creator>利君 何</dc:creator>
  <cp:lastModifiedBy>秋风夜雨</cp:lastModifiedBy>
  <cp:lastPrinted>2025-04-14T10:37:00Z</cp:lastPrinted>
  <dcterms:modified xsi:type="dcterms:W3CDTF">2025-04-17T08:51:40Z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