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一、对投标供应商的特殊资格要求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（一）投标人符合《中华人民共和国政府采购法》第二十二条的相关规定。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（二）投标人需信誉状况良好，无下列情形：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1.投标人须在中国执行信息公开网（http://zxgk.court.gov.cn/）无“失信被执行”记录（全国范围内），须提供查询结果截图并加盖单位公章。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投标人不得在国家企业信用信息公示系统(http://www.gsxt.gov.cn)中被列入以下情形：①严重违法失信企业名单（黑名单），②行政处罚信息名单，③经营异常名录，须同时提供以上三部分网站查询结果截图并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3.到投标截止之日，已执行完毕或不再执行的除外，但须提供相应的证明材料，包括但不限于罚款的缴纳凭证、已经移除或执行完毕的查询截图等，否则不予认可。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4.投标人若为事业单位无须提供国家企业信用公示系统中的截图，若为个体工商户无需提供“严重违法失信企业名单（黑名单）”查询截图。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5.查询路径：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中国执行信息公开网查询路径：输入网址—失信被执行人—查询条件中输入查询信息（其中“省份”选择“全部”）—点击查询并提供网页完整截图（须体现查询结果）。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国家企业信用信息公示系统查询路径：输入网址—输入单位名称点击查询—点击单位名称进入—依次点击进入“行政处罚信息”、“列入经营异常名录信息”、“列入严重违法失信企业名单（黑名单）信息” —依次提供网页完整查询截图（须体现查询结果）。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该项目预算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万元，验收合格后全额付款。供应商必须要保证商品的型号、品牌、规格都要符合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需求，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成交后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必须1个工作日内送货。具体数量详见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四、其他采购需求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采购清单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700"/>
        <w:gridCol w:w="7674"/>
        <w:gridCol w:w="1006"/>
        <w:gridCol w:w="1025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7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预算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绿篱机</w:t>
            </w:r>
          </w:p>
        </w:tc>
        <w:tc>
          <w:tcPr>
            <w:tcW w:w="7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排量：22.5cc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割幅：&gt;56cm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动力：二冲程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剪刀形式：双刃Dual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功率：&gt;0.65KW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1350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割草机</w:t>
            </w:r>
          </w:p>
        </w:tc>
        <w:tc>
          <w:tcPr>
            <w:tcW w:w="7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工作形式：手推式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排量：160ml-165ml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功率：&gt;4KW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使用燃油：92#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机油：四冲程机油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打草宽幅：大于45cm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3450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ZDkzZWY5OGRmNTZjNzg3ZGQ2ZDM2ZDZiY2Y3MzQifQ=="/>
  </w:docVars>
  <w:rsids>
    <w:rsidRoot w:val="3BBD3D36"/>
    <w:rsid w:val="0081057B"/>
    <w:rsid w:val="00EE5EAA"/>
    <w:rsid w:val="06A04C33"/>
    <w:rsid w:val="07404EAC"/>
    <w:rsid w:val="1AE93414"/>
    <w:rsid w:val="3A3F13E8"/>
    <w:rsid w:val="3BBD3D36"/>
    <w:rsid w:val="4CBE291C"/>
    <w:rsid w:val="566F2C36"/>
    <w:rsid w:val="74BB61F3"/>
    <w:rsid w:val="791464BD"/>
    <w:rsid w:val="7C72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737</Words>
  <Characters>834</Characters>
  <Lines>0</Lines>
  <Paragraphs>0</Paragraphs>
  <TotalTime>152</TotalTime>
  <ScaleCrop>false</ScaleCrop>
  <LinksUpToDate>false</LinksUpToDate>
  <CharactersWithSpaces>835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2024-05-17T03:56:00Z</dcterms:created>
  <dc:creator>Administrator</dc:creator>
  <cp:lastModifiedBy>最后的一把钥匙</cp:lastModifiedBy>
  <dcterms:modified xsi:type="dcterms:W3CDTF">2024-05-28T07:39:51Z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C32C0C3DA56F450C99D798CC009F26A6_11</vt:lpwstr>
  </property>
</Properties>
</file>