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饮水机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维保要求: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报价前务必进行现场勘察，确认维保饮水机的类型和维保要求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，并携带5种滤芯的纸质版的卫生批件和检验报告，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否则报价无效。各校区共87台饮水机进行维保、各校区不同类型饮水机的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一年2次的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水质检测。由于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四校区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饮水机是德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涞、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嵘昇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和怡然的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品牌，为了师生的饮水安全和配件与原来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品牌饮水机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相匹配，投标报价前须提供厂家对德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涞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嵘昇牌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和怡然牌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饮水机的品牌代理授权书、品牌售后授权书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及以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相关资料，方可对饮水机进行维保，提供的资料以备上级相关部门检查。</w:t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过滤的卫生批件或检验报告(PP棉)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2.过滤的卫生批件或检验报告(UDF颗粒活性炭)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。3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.过滤的卫生批件或检验报告(CTO压缩活性炭)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。4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.RO反渗透膜的卫生批件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。5.T33（后置活性炭）的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卫生批件或检验报告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。饮水机一年更换两次滤芯，水质监测每个校区的不同机型必检，每学期监测一次，必须是公认的水质监测机构（如昌源水务等），每次水质监测和更换滤芯时必须校方校医人员在场监督，并拍照留资料。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四校区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饮水机出现任何问题，中标方应随叫随到，保证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校区饮水机的正常工作。维保期间，饮水机出现任何故障问题，均由中标方承担维修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（含更换电路板等内外部所有配件），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若在24小时内修不好的，中标方须先协调同款类型的RO反渗透饮水机顶替，保证师生的正常饮水。一年维保结束后，经学校验收合格后将付款材料上交财政部门待通知支付。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YjdiMTI0OTE2ZGIyMTA3ODgzOTQ1ODc2MWVmM2UifQ=="/>
  </w:docVars>
  <w:rsids>
    <w:rsidRoot w:val="00000000"/>
    <w:rsid w:val="0A550626"/>
    <w:rsid w:val="1B420C2C"/>
    <w:rsid w:val="20303404"/>
    <w:rsid w:val="55CF39F8"/>
    <w:rsid w:val="5EAB13A9"/>
    <w:rsid w:val="734F0FD2"/>
    <w:rsid w:val="7449300A"/>
    <w:rsid w:val="74F825FC"/>
    <w:rsid w:val="7AA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2022-05-24T14:56:00Z</dcterms:created>
  <dc:creator>胡百胜</dc:creator>
  <cp:lastModifiedBy>百战百胜</cp:lastModifiedBy>
  <dcterms:modified xsi:type="dcterms:W3CDTF">2024-01-31T12:54:56Z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F0C316AAF6C8473C8331A3AC9E7A51F5_13</vt:lpwstr>
  </property>
</Properties>
</file>