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100" w:beforeAutospacing="1" w:after="330" w:line="480" w:lineRule="exact"/>
        <w:jc w:val="center"/>
        <w:rPr>
          <w:rFonts w:ascii="宋体" w:hAnsi="宋体" w:cs="宋体"/>
          <w:b/>
          <w:bCs/>
          <w:sz w:val="32"/>
          <w:szCs w:val="32"/>
        </w:rPr>
      </w:pPr>
      <w:r>
        <w:rPr>
          <w:rFonts w:hint="eastAsia" w:ascii="宋体" w:hAnsi="宋体" w:cs="宋体"/>
          <w:b/>
          <w:bCs/>
          <w:kern w:val="0"/>
          <w:sz w:val="32"/>
          <w:szCs w:val="32"/>
          <w:u w:val="single"/>
          <w:shd w:val="clear" w:color="auto" w:fill="FFFFFF"/>
          <w:lang w:bidi="ar"/>
        </w:rPr>
        <w:t>昆明冶金高等专科学校思想政治理论课虚拟仿真体验教学中心 项目</w:t>
      </w:r>
      <w:r>
        <w:rPr>
          <w:rFonts w:hint="eastAsia" w:ascii="宋体" w:hAnsi="宋体" w:cs="宋体"/>
          <w:b/>
          <w:bCs/>
          <w:kern w:val="0"/>
          <w:sz w:val="32"/>
          <w:szCs w:val="32"/>
          <w:shd w:val="clear" w:color="auto" w:fill="FFFFFF"/>
          <w:lang w:bidi="ar"/>
        </w:rPr>
        <w:t>采购项目</w:t>
      </w:r>
    </w:p>
    <w:p>
      <w:pPr>
        <w:widowControl/>
        <w:shd w:val="clear" w:color="auto" w:fill="FFFFFF"/>
        <w:adjustRightInd w:val="0"/>
        <w:snapToGrid w:val="0"/>
        <w:spacing w:before="100" w:beforeAutospacing="1" w:after="330" w:line="480" w:lineRule="exact"/>
        <w:jc w:val="center"/>
        <w:rPr>
          <w:rFonts w:ascii="宋体" w:hAnsi="宋体" w:cs="宋体"/>
          <w:sz w:val="28"/>
          <w:szCs w:val="28"/>
        </w:rPr>
      </w:pPr>
      <w:r>
        <w:rPr>
          <w:rFonts w:hint="eastAsia" w:ascii="宋体" w:hAnsi="宋体" w:cs="宋体"/>
          <w:b/>
          <w:bCs/>
          <w:kern w:val="0"/>
          <w:sz w:val="36"/>
          <w:szCs w:val="36"/>
          <w:shd w:val="clear" w:color="auto" w:fill="FFFFFF"/>
          <w:lang w:bidi="ar"/>
        </w:rPr>
        <w:t>采购需求</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采购需求应当完整、明确，包括以下内容：</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（一）采购标的需实现的功能或者目标，以及为落实政府采购政策需满足的要求；</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（二）采购标的需执行的国家相关标准、行业标准、地方标准或者其他标准、规范；</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（三）采购标的需满足的质量、安全、技术规格、物理特性等要求；</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（四）采购标的的数量、采购项目交付或者实施的时间和地点；</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（五）采购标的需满足的服务标准、期限、效率等要求；</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（六）采购标的的验收标准；</w:t>
      </w:r>
    </w:p>
    <w:p>
      <w:pPr>
        <w:widowControl/>
        <w:shd w:val="clear" w:color="auto" w:fill="FFFFFF"/>
        <w:spacing w:before="100" w:beforeAutospacing="1" w:after="330" w:line="42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（七）采购标的的其他技术、服务等要求。</w:t>
      </w: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p>
    <w:p>
      <w:pPr>
        <w:adjustRightInd w:val="0"/>
        <w:snapToGrid w:val="0"/>
        <w:spacing w:line="440" w:lineRule="exact"/>
        <w:jc w:val="left"/>
        <w:rPr>
          <w:rFonts w:hint="eastAsia" w:ascii="宋体" w:hAnsi="宋体" w:cs="宋体"/>
          <w:b/>
          <w:bCs/>
          <w:sz w:val="24"/>
        </w:rPr>
      </w:pPr>
      <w:r>
        <w:rPr>
          <w:rFonts w:hint="eastAsia" w:ascii="宋体" w:hAnsi="宋体" w:cs="宋体"/>
          <w:b/>
          <w:bCs/>
          <w:sz w:val="24"/>
        </w:rPr>
        <w:t>格式2</w:t>
      </w:r>
    </w:p>
    <w:p>
      <w:pPr>
        <w:adjustRightInd w:val="0"/>
        <w:snapToGrid w:val="0"/>
        <w:spacing w:line="440" w:lineRule="exact"/>
        <w:jc w:val="center"/>
        <w:rPr>
          <w:rFonts w:hint="eastAsia" w:ascii="宋体" w:hAnsi="宋体" w:cs="宋体"/>
          <w:sz w:val="24"/>
        </w:rPr>
      </w:pPr>
      <w:r>
        <w:rPr>
          <w:rFonts w:hint="eastAsia" w:ascii="宋体" w:hAnsi="宋体" w:cs="宋体"/>
          <w:b/>
          <w:bCs/>
          <w:sz w:val="24"/>
        </w:rPr>
        <w:t>【货物类】</w:t>
      </w:r>
    </w:p>
    <w:p>
      <w:pPr>
        <w:adjustRightInd w:val="0"/>
        <w:snapToGrid w:val="0"/>
        <w:spacing w:line="440" w:lineRule="exact"/>
        <w:ind w:firstLine="480" w:firstLineChars="200"/>
        <w:rPr>
          <w:rFonts w:hint="eastAsia" w:ascii="宋体" w:hAnsi="宋体" w:cs="宋体"/>
          <w:strike/>
          <w:sz w:val="24"/>
        </w:rPr>
      </w:pPr>
      <w:r>
        <w:rPr>
          <w:rFonts w:hint="eastAsia" w:ascii="宋体" w:hAnsi="宋体" w:cs="宋体"/>
          <w:sz w:val="24"/>
        </w:rPr>
        <w:t>为了保证学校招标与采购项目能够依法、高效、快捷、有序进行，特制定本需求，请打印并加盖公章后和电子文档一起提交资产处。</w:t>
      </w:r>
    </w:p>
    <w:p>
      <w:pPr>
        <w:numPr>
          <w:ilvl w:val="0"/>
          <w:numId w:val="2"/>
        </w:numPr>
        <w:adjustRightInd w:val="0"/>
        <w:snapToGrid w:val="0"/>
        <w:spacing w:line="440" w:lineRule="exact"/>
        <w:rPr>
          <w:rFonts w:hint="eastAsia" w:ascii="宋体" w:hAnsi="宋体" w:cs="宋体"/>
          <w:b/>
          <w:sz w:val="24"/>
        </w:rPr>
      </w:pPr>
      <w:r>
        <w:rPr>
          <w:rFonts w:hint="eastAsia" w:ascii="宋体" w:hAnsi="宋体" w:cs="宋体"/>
          <w:b/>
          <w:sz w:val="24"/>
        </w:rPr>
        <w:t>通用部分</w:t>
      </w:r>
    </w:p>
    <w:p>
      <w:pPr>
        <w:adjustRightInd w:val="0"/>
        <w:snapToGrid w:val="0"/>
        <w:spacing w:line="440" w:lineRule="exact"/>
        <w:rPr>
          <w:rFonts w:hint="eastAsia" w:ascii="宋体" w:hAnsi="宋体" w:eastAsia="宋体" w:cs="宋体"/>
          <w:spacing w:val="10"/>
          <w:sz w:val="24"/>
          <w:lang w:val="en-US" w:eastAsia="zh-CN"/>
        </w:rPr>
      </w:pPr>
      <w:r>
        <w:rPr>
          <w:rFonts w:hint="eastAsia" w:ascii="宋体" w:hAnsi="宋体" w:cs="宋体"/>
          <w:sz w:val="24"/>
        </w:rPr>
        <w:t>采购申请学院（部门）名称</w:t>
      </w:r>
      <w:r>
        <w:rPr>
          <w:rFonts w:hint="eastAsia" w:ascii="宋体" w:hAnsi="宋体" w:cs="宋体"/>
          <w:spacing w:val="10"/>
          <w:sz w:val="24"/>
        </w:rPr>
        <w:t>（盖章）：</w:t>
      </w:r>
      <w:r>
        <w:rPr>
          <w:rFonts w:hint="eastAsia" w:ascii="宋体" w:hAnsi="宋体" w:cs="宋体"/>
          <w:spacing w:val="10"/>
          <w:sz w:val="24"/>
          <w:lang w:val="en-US" w:eastAsia="zh-CN"/>
        </w:rPr>
        <w:t>马克思主义学院</w:t>
      </w:r>
    </w:p>
    <w:p>
      <w:pPr>
        <w:adjustRightInd w:val="0"/>
        <w:snapToGrid w:val="0"/>
        <w:spacing w:line="440" w:lineRule="exact"/>
        <w:rPr>
          <w:rFonts w:hint="eastAsia" w:ascii="宋体" w:hAnsi="宋体" w:cs="宋体"/>
          <w:sz w:val="24"/>
        </w:rPr>
      </w:pPr>
      <w:r>
        <w:rPr>
          <w:rFonts w:hint="eastAsia" w:ascii="宋体" w:hAnsi="宋体" w:cs="宋体"/>
          <w:sz w:val="24"/>
        </w:rPr>
        <w:t>采购项目名称：思想政治理论课虚拟仿真体验教学中心项目</w:t>
      </w:r>
    </w:p>
    <w:p>
      <w:pPr>
        <w:adjustRightInd w:val="0"/>
        <w:snapToGrid w:val="0"/>
        <w:spacing w:line="440" w:lineRule="exact"/>
        <w:rPr>
          <w:rFonts w:hint="eastAsia" w:ascii="宋体" w:hAnsi="宋体" w:cs="宋体"/>
          <w:sz w:val="24"/>
        </w:rPr>
      </w:pPr>
      <w:r>
        <w:rPr>
          <w:rFonts w:hint="eastAsia" w:ascii="宋体" w:hAnsi="宋体" w:cs="宋体"/>
          <w:sz w:val="24"/>
        </w:rPr>
        <w:t>采购预算资金：</w:t>
      </w:r>
    </w:p>
    <w:p>
      <w:pPr>
        <w:adjustRightInd w:val="0"/>
        <w:snapToGrid w:val="0"/>
        <w:spacing w:line="440" w:lineRule="exact"/>
        <w:rPr>
          <w:rFonts w:hint="eastAsia" w:ascii="宋体" w:hAnsi="宋体" w:cs="宋体"/>
          <w:b/>
          <w:bCs/>
          <w:sz w:val="24"/>
        </w:rPr>
      </w:pPr>
      <w:r>
        <w:rPr>
          <w:rFonts w:hint="eastAsia" w:ascii="宋体" w:hAnsi="宋体" w:cs="宋体"/>
          <w:spacing w:val="10"/>
          <w:sz w:val="24"/>
        </w:rPr>
        <w:t>标 段 划 分：</w:t>
      </w:r>
    </w:p>
    <w:p>
      <w:pPr>
        <w:adjustRightInd w:val="0"/>
        <w:snapToGrid w:val="0"/>
        <w:spacing w:line="360" w:lineRule="auto"/>
        <w:rPr>
          <w:rFonts w:hint="eastAsia" w:ascii="宋体" w:hAnsi="宋体" w:cs="宋体"/>
          <w:b/>
          <w:bCs/>
          <w:sz w:val="24"/>
        </w:rPr>
      </w:pPr>
    </w:p>
    <w:tbl>
      <w:tblPr>
        <w:tblStyle w:val="9"/>
        <w:tblW w:w="8839" w:type="dxa"/>
        <w:tblInd w:w="113" w:type="dxa"/>
        <w:tblLayout w:type="fixed"/>
        <w:tblCellMar>
          <w:top w:w="0" w:type="dxa"/>
          <w:left w:w="108" w:type="dxa"/>
          <w:bottom w:w="0" w:type="dxa"/>
          <w:right w:w="108" w:type="dxa"/>
        </w:tblCellMar>
      </w:tblPr>
      <w:tblGrid>
        <w:gridCol w:w="516"/>
        <w:gridCol w:w="2030"/>
        <w:gridCol w:w="1786"/>
        <w:gridCol w:w="852"/>
        <w:gridCol w:w="1446"/>
        <w:gridCol w:w="975"/>
        <w:gridCol w:w="1234"/>
      </w:tblGrid>
      <w:tr>
        <w:tblPrEx>
          <w:tblCellMar>
            <w:top w:w="0" w:type="dxa"/>
            <w:left w:w="108" w:type="dxa"/>
            <w:bottom w:w="0" w:type="dxa"/>
            <w:right w:w="108" w:type="dxa"/>
          </w:tblCellMar>
        </w:tblPrEx>
        <w:trPr>
          <w:trHeight w:val="615" w:hRule="atLeast"/>
        </w:trPr>
        <w:tc>
          <w:tcPr>
            <w:tcW w:w="8839"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xml:space="preserve">思想政治理论课虚拟仿真体验教学中心项目采购清单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序号</w:t>
            </w:r>
          </w:p>
        </w:tc>
        <w:tc>
          <w:tcPr>
            <w:tcW w:w="203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货物（劳务）名称</w:t>
            </w:r>
          </w:p>
        </w:tc>
        <w:tc>
          <w:tcPr>
            <w:tcW w:w="17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型号</w:t>
            </w:r>
          </w:p>
        </w:tc>
        <w:tc>
          <w:tcPr>
            <w:tcW w:w="85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单位</w:t>
            </w:r>
          </w:p>
        </w:tc>
        <w:tc>
          <w:tcPr>
            <w:tcW w:w="14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单价最高限价</w:t>
            </w: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万元）</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2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金额</w:t>
            </w: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万元）</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03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主机设备</w:t>
            </w:r>
          </w:p>
        </w:tc>
        <w:tc>
          <w:tcPr>
            <w:tcW w:w="17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Unis 526T G2</w:t>
            </w:r>
          </w:p>
        </w:tc>
        <w:tc>
          <w:tcPr>
            <w:tcW w:w="85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1446" w:type="dxa"/>
            <w:tcBorders>
              <w:top w:val="nil"/>
              <w:left w:val="nil"/>
              <w:bottom w:val="single" w:color="auto" w:sz="4" w:space="0"/>
              <w:right w:val="single" w:color="auto" w:sz="4" w:space="0"/>
            </w:tcBorders>
            <w:noWrap/>
            <w:vAlign w:val="center"/>
          </w:tcPr>
          <w:p>
            <w:pPr>
              <w:widowControl/>
              <w:jc w:val="center"/>
              <w:rPr>
                <w:rFonts w:hint="default"/>
                <w:lang w:val="en-US" w:eastAsia="zh-CN"/>
              </w:rPr>
            </w:pPr>
            <w:r>
              <w:rPr>
                <w:rFonts w:hint="eastAsia" w:ascii="宋体" w:hAnsi="宋体" w:cs="宋体"/>
                <w:color w:val="000000"/>
                <w:kern w:val="0"/>
                <w:sz w:val="20"/>
                <w:szCs w:val="20"/>
                <w:lang w:val="en-US" w:eastAsia="zh-CN"/>
              </w:rPr>
              <w:t>0.5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2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030"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000000"/>
                <w:kern w:val="0"/>
                <w:sz w:val="20"/>
                <w:szCs w:val="20"/>
                <w:lang w:val="en-US" w:eastAsia="zh-CN"/>
              </w:rPr>
            </w:pPr>
            <w:r>
              <w:rPr>
                <w:rStyle w:val="18"/>
                <w:rFonts w:hint="eastAsia"/>
                <w:lang w:val="en-US" w:eastAsia="zh-CN" w:bidi="ar"/>
              </w:rPr>
              <w:t>显示系统</w:t>
            </w:r>
          </w:p>
        </w:tc>
        <w:tc>
          <w:tcPr>
            <w:tcW w:w="178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Q2.0pro</w:t>
            </w:r>
          </w:p>
        </w:tc>
        <w:tc>
          <w:tcPr>
            <w:tcW w:w="852"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144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w:t>
            </w:r>
          </w:p>
        </w:tc>
        <w:tc>
          <w:tcPr>
            <w:tcW w:w="97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12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402" w:hRule="atLeast"/>
        </w:trPr>
        <w:tc>
          <w:tcPr>
            <w:tcW w:w="7605"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2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bl>
    <w:p>
      <w:pPr>
        <w:adjustRightInd w:val="0"/>
        <w:snapToGrid w:val="0"/>
        <w:spacing w:line="360" w:lineRule="auto"/>
        <w:rPr>
          <w:rFonts w:hint="eastAsia" w:ascii="宋体" w:hAnsi="宋体" w:cs="宋体"/>
          <w:b/>
          <w:bCs/>
          <w:sz w:val="24"/>
        </w:rPr>
      </w:pPr>
    </w:p>
    <w:p>
      <w:pPr>
        <w:adjustRightInd w:val="0"/>
        <w:snapToGrid w:val="0"/>
        <w:spacing w:line="440" w:lineRule="exact"/>
        <w:rPr>
          <w:rFonts w:hint="eastAsia" w:ascii="宋体" w:hAnsi="宋体" w:cs="宋体"/>
          <w:b/>
          <w:sz w:val="24"/>
        </w:rPr>
      </w:pPr>
      <w:r>
        <w:rPr>
          <w:rFonts w:hint="eastAsia" w:ascii="宋体" w:hAnsi="宋体" w:cs="宋体"/>
          <w:b/>
          <w:sz w:val="24"/>
        </w:rPr>
        <w:t>二、商务部分：</w:t>
      </w:r>
    </w:p>
    <w:p>
      <w:pPr>
        <w:adjustRightInd w:val="0"/>
        <w:snapToGrid w:val="0"/>
        <w:spacing w:line="440" w:lineRule="exact"/>
        <w:rPr>
          <w:rFonts w:hint="eastAsia" w:ascii="宋体" w:hAnsi="宋体" w:cs="宋体"/>
          <w:sz w:val="24"/>
        </w:rPr>
      </w:pPr>
      <w:r>
        <w:rPr>
          <w:rFonts w:hint="eastAsia" w:ascii="宋体" w:hAnsi="宋体" w:cs="宋体"/>
          <w:sz w:val="24"/>
        </w:rPr>
        <w:t>资质要求及商务条款：</w:t>
      </w:r>
    </w:p>
    <w:p>
      <w:pPr>
        <w:adjustRightInd w:val="0"/>
        <w:snapToGrid w:val="0"/>
        <w:spacing w:line="440" w:lineRule="exact"/>
        <w:rPr>
          <w:rFonts w:hint="eastAsia" w:ascii="宋体" w:hAnsi="宋体" w:cs="宋体"/>
          <w:sz w:val="24"/>
        </w:rPr>
      </w:pPr>
      <w:r>
        <w:rPr>
          <w:rFonts w:hint="eastAsia" w:ascii="宋体" w:hAnsi="宋体" w:cs="宋体"/>
          <w:sz w:val="24"/>
        </w:rPr>
        <w:t>1、供应商应当符合《中华人民共和国政府采购法》第二十二条规定的条件；</w:t>
      </w:r>
    </w:p>
    <w:p>
      <w:pPr>
        <w:adjustRightInd w:val="0"/>
        <w:snapToGrid w:val="0"/>
        <w:spacing w:line="440" w:lineRule="exact"/>
        <w:jc w:val="left"/>
        <w:rPr>
          <w:rFonts w:hint="eastAsia" w:ascii="宋体" w:hAnsi="宋体" w:cs="宋体"/>
          <w:sz w:val="24"/>
        </w:rPr>
      </w:pPr>
      <w:r>
        <w:rPr>
          <w:rFonts w:hint="eastAsia" w:ascii="宋体" w:hAnsi="宋体" w:cs="宋体"/>
          <w:sz w:val="24"/>
        </w:rPr>
        <w:t>2、采购人根据本项目的特殊要求规定供应商应具备的特定条件：</w:t>
      </w:r>
    </w:p>
    <w:p>
      <w:pPr>
        <w:adjustRightInd w:val="0"/>
        <w:snapToGrid w:val="0"/>
        <w:spacing w:line="440" w:lineRule="exact"/>
        <w:jc w:val="left"/>
        <w:rPr>
          <w:rFonts w:hint="eastAsia" w:ascii="宋体" w:hAnsi="宋体" w:cs="宋体"/>
          <w:sz w:val="24"/>
        </w:rPr>
      </w:pPr>
      <w:r>
        <w:rPr>
          <w:rFonts w:hint="eastAsia" w:ascii="宋体" w:hAnsi="宋体" w:cs="宋体"/>
          <w:sz w:val="24"/>
        </w:rPr>
        <w:t>3、交货期：合同签订生效后</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日内。</w:t>
      </w:r>
    </w:p>
    <w:p>
      <w:pPr>
        <w:adjustRightInd w:val="0"/>
        <w:snapToGrid w:val="0"/>
        <w:spacing w:line="440" w:lineRule="exact"/>
        <w:rPr>
          <w:rFonts w:hint="eastAsia" w:ascii="宋体" w:hAnsi="宋体" w:cs="宋体"/>
          <w:sz w:val="24"/>
        </w:rPr>
      </w:pPr>
      <w:r>
        <w:rPr>
          <w:rFonts w:hint="eastAsia" w:ascii="宋体" w:hAnsi="宋体" w:cs="宋体"/>
          <w:sz w:val="24"/>
        </w:rPr>
        <w:t>4、交货地点：</w:t>
      </w:r>
      <w:r>
        <w:rPr>
          <w:rFonts w:hint="eastAsia" w:ascii="宋体" w:hAnsi="宋体" w:cs="宋体"/>
          <w:sz w:val="24"/>
          <w:u w:val="single"/>
        </w:rPr>
        <w:t xml:space="preserve"> </w:t>
      </w:r>
      <w:r>
        <w:rPr>
          <w:rFonts w:hint="eastAsia" w:ascii="宋体" w:hAnsi="宋体" w:cs="宋体"/>
          <w:sz w:val="24"/>
          <w:u w:val="single"/>
          <w:lang w:val="en-US" w:eastAsia="zh-CN"/>
        </w:rPr>
        <w:t>昆明冶金高等专科学校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440" w:lineRule="exact"/>
        <w:rPr>
          <w:rFonts w:hint="eastAsia" w:ascii="宋体" w:hAnsi="宋体" w:cs="宋体"/>
          <w:sz w:val="24"/>
        </w:rPr>
      </w:pPr>
      <w:r>
        <w:rPr>
          <w:rFonts w:hint="eastAsia" w:ascii="宋体" w:hAnsi="宋体" w:cs="宋体"/>
          <w:sz w:val="24"/>
        </w:rPr>
        <w:t>5、是否接受联合体：□（请在□内打√或者打×）</w:t>
      </w:r>
    </w:p>
    <w:p>
      <w:pPr>
        <w:adjustRightInd w:val="0"/>
        <w:snapToGrid w:val="0"/>
        <w:spacing w:line="440" w:lineRule="exact"/>
        <w:rPr>
          <w:rFonts w:hint="eastAsia" w:ascii="宋体" w:hAnsi="宋体" w:cs="宋体"/>
          <w:sz w:val="24"/>
        </w:rPr>
      </w:pPr>
      <w:r>
        <w:rPr>
          <w:rFonts w:hint="eastAsia" w:ascii="宋体" w:hAnsi="宋体" w:cs="宋体"/>
          <w:sz w:val="24"/>
        </w:rPr>
        <w:t>6、是否代收履约保证金：</w:t>
      </w:r>
      <w:r>
        <w:rPr>
          <w:rFonts w:hint="eastAsia" w:ascii="宋体" w:hAnsi="宋体" w:cs="宋体"/>
          <w:sz w:val="24"/>
          <w:lang w:eastAsia="zh-CN"/>
        </w:rPr>
        <w:t>☑</w:t>
      </w:r>
      <w:r>
        <w:rPr>
          <w:rFonts w:hint="eastAsia" w:ascii="宋体" w:hAnsi="宋体" w:cs="宋体"/>
          <w:sz w:val="24"/>
        </w:rPr>
        <w:t>（请在□内打√或者打×）比率：合同总价的</w:t>
      </w:r>
      <w:r>
        <w:rPr>
          <w:rFonts w:hint="eastAsia" w:ascii="宋体" w:hAnsi="宋体" w:cs="宋体"/>
          <w:sz w:val="24"/>
          <w:u w:val="single"/>
        </w:rPr>
        <w:t>5%</w:t>
      </w:r>
      <w:r>
        <w:rPr>
          <w:rFonts w:hint="eastAsia" w:ascii="宋体" w:hAnsi="宋体" w:cs="宋体"/>
          <w:sz w:val="24"/>
        </w:rPr>
        <w:t>；</w:t>
      </w:r>
    </w:p>
    <w:p>
      <w:pPr>
        <w:adjustRightInd w:val="0"/>
        <w:snapToGrid w:val="0"/>
        <w:spacing w:line="440" w:lineRule="exact"/>
        <w:rPr>
          <w:rFonts w:hint="eastAsia" w:ascii="宋体" w:hAnsi="宋体" w:cs="宋体"/>
          <w:sz w:val="24"/>
        </w:rPr>
      </w:pPr>
      <w:r>
        <w:rPr>
          <w:rFonts w:hint="eastAsia" w:ascii="宋体" w:hAnsi="宋体" w:cs="宋体"/>
          <w:sz w:val="24"/>
        </w:rPr>
        <w:t>7、付款方式：</w:t>
      </w:r>
      <w:r>
        <w:rPr>
          <w:rFonts w:hint="eastAsia" w:ascii="宋体" w:hAnsi="宋体" w:cs="宋体"/>
          <w:sz w:val="24"/>
          <w:u w:val="single"/>
        </w:rPr>
        <w:t xml:space="preserve">（由财务处确定）             </w:t>
      </w:r>
      <w:r>
        <w:rPr>
          <w:rFonts w:hint="eastAsia" w:ascii="宋体" w:hAnsi="宋体" w:cs="宋体"/>
          <w:sz w:val="24"/>
        </w:rPr>
        <w:t>。</w:t>
      </w:r>
    </w:p>
    <w:p>
      <w:pPr>
        <w:adjustRightInd w:val="0"/>
        <w:snapToGrid w:val="0"/>
        <w:spacing w:line="440" w:lineRule="exact"/>
        <w:rPr>
          <w:rFonts w:hint="eastAsia" w:ascii="宋体" w:hAnsi="宋体" w:cs="宋体"/>
          <w:sz w:val="24"/>
        </w:rPr>
      </w:pPr>
    </w:p>
    <w:p>
      <w:pPr>
        <w:adjustRightInd w:val="0"/>
        <w:snapToGrid w:val="0"/>
        <w:spacing w:line="440" w:lineRule="exact"/>
        <w:rPr>
          <w:rFonts w:hint="eastAsia" w:ascii="宋体" w:hAnsi="宋体" w:cs="宋体"/>
          <w:sz w:val="24"/>
        </w:rPr>
      </w:pPr>
      <w:r>
        <w:rPr>
          <w:rFonts w:hint="eastAsia" w:ascii="宋体" w:hAnsi="宋体" w:cs="宋体"/>
          <w:b/>
          <w:sz w:val="24"/>
        </w:rPr>
        <w:t>三、技术部分：需求及参数表见附件（附后）</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sz w:val="24"/>
        </w:rPr>
        <w:t>采购委托明细表中与产品（项目）名称一一对应的规格、技术参数、性能要求、质量及售后服务要求、验收要求；【如有进口产品无批复不能采购；所有货物不能指定品牌型号及厂家；</w:t>
      </w:r>
      <w:r>
        <w:rPr>
          <w:rFonts w:hint="eastAsia" w:ascii="宋体" w:hAnsi="宋体" w:cs="宋体"/>
          <w:kern w:val="0"/>
          <w:sz w:val="24"/>
        </w:rPr>
        <w:t>不得将投标人的注册资本、资产总额、营业收入、从业人员、利润、纳税额等规模条件作为资格要求或者评审因素，也不得通过将除进口货物以外的生产厂家授权、承诺、证明、背书等作为资格要求，对投标人</w:t>
      </w:r>
    </w:p>
    <w:p>
      <w:pPr>
        <w:adjustRightInd w:val="0"/>
        <w:snapToGrid w:val="0"/>
        <w:spacing w:line="440" w:lineRule="exact"/>
        <w:rPr>
          <w:rFonts w:hint="eastAsia" w:ascii="宋体" w:hAnsi="宋体" w:cs="宋体"/>
          <w:sz w:val="24"/>
        </w:rPr>
      </w:pPr>
      <w:r>
        <w:rPr>
          <w:rFonts w:hint="eastAsia" w:ascii="宋体" w:hAnsi="宋体" w:cs="宋体"/>
          <w:kern w:val="0"/>
          <w:sz w:val="24"/>
        </w:rPr>
        <w:t>实行差别待遇或者歧视待遇。</w:t>
      </w:r>
      <w:r>
        <w:rPr>
          <w:rFonts w:hint="eastAsia" w:ascii="宋体" w:hAnsi="宋体" w:cs="宋体"/>
          <w:sz w:val="24"/>
        </w:rPr>
        <w:t>】</w:t>
      </w:r>
    </w:p>
    <w:p>
      <w:pPr>
        <w:pStyle w:val="2"/>
        <w:ind w:left="0" w:leftChars="0" w:firstLine="0" w:firstLineChars="0"/>
        <w:rPr>
          <w:rFonts w:hint="eastAsia" w:ascii="宋体" w:hAnsi="宋体" w:cs="宋体"/>
          <w:sz w:val="24"/>
        </w:rPr>
      </w:pPr>
    </w:p>
    <w:p>
      <w:pPr>
        <w:pStyle w:val="2"/>
        <w:rPr>
          <w:rFonts w:hint="eastAsia" w:ascii="宋体" w:hAnsi="宋体" w:cs="宋体"/>
          <w:sz w:val="24"/>
        </w:rPr>
        <w:sectPr>
          <w:pgSz w:w="11906" w:h="16838"/>
          <w:pgMar w:top="1440" w:right="1800" w:bottom="1440" w:left="1800" w:header="851" w:footer="992" w:gutter="0"/>
          <w:cols w:space="720" w:num="1"/>
          <w:docGrid w:type="lines" w:linePitch="312" w:charSpace="0"/>
        </w:sectPr>
      </w:pPr>
    </w:p>
    <w:tbl>
      <w:tblPr>
        <w:tblStyle w:val="9"/>
        <w:tblW w:w="1378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759"/>
        <w:gridCol w:w="1192"/>
        <w:gridCol w:w="841"/>
        <w:gridCol w:w="1019"/>
        <w:gridCol w:w="1523"/>
        <w:gridCol w:w="6041"/>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标段代码</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产品（项目）名称</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须控制的预算单价（单位：元）</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配置要求及参数（不能指定品牌）</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交货地点（备注）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主机设备</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0.5</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 、分体式商用台式机； 国产品牌，处理器： ≥Intel酷睿</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I7-11700处理器，8核16线程，CPU主频 ≥2.5GHz ，三级缓存 ≥ 16MB；</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 、主板： ≥IntelB560商用芯片组且集成SATA硬盘供电接 口的主板，主机与主板同品牌（提供证明资料）。</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 、 内存： ≥16GB DDR4 3200MHz内存，预留内存扩展槽， 最大可扩展至64GB。</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 、硬盘： ≥256GB M.2 SSD硬盘+2TB  机械硬盘，2个3.5寸 SATA硬盘槽位。</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、显卡：RTX3060 12G独立显卡。</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 、音频：集成高清声卡，前置≥1个耳机麦克风2合1接 口、 ≥1个麦克风接 口，后置≥3个音频接 口。</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 、 网卡：集成千兆网卡。</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 、I/O扩展槽： ≥1个PCIex16, ≥2个PCIex1, ≥1个PCI。</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 、M.2扩展槽： ≥2个M.2。</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 、USB接 口：前面板≥4个USB3.2 Type A Genl接 口、 ≥2 个USB 2.0接 口；背板≥2个USB3.2 TypeAGenl 、 ≥2个</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USB2.0；</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 、视频接 口：支持三屏显示，且主板支持VGA+HDMI+DP 视频接 口，每种接口不得少于1个；。</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 、其他接 口： ≥1个串 口、 ≥2个PS/2接 口。</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 、键盘鼠标：标准商务键盘鼠标，键盘需通过防泼溅、抗 菌检验， 鼠标需通过抗菌检验。</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 、BIOS：简体中文BIOS ，BIOS层USB智能屏蔽技术，仅 识别USB键盘、 鼠标，无法识别USB读取设备，有效防止数 据泄露。</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15 、 电源： ≥750W  高效节能电源。</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16 、机箱： 曜石黑机身搭配红色进取线条，机箱≥ 17L ，机 箱免工具开启，束线锁孔和机箱锁孔采用一体化设计。</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17 、操作系统：预装win10及以上正版HB操作系统。</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 、显示器： ≥27英寸液晶显示器，3边窄边框，分辨率≥  1920x1080、VGA+HDMI接口带原厂HDMI线缆、VESA标准 安装孔， ≥5种显示模式，具备低蓝光功能。</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 、 网络同传及硬盘保护：具备固态机械双硬盘同传保护、高速同传、增量备份、断点续传、软硬件资产管理、上网黑 白名单管理、软件自动批量注册及加密传输功能（提供功能 性截图 ）；</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 、保障产品的稳定运行及售后服务：提供不少于三年的 原厂质保免费保修服务承诺，所投计算机通过CNAS认可的 平均无故障时间MTBF值≥ 110万小时；所投计算机制造厂商 检测中心通过具有CNAS标志的中国合格评定国家认可委员 会实验室认可的证书；提供计算机制造厂商技术支持中心或 售后服务部门通过CCCS客户联络中心标准体系认证达到5</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星级及以上等级。</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▲21 、其他要求： 以上主要技术指标（主板芯片组规格、扩 展槽和接口规格及数量等）需提供官网链接地址及截图等证 明材料。</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▲22 、所投台式计算机支持国产统信桌面操作系统V20或银 河麒麟桌面操作系统V10。（提供操作系统供应商兼容性检 测证书 ）。</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23 、符合国家级GB/T 9813.1-2016《计算机通用规范 第1部 分： 台式微型计算机》标准中冲击检验、冲击加速度≥</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300m/s2 ；包装碰撞检验、碰撞加速度≥ 100m/s2 ；噪声声功 率级为：3.63Bel（A）；</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昆明冶金高等专科学校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显示系统</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1、像素间距≤2mm，灯管封装SMD，像素点密度≥250000Dots/㎡，模组尺寸320mm*160mm。                                                                                                                                      2、模组分辨率160*80=12800Dots。                                                                                                                                                                        3、驱动方式：灯驱合一，驱动芯片具有消隐功能、倍频刷新率提升2/4/8倍、低灰偏色改善。                                                                                                                                            4、套件材质：采用聚碳酸酯和玻璃纤维。                                                                                                                                                                                    5、低亮高灰特性：采用EPWM灰阶控制技术提升低灰视觉效果，100%亮度时，16bit灰度；70%亮度时，16bit灰度；50%亮度时，16bit灰度；20%亮度时，14bit灰度；支持0-100%亮度时，8-16bits灰度自定义设置。                                                                                                                                                                    6、亮度0-820cd/㎡可调，亮度均匀性≥98%，亮度等级≥30级,0-100%亮度可调，屏幕亮度具有随环境照度的变化任意调节功能。                                                                                                                                                                        7、色温：800—20000K可调，色温为6500K时，100%、75%、50%、25%四档电平白场调节色温误差≤100K。                                                                                                                                             8、色度均匀性±0.001Cx、Cy，色域≥120%NTSC，LED显示屏ColorSPace覆盖率≥170%YUV（PAL），色准∆E≤0.9，显示颜色≥281.4trillion，支持BT.2020/DC.P3/BT.709/SRGB等多种色域转换。                                                                                                                                                                                 9、对比度≥10000:1，反光率≤1%,平整度：≤0.05mm,刷新率:4200Hz                                                                                                                                                              10、峰值功耗≤300W/㎡、平均功耗≤120W/㎡。                                                                                                                                                                     11、可视角：水平视角≥160°、垂直视角≥160°。                                                                                                                                                                          12．所投LED显示屏的灯管耐焊耐热：灯珠引脚无氧化,焊接正常,灯珠胶体正常,点亮正常；灯管抗静电(ESD)测试：HBM模式:ESD&gt;2000V,灯珠点亮无异常；灯管红墨水试验：纯红墨水常温浸泡24h,无渗透,灯管气密性良好。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13．高低温负荷工作：为确保屏体在不同的环境下仍可正常启动工作，要求投标人所投LED显示屏须通过零下40℃和高温80℃的环境运行12h产品能正常工作。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14．具备防蓝光护眼功能，蓝光辐射能量≤20%。蓝光辐射能量值对人眼视网膜无伤害，LED显示屏蓝光辐亮度≤0.5W.m-2.sr-1,符合肉眼观看标准。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15.工作湿度范围: 10RH～90RH%无结露；存储湿度范围: 10RH～95RH%无结露。长时间没有使用屏体，屏体自动切入除湿模式，通过预热灯珠，蒸发掉灯珠内部湿气，使屏体从10%到100%亮度逐步显示，达到保护LED灯                                                                                                                                         16．屏幕表面光反射率，照度=10Lux/5600K条件下， 显示屏屏幕表面光反射率 （单位面积反射亮度）＜3.0cd/m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17．要求投标人所投LED显示屏支持DVI、VGA、SDI输入、支持HDMI视频输入、支持视频PAL/NTSC制式自适应、支持复合视频信号、支持USB输入、支持IP输入、支持CVBS/DP/HDBASE输入、支持光纤/网络等接口输入。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18．支持3D数字梳状滤波和3D数字图像降噪技术，可消除图像细节的杂波干扰、边缘锯齿现象；具有H2S宽动态处理技术，解决主控机二次重复播放时的衰减等现象                                              19．显示屏所使用的材料及元器件均符合《SJ/T11363-2016电子信息产品中有毒有害物质的限定要求》符合环保要求的相关声明，根据《GB/T27050.1-2006合格评定供方的符合性声明第1部分：通用要求》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                                                                                      20．具备0级防霉特性,符合《GBT2423.16-2022 电工电子产品环境试验 第二部分∶试验方法 试验J及导则∶长霉》的测试要求，可防黑曲霉、土曲霉、球毛壳霉、绳状青霉、绿色木霉等                                                                                                                                              21．为保障产品用电安全，led显示屏具备在器具输入插座端与屏正面之间施加试验电压3kv/50Hz，保持1min，不出现飞弧和击穿现象；在器具输入插座端或者电源引入端子与外壳裸露金属部件之间的绝缘电阻在正常大气条件下≥100MΩ，湿热条件下≥2MΩ</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22．依据GB4943.1标准进行阻燃测试：整机阻燃测试，测试符合V-0级标准；PCB板、防火保护外壳及内部其他元器件均达到V-0等级；套件（塑料面板、面罩）测试均达到V-0等级                                     23．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                                                             24.以上1-23技术参数需提供由第三方权威检测机构出具带有“CNAS”、“CMA”、“ilac-MRA”标志的检测报告，提供相关证书复印件并加盖制造商鲜章。                                                    25、为了防止LED光源对人眼的伤害，LED电子显示屏产品通过TUV莱茵低蓝光认证，无视网膜蓝光危害。提供 TÜV低蓝光认证，提供证书复印件并加盖制造商鲜章。</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26、所有电子元器件、组装件、相关物料和过程通过国际电工委员会质量评定体系（IECQ）标准要求，提供相关证明材料并加盖制造商鲜章。</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27、为保证消除产品中的铅、汞、镉、六价铬、多溴联苯和多溴二苯醚，利于人体健康及环境保护，提供同时具有CNAS/ilac-MRA/CMA标识的权威第三方检测机构出具的ROHS检测报告复印件并加盖制造商鲜章。                                                                                                                                                        28、为了保证LED显示屏质量，LED显示屏生产厂家需通过国军标认证，职业健康管理体系认证证书，CAQI-稳定合格认证，CAQI-质量领先认证，中国节能产品认证并加盖厂家鲜章                                                                                                                                                       29、LED显示屏生产厂家需同时获得科学技术局、财政局、税务局联合颁发的高新技术企业证书和由国家发展改革委、科技部、财政部、海关总署、国家税务总局联合颁发的“国家认定企业技术中心”证书。                                                                                                                                                 30、LED显示屏生产厂家需获得国</w:t>
            </w:r>
            <w:bookmarkStart w:id="0" w:name="_GoBack"/>
            <w:bookmarkEnd w:id="0"/>
            <w:r>
              <w:rPr>
                <w:rFonts w:hint="eastAsia" w:ascii="宋体" w:hAnsi="宋体" w:eastAsia="宋体" w:cs="宋体"/>
                <w:i w:val="0"/>
                <w:iCs w:val="0"/>
                <w:color w:val="000000"/>
                <w:kern w:val="0"/>
                <w:sz w:val="20"/>
                <w:szCs w:val="20"/>
                <w:u w:val="none"/>
                <w:lang w:val="en-US" w:eastAsia="zh-CN" w:bidi="ar"/>
              </w:rPr>
              <w:t xml:space="preserve">家火炬计划项目证书。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31、LED显示屏生产厂家需获得国军标管理体系认证和职业健康管理体系认证证书，安全生产标准化证书 。                                                                                                                               32、LED显示屏生产厂家需连续四年获得“LED屏行业十佳LED显示屏应用工程”证书。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33、LED显示屏生产厂家获得银行业总行级别的合作客户认证。                                                                                                                                                    34、提供投标LED显示屏服务能力达到GB/T27922-2011《商品售后服务评价体系》规定的五星级要求。                                                                                   35、为确保供货、售后渠道的正规性，投标单位需提供LED显示屏厂家的原厂质保函。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36、总面积≥17.2平方米</w:t>
            </w:r>
            <w:r>
              <w:rPr>
                <w:rFonts w:hint="eastAsia" w:ascii="宋体" w:hAnsi="宋体" w:eastAsia="宋体" w:cs="宋体"/>
                <w:i w:val="0"/>
                <w:iCs w:val="0"/>
                <w:color w:val="000000"/>
                <w:kern w:val="0"/>
                <w:sz w:val="20"/>
                <w:szCs w:val="20"/>
                <w:u w:val="none"/>
                <w:lang w:val="en-US" w:eastAsia="zh-CN" w:bidi="ar"/>
              </w:rPr>
              <w:t xml:space="preserve">                                                                                                           </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昆明冶金高等专科学校</w:t>
            </w:r>
          </w:p>
        </w:tc>
      </w:tr>
    </w:tbl>
    <w:p>
      <w:pPr>
        <w:pStyle w:val="2"/>
        <w:ind w:left="0" w:leftChars="0" w:firstLine="0" w:firstLineChars="0"/>
        <w:rPr>
          <w:rFonts w:hint="eastAsia" w:ascii="宋体" w:hAnsi="宋体" w:cs="宋体"/>
          <w:sz w:val="24"/>
        </w:rPr>
        <w:sectPr>
          <w:pgSz w:w="16838" w:h="11906" w:orient="landscape"/>
          <w:pgMar w:top="1800" w:right="1440" w:bottom="1800" w:left="1440" w:header="851" w:footer="992" w:gutter="0"/>
          <w:cols w:space="720" w:num="1"/>
          <w:docGrid w:type="lines" w:linePitch="312" w:charSpace="0"/>
        </w:sectPr>
      </w:pPr>
    </w:p>
    <w:p>
      <w:pPr>
        <w:widowControl/>
        <w:jc w:val="left"/>
        <w:textAlignment w:val="bottom"/>
        <w:rPr>
          <w:rFonts w:hint="eastAsia" w:ascii="宋体" w:hAnsi="宋体" w:cs="宋体"/>
          <w:b/>
          <w:kern w:val="0"/>
          <w:sz w:val="24"/>
          <w:lang w:bidi="ar"/>
        </w:rPr>
      </w:pPr>
      <w:r>
        <w:rPr>
          <w:rFonts w:hint="eastAsia" w:ascii="宋体" w:hAnsi="宋体" w:cs="宋体"/>
          <w:b/>
          <w:bCs/>
          <w:sz w:val="24"/>
        </w:rPr>
        <w:t>请载明核心产品：</w:t>
      </w:r>
      <w:r>
        <w:rPr>
          <w:rFonts w:hint="eastAsia" w:ascii="宋体" w:hAnsi="宋体" w:cs="宋体"/>
          <w:color w:val="000000"/>
          <w:kern w:val="0"/>
          <w:sz w:val="24"/>
          <w:szCs w:val="24"/>
          <w:lang w:val="en-US" w:eastAsia="zh-CN" w:bidi="ar"/>
        </w:rPr>
        <w:t>显示系统</w:t>
      </w:r>
    </w:p>
    <w:p>
      <w:pPr>
        <w:widowControl/>
        <w:jc w:val="left"/>
        <w:textAlignment w:val="bottom"/>
        <w:rPr>
          <w:rFonts w:hint="eastAsia" w:ascii="宋体" w:hAnsi="宋体" w:cs="宋体"/>
          <w:b/>
          <w:kern w:val="0"/>
          <w:sz w:val="24"/>
          <w:lang w:bidi="ar"/>
        </w:rPr>
      </w:pPr>
    </w:p>
    <w:p>
      <w:pPr>
        <w:widowControl/>
        <w:jc w:val="left"/>
        <w:textAlignment w:val="bottom"/>
        <w:rPr>
          <w:rFonts w:hint="eastAsia" w:ascii="宋体" w:hAnsi="宋体" w:cs="宋体"/>
          <w:b/>
          <w:bCs/>
          <w:sz w:val="24"/>
        </w:rPr>
      </w:pPr>
      <w:r>
        <w:rPr>
          <w:rFonts w:hint="eastAsia" w:ascii="宋体" w:hAnsi="宋体" w:cs="宋体"/>
          <w:b/>
          <w:bCs/>
          <w:sz w:val="24"/>
        </w:rPr>
        <w:t>质量及售后服务要求：</w:t>
      </w:r>
    </w:p>
    <w:p>
      <w:pPr>
        <w:adjustRightInd w:val="0"/>
        <w:spacing w:line="360" w:lineRule="auto"/>
        <w:ind w:firstLine="480" w:firstLineChars="200"/>
        <w:rPr>
          <w:rFonts w:ascii="宋体" w:hAnsi="宋体"/>
          <w:sz w:val="24"/>
        </w:rPr>
      </w:pPr>
      <w:r>
        <w:rPr>
          <w:rFonts w:hint="eastAsia"/>
          <w:sz w:val="24"/>
        </w:rPr>
        <w:t>1</w:t>
      </w:r>
      <w:r>
        <w:rPr>
          <w:rFonts w:hint="eastAsia" w:ascii="宋体" w:hAnsi="宋体"/>
          <w:sz w:val="24"/>
        </w:rPr>
        <w:t>、</w:t>
      </w:r>
      <w:r>
        <w:rPr>
          <w:rFonts w:ascii="宋体" w:hAnsi="宋体"/>
          <w:sz w:val="24"/>
        </w:rPr>
        <w:t>承诺：严格贯彻质量管理方针要求，按</w:t>
      </w:r>
      <w:r>
        <w:rPr>
          <w:rFonts w:hint="eastAsia" w:ascii="宋体" w:hAnsi="宋体"/>
          <w:sz w:val="24"/>
        </w:rPr>
        <w:t>招标</w:t>
      </w:r>
      <w:r>
        <w:rPr>
          <w:rFonts w:ascii="宋体" w:hAnsi="宋体"/>
          <w:sz w:val="24"/>
        </w:rPr>
        <w:t>文件、合同要求和</w:t>
      </w:r>
      <w:r>
        <w:rPr>
          <w:rFonts w:hint="eastAsia" w:ascii="宋体" w:hAnsi="宋体"/>
          <w:sz w:val="24"/>
        </w:rPr>
        <w:t>投标文件</w:t>
      </w:r>
      <w:r>
        <w:rPr>
          <w:rFonts w:ascii="宋体" w:hAnsi="宋体"/>
          <w:sz w:val="24"/>
        </w:rPr>
        <w:t>对整体</w:t>
      </w:r>
      <w:r>
        <w:rPr>
          <w:rFonts w:hint="eastAsia" w:ascii="宋体" w:hAnsi="宋体"/>
          <w:sz w:val="24"/>
        </w:rPr>
        <w:t>项目</w:t>
      </w:r>
      <w:r>
        <w:rPr>
          <w:rFonts w:ascii="宋体" w:hAnsi="宋体"/>
          <w:sz w:val="24"/>
        </w:rPr>
        <w:t>质量负责。</w:t>
      </w:r>
    </w:p>
    <w:p>
      <w:pPr>
        <w:adjustRightInd w:val="0"/>
        <w:spacing w:line="360" w:lineRule="auto"/>
        <w:ind w:firstLine="480" w:firstLineChars="200"/>
        <w:rPr>
          <w:rFonts w:ascii="宋体" w:hAnsi="宋体"/>
          <w:sz w:val="24"/>
        </w:rPr>
      </w:pPr>
      <w:r>
        <w:rPr>
          <w:sz w:val="24"/>
        </w:rPr>
        <w:t>2</w:t>
      </w:r>
      <w:r>
        <w:rPr>
          <w:rFonts w:ascii="宋体" w:hAnsi="宋体"/>
          <w:sz w:val="24"/>
        </w:rPr>
        <w:t>、</w:t>
      </w:r>
      <w:r>
        <w:rPr>
          <w:rFonts w:hint="eastAsia" w:ascii="宋体" w:hAnsi="宋体"/>
          <w:sz w:val="24"/>
        </w:rPr>
        <w:t>严格把控项目实施进度，保证项目能在要求周期内保质保量完成交付。</w:t>
      </w:r>
    </w:p>
    <w:p>
      <w:pPr>
        <w:adjustRightInd w:val="0"/>
        <w:spacing w:line="360" w:lineRule="auto"/>
        <w:ind w:firstLine="480" w:firstLineChars="200"/>
        <w:rPr>
          <w:rFonts w:ascii="宋体" w:hAnsi="宋体"/>
          <w:sz w:val="24"/>
        </w:rPr>
      </w:pPr>
      <w:r>
        <w:rPr>
          <w:sz w:val="24"/>
        </w:rPr>
        <w:t>3</w:t>
      </w:r>
      <w:r>
        <w:rPr>
          <w:rFonts w:ascii="宋体" w:hAnsi="宋体"/>
          <w:sz w:val="24"/>
        </w:rPr>
        <w:t>、建立以项目</w:t>
      </w:r>
      <w:r>
        <w:rPr>
          <w:rFonts w:hint="eastAsia" w:ascii="宋体" w:hAnsi="宋体"/>
          <w:sz w:val="24"/>
        </w:rPr>
        <w:t>负责人</w:t>
      </w:r>
      <w:r>
        <w:rPr>
          <w:rFonts w:ascii="宋体" w:hAnsi="宋体"/>
          <w:sz w:val="24"/>
        </w:rPr>
        <w:t>为首的质量责任制，配备质量管理专职人员。要求项目管理人员认真熟悉项目技术、施工和质量要求，严格控制</w:t>
      </w:r>
      <w:r>
        <w:rPr>
          <w:rFonts w:hint="eastAsia" w:ascii="宋体" w:hAnsi="宋体"/>
          <w:sz w:val="24"/>
        </w:rPr>
        <w:t>交付</w:t>
      </w:r>
      <w:r>
        <w:rPr>
          <w:rFonts w:ascii="宋体" w:hAnsi="宋体"/>
          <w:sz w:val="24"/>
        </w:rPr>
        <w:t>过程中的产品、人员、工艺</w:t>
      </w:r>
      <w:r>
        <w:rPr>
          <w:rFonts w:hint="eastAsia" w:ascii="宋体" w:hAnsi="宋体"/>
          <w:sz w:val="24"/>
        </w:rPr>
        <w:t>、架构、功能</w:t>
      </w:r>
      <w:r>
        <w:rPr>
          <w:rFonts w:ascii="宋体" w:hAnsi="宋体"/>
          <w:sz w:val="24"/>
        </w:rPr>
        <w:t>等方面，责任到人。</w:t>
      </w:r>
    </w:p>
    <w:p>
      <w:pPr>
        <w:adjustRightInd w:val="0"/>
        <w:spacing w:line="360" w:lineRule="auto"/>
        <w:ind w:firstLine="480" w:firstLineChars="200"/>
        <w:rPr>
          <w:rFonts w:ascii="宋体" w:hAnsi="宋体"/>
          <w:sz w:val="24"/>
        </w:rPr>
      </w:pPr>
      <w:r>
        <w:rPr>
          <w:sz w:val="24"/>
        </w:rPr>
        <w:t>4</w:t>
      </w:r>
      <w:r>
        <w:rPr>
          <w:rFonts w:ascii="宋体" w:hAnsi="宋体"/>
          <w:sz w:val="24"/>
        </w:rPr>
        <w:t>、建立质量奖惩措施，针对质量问题做出对应的处理机制和意见并报请贵单位知悉。</w:t>
      </w:r>
    </w:p>
    <w:p>
      <w:pPr>
        <w:adjustRightInd w:val="0"/>
        <w:spacing w:line="360" w:lineRule="auto"/>
        <w:ind w:firstLine="480" w:firstLineChars="200"/>
        <w:rPr>
          <w:rFonts w:ascii="宋体" w:hAnsi="宋体"/>
          <w:sz w:val="24"/>
        </w:rPr>
      </w:pPr>
      <w:r>
        <w:rPr>
          <w:sz w:val="24"/>
        </w:rPr>
        <w:t>5</w:t>
      </w:r>
      <w:r>
        <w:rPr>
          <w:rFonts w:ascii="宋体" w:hAnsi="宋体"/>
          <w:sz w:val="24"/>
        </w:rPr>
        <w:t>、项目</w:t>
      </w:r>
      <w:r>
        <w:rPr>
          <w:rFonts w:hint="eastAsia" w:ascii="宋体" w:hAnsi="宋体"/>
          <w:sz w:val="24"/>
        </w:rPr>
        <w:t>交付前中期</w:t>
      </w:r>
      <w:r>
        <w:rPr>
          <w:rFonts w:ascii="宋体" w:hAnsi="宋体"/>
          <w:sz w:val="24"/>
        </w:rPr>
        <w:t>组织公司内部技术力量对方案、图纸、技术文件</w:t>
      </w:r>
      <w:r>
        <w:rPr>
          <w:rFonts w:hint="eastAsia" w:ascii="宋体" w:hAnsi="宋体"/>
          <w:sz w:val="24"/>
        </w:rPr>
        <w:t>、软件架构、功能需求点</w:t>
      </w:r>
      <w:r>
        <w:rPr>
          <w:rFonts w:ascii="宋体" w:hAnsi="宋体"/>
          <w:sz w:val="24"/>
        </w:rPr>
        <w:t>等资料进行深化，编制针对具体项目的质量控制要点，严格按照质量控制要点进行</w:t>
      </w:r>
      <w:r>
        <w:rPr>
          <w:rFonts w:hint="eastAsia" w:ascii="宋体" w:hAnsi="宋体"/>
          <w:sz w:val="24"/>
        </w:rPr>
        <w:t>交付</w:t>
      </w:r>
      <w:r>
        <w:rPr>
          <w:rFonts w:ascii="宋体" w:hAnsi="宋体"/>
          <w:sz w:val="24"/>
        </w:rPr>
        <w:t>。</w:t>
      </w:r>
    </w:p>
    <w:p>
      <w:pPr>
        <w:adjustRightInd w:val="0"/>
        <w:spacing w:line="360" w:lineRule="auto"/>
        <w:ind w:firstLine="480" w:firstLineChars="200"/>
        <w:rPr>
          <w:rFonts w:ascii="宋体" w:hAnsi="宋体"/>
          <w:sz w:val="24"/>
        </w:rPr>
      </w:pPr>
      <w:r>
        <w:rPr>
          <w:sz w:val="24"/>
        </w:rPr>
        <w:t>6</w:t>
      </w:r>
      <w:r>
        <w:rPr>
          <w:rFonts w:ascii="宋体" w:hAnsi="宋体"/>
          <w:sz w:val="24"/>
        </w:rPr>
        <w:t>、现场做好施工人员的质量技术交底工作，并且在项目的实施过程中必须有项目管理人员在场做</w:t>
      </w:r>
      <w:r>
        <w:rPr>
          <w:rFonts w:hint="eastAsia" w:ascii="宋体" w:hAnsi="宋体"/>
          <w:sz w:val="24"/>
        </w:rPr>
        <w:t>交付</w:t>
      </w:r>
      <w:r>
        <w:rPr>
          <w:rFonts w:ascii="宋体" w:hAnsi="宋体"/>
          <w:sz w:val="24"/>
        </w:rPr>
        <w:t>指导。</w:t>
      </w:r>
    </w:p>
    <w:p>
      <w:pPr>
        <w:adjustRightInd w:val="0"/>
        <w:spacing w:line="360" w:lineRule="auto"/>
        <w:ind w:firstLine="480" w:firstLineChars="200"/>
        <w:rPr>
          <w:rFonts w:ascii="宋体" w:hAnsi="宋体"/>
          <w:sz w:val="24"/>
        </w:rPr>
      </w:pPr>
      <w:r>
        <w:rPr>
          <w:sz w:val="24"/>
        </w:rPr>
        <w:t>7</w:t>
      </w:r>
      <w:r>
        <w:rPr>
          <w:rFonts w:ascii="宋体" w:hAnsi="宋体"/>
          <w:sz w:val="24"/>
        </w:rPr>
        <w:t>、如发现质量问题，绝不推诿掩盖。在发现质量问题的</w:t>
      </w:r>
      <w:r>
        <w:rPr>
          <w:sz w:val="24"/>
        </w:rPr>
        <w:t>2</w:t>
      </w:r>
      <w:r>
        <w:rPr>
          <w:rFonts w:ascii="宋体" w:hAnsi="宋体"/>
          <w:sz w:val="24"/>
        </w:rPr>
        <w:t>小时内出具质量整改方案并报贵单位进行审批，并同步进行质量问题的调查和对应责任人的责任落实。</w:t>
      </w:r>
    </w:p>
    <w:p>
      <w:pPr>
        <w:adjustRightInd w:val="0"/>
        <w:spacing w:line="360" w:lineRule="auto"/>
        <w:ind w:firstLine="480" w:firstLineChars="200"/>
        <w:rPr>
          <w:rFonts w:ascii="宋体" w:hAnsi="宋体"/>
          <w:sz w:val="24"/>
        </w:rPr>
      </w:pPr>
      <w:r>
        <w:rPr>
          <w:sz w:val="24"/>
        </w:rPr>
        <w:t>8</w:t>
      </w:r>
      <w:r>
        <w:rPr>
          <w:rFonts w:ascii="宋体" w:hAnsi="宋体"/>
          <w:sz w:val="24"/>
        </w:rPr>
        <w:t>、如发现质量问题，暂停其他</w:t>
      </w:r>
      <w:r>
        <w:rPr>
          <w:rFonts w:hint="eastAsia" w:ascii="宋体" w:hAnsi="宋体"/>
          <w:sz w:val="24"/>
        </w:rPr>
        <w:t>作业段</w:t>
      </w:r>
      <w:r>
        <w:rPr>
          <w:rFonts w:ascii="宋体" w:hAnsi="宋体"/>
          <w:sz w:val="24"/>
        </w:rPr>
        <w:t>的实施，同步检查发现质量问题的部位是否具有相同的隐患，在排除非共性问题后方可继续进行施工。</w:t>
      </w:r>
    </w:p>
    <w:p>
      <w:pPr>
        <w:adjustRightInd w:val="0"/>
        <w:spacing w:line="360" w:lineRule="auto"/>
        <w:ind w:firstLine="480" w:firstLineChars="200"/>
        <w:rPr>
          <w:rFonts w:hint="eastAsia" w:ascii="宋体" w:hAnsi="宋体" w:cs="宋体"/>
          <w:sz w:val="24"/>
        </w:rPr>
      </w:pPr>
      <w:r>
        <w:rPr>
          <w:sz w:val="24"/>
        </w:rPr>
        <w:t>9</w:t>
      </w:r>
      <w:r>
        <w:rPr>
          <w:rFonts w:ascii="宋体" w:hAnsi="宋体"/>
          <w:sz w:val="24"/>
        </w:rPr>
        <w:t>、</w:t>
      </w:r>
      <w:r>
        <w:rPr>
          <w:rFonts w:hint="eastAsia"/>
          <w:sz w:val="24"/>
        </w:rPr>
        <w:t>其他未尽质量承诺，均保证按照质量是生命线的原则进行实施，在项目的全过程中不断进行校正，保证项目按照质量要求及标准规范要求进行交付。</w:t>
      </w:r>
    </w:p>
    <w:p>
      <w:pPr>
        <w:widowControl/>
        <w:jc w:val="left"/>
        <w:textAlignment w:val="bottom"/>
        <w:rPr>
          <w:rFonts w:hint="eastAsia" w:ascii="宋体" w:hAnsi="宋体" w:cs="宋体"/>
          <w:b/>
          <w:bCs/>
          <w:sz w:val="24"/>
        </w:rPr>
      </w:pPr>
      <w:r>
        <w:rPr>
          <w:rFonts w:hint="eastAsia" w:ascii="宋体" w:hAnsi="宋体" w:cs="宋体"/>
          <w:b/>
          <w:bCs/>
          <w:sz w:val="24"/>
        </w:rPr>
        <w:t>验收要求：</w:t>
      </w:r>
    </w:p>
    <w:p>
      <w:pPr>
        <w:adjustRightInd w:val="0"/>
        <w:spacing w:line="360" w:lineRule="auto"/>
        <w:ind w:firstLine="480" w:firstLineChars="200"/>
        <w:rPr>
          <w:sz w:val="24"/>
        </w:rPr>
      </w:pPr>
      <w:r>
        <w:rPr>
          <w:rFonts w:hint="eastAsia"/>
          <w:sz w:val="24"/>
        </w:rPr>
        <w:t>合同签订后，乙方负责将完整配套的原封货物送到甲方指定的地点，由甲乙双方共同开箱初验，并由乙方按合同规范要求完成安装测试，保证设备及软件系统正常运行。交货时，乙方随货向甲方交付货物必需的合格证、保修卡，相关资料（如操作手册、使用指南、维修手册、安装调试说明书、服务手册、软件操作手册等）及配备的用件、工具等。</w:t>
      </w:r>
    </w:p>
    <w:p>
      <w:pPr>
        <w:adjustRightInd w:val="0"/>
        <w:spacing w:line="360" w:lineRule="auto"/>
        <w:ind w:firstLine="480" w:firstLineChars="200"/>
        <w:rPr>
          <w:sz w:val="24"/>
        </w:rPr>
      </w:pPr>
      <w:r>
        <w:rPr>
          <w:rFonts w:hint="eastAsia"/>
          <w:sz w:val="24"/>
        </w:rPr>
        <w:t>按国家有关规定以及招标文件的质量要求和技术指标、供应商的投标文件及承诺与本合同约定标准及学校相关要求进行验收。</w:t>
      </w:r>
    </w:p>
    <w:p>
      <w:pPr>
        <w:widowControl/>
        <w:jc w:val="left"/>
        <w:textAlignment w:val="bottom"/>
        <w:rPr>
          <w:rFonts w:hint="eastAsia" w:ascii="宋体" w:hAnsi="宋体" w:cs="宋体"/>
          <w:b/>
          <w:bCs/>
          <w:sz w:val="24"/>
        </w:rPr>
      </w:pPr>
    </w:p>
    <w:p>
      <w:pPr>
        <w:widowControl/>
        <w:jc w:val="left"/>
        <w:textAlignment w:val="bottom"/>
        <w:rPr>
          <w:rFonts w:hint="eastAsia" w:ascii="宋体" w:hAnsi="宋体" w:cs="宋体"/>
          <w:b/>
          <w:bCs/>
          <w:sz w:val="24"/>
        </w:rPr>
      </w:pPr>
    </w:p>
    <w:p>
      <w:pPr>
        <w:widowControl/>
        <w:jc w:val="left"/>
        <w:textAlignment w:val="bottom"/>
        <w:rPr>
          <w:rFonts w:hint="eastAsia" w:ascii="宋体" w:hAnsi="宋体" w:cs="宋体"/>
          <w:b/>
          <w:bCs/>
          <w:sz w:val="24"/>
        </w:rPr>
      </w:pPr>
    </w:p>
    <w:p>
      <w:pPr>
        <w:widowControl/>
        <w:jc w:val="left"/>
        <w:textAlignment w:val="bottom"/>
        <w:rPr>
          <w:rFonts w:hint="eastAsia" w:ascii="宋体" w:hAnsi="宋体" w:cs="宋体"/>
          <w:sz w:val="24"/>
        </w:rPr>
      </w:pPr>
      <w:r>
        <w:rPr>
          <w:rFonts w:hint="eastAsia" w:ascii="宋体" w:hAnsi="宋体" w:cs="宋体"/>
          <w:sz w:val="24"/>
        </w:rPr>
        <w:t xml:space="preserve">资产管理中心联系人： </w:t>
      </w:r>
    </w:p>
    <w:p>
      <w:pPr>
        <w:widowControl/>
        <w:jc w:val="left"/>
        <w:textAlignment w:val="bottom"/>
        <w:rPr>
          <w:rFonts w:hint="eastAsia" w:ascii="宋体" w:hAnsi="宋体" w:cs="宋体"/>
          <w:sz w:val="24"/>
        </w:rPr>
      </w:pPr>
      <w:r>
        <w:rPr>
          <w:rFonts w:hint="eastAsia" w:ascii="宋体" w:hAnsi="宋体" w:cs="宋体"/>
          <w:sz w:val="24"/>
        </w:rPr>
        <w:t>联系电话：</w:t>
      </w:r>
    </w:p>
    <w:p>
      <w:pPr>
        <w:widowControl/>
        <w:ind w:firstLine="9600" w:firstLineChars="4000"/>
        <w:jc w:val="left"/>
        <w:textAlignment w:val="bottom"/>
        <w:rPr>
          <w:rFonts w:hint="eastAsia" w:ascii="宋体" w:hAnsi="宋体" w:cs="宋体"/>
          <w:sz w:val="28"/>
          <w:szCs w:val="28"/>
        </w:rPr>
      </w:pPr>
      <w:r>
        <w:rPr>
          <w:rFonts w:hint="eastAsia" w:ascii="宋体" w:hAnsi="宋体" w:cs="宋体"/>
          <w:sz w:val="24"/>
        </w:rPr>
        <w:t>【2022年5月 资产管理中心 制】</w:t>
      </w:r>
    </w:p>
    <w:p>
      <w:pPr>
        <w:adjustRightInd w:val="0"/>
        <w:snapToGrid w:val="0"/>
        <w:spacing w:line="480" w:lineRule="exact"/>
        <w:rPr>
          <w:rFonts w:ascii="宋体" w:hAnsi="宋体" w:cs="宋体"/>
          <w:sz w:val="28"/>
          <w:szCs w:val="28"/>
        </w:rPr>
      </w:pPr>
    </w:p>
    <w:p>
      <w:pPr>
        <w:bidi w:val="0"/>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37A3"/>
    <w:multiLevelType w:val="multilevel"/>
    <w:tmpl w:val="EA0837A3"/>
    <w:lvl w:ilvl="0" w:tentative="0">
      <w:start w:val="1"/>
      <w:numFmt w:val="decimal"/>
      <w:lvlText w:val="%1"/>
      <w:lvlJc w:val="left"/>
      <w:pPr>
        <w:tabs>
          <w:tab w:val="left" w:pos="850"/>
        </w:tabs>
        <w:ind w:left="850" w:hanging="425"/>
      </w:pPr>
      <w:rPr>
        <w:rFonts w:hint="eastAsia"/>
      </w:rPr>
    </w:lvl>
    <w:lvl w:ilvl="1" w:tentative="0">
      <w:start w:val="1"/>
      <w:numFmt w:val="decimal"/>
      <w:lvlRestart w:val="0"/>
      <w:suff w:val="space"/>
      <w:lvlText w:val="%2"/>
      <w:lvlJc w:val="left"/>
      <w:pPr>
        <w:ind w:left="0" w:firstLine="0"/>
      </w:pPr>
      <w:rPr>
        <w:rFonts w:hint="eastAsia"/>
      </w:rPr>
    </w:lvl>
    <w:lvl w:ilvl="2" w:tentative="0">
      <w:start w:val="1"/>
      <w:numFmt w:val="decimal"/>
      <w:pStyle w:val="4"/>
      <w:suff w:val="space"/>
      <w:lvlText w:val="%2.%3"/>
      <w:lvlJc w:val="left"/>
      <w:pPr>
        <w:tabs>
          <w:tab w:val="left" w:pos="0"/>
        </w:tabs>
        <w:ind w:left="0" w:firstLine="0"/>
      </w:pPr>
      <w:rPr>
        <w:rFonts w:hint="default"/>
      </w:rPr>
    </w:lvl>
    <w:lvl w:ilvl="3" w:tentative="0">
      <w:start w:val="1"/>
      <w:numFmt w:val="decimal"/>
      <w:suff w:val="space"/>
      <w:lvlText w:val="%2.%3.%4"/>
      <w:lvlJc w:val="left"/>
      <w:pPr>
        <w:ind w:left="0" w:firstLine="0"/>
      </w:pPr>
      <w:rPr>
        <w:rFonts w:hint="eastAsia"/>
      </w:rPr>
    </w:lvl>
    <w:lvl w:ilvl="4" w:tentative="0">
      <w:start w:val="1"/>
      <w:numFmt w:val="decimal"/>
      <w:lvlText w:val="%1.%2.%3.%4.%5"/>
      <w:lvlJc w:val="left"/>
      <w:pPr>
        <w:tabs>
          <w:tab w:val="left" w:pos="3926"/>
        </w:tabs>
        <w:ind w:left="2976" w:hanging="850"/>
      </w:pPr>
      <w:rPr>
        <w:rFonts w:hint="eastAsia"/>
      </w:rPr>
    </w:lvl>
    <w:lvl w:ilvl="5" w:tentative="0">
      <w:start w:val="1"/>
      <w:numFmt w:val="decimal"/>
      <w:lvlText w:val="%1.%2.%3.%4.%5.%6"/>
      <w:lvlJc w:val="left"/>
      <w:pPr>
        <w:tabs>
          <w:tab w:val="left" w:pos="4711"/>
        </w:tabs>
        <w:ind w:left="3685" w:hanging="1134"/>
      </w:pPr>
      <w:rPr>
        <w:rFonts w:hint="eastAsia"/>
      </w:rPr>
    </w:lvl>
    <w:lvl w:ilvl="6" w:tentative="0">
      <w:start w:val="1"/>
      <w:numFmt w:val="decimal"/>
      <w:lvlText w:val="%1.%2.%3.%4.%5.%6.%7"/>
      <w:lvlJc w:val="left"/>
      <w:pPr>
        <w:tabs>
          <w:tab w:val="left" w:pos="5496"/>
        </w:tabs>
        <w:ind w:left="4252" w:hanging="1276"/>
      </w:pPr>
      <w:rPr>
        <w:rFonts w:hint="eastAsia"/>
      </w:rPr>
    </w:lvl>
    <w:lvl w:ilvl="7" w:tentative="0">
      <w:start w:val="1"/>
      <w:numFmt w:val="decimal"/>
      <w:lvlText w:val="%1.%2.%3.%4.%5.%6.%7.%8"/>
      <w:lvlJc w:val="left"/>
      <w:pPr>
        <w:tabs>
          <w:tab w:val="left" w:pos="6281"/>
        </w:tabs>
        <w:ind w:left="4819" w:hanging="1418"/>
      </w:pPr>
      <w:rPr>
        <w:rFonts w:hint="eastAsia"/>
      </w:rPr>
    </w:lvl>
    <w:lvl w:ilvl="8" w:tentative="0">
      <w:start w:val="1"/>
      <w:numFmt w:val="decimal"/>
      <w:lvlText w:val="%1.%2.%3.%4.%5.%6.%7.%8.%9"/>
      <w:lvlJc w:val="left"/>
      <w:pPr>
        <w:tabs>
          <w:tab w:val="left" w:pos="7067"/>
        </w:tabs>
        <w:ind w:left="5527" w:hanging="1700"/>
      </w:pPr>
      <w:rPr>
        <w:rFonts w:hint="eastAsia"/>
      </w:rPr>
    </w:lvl>
  </w:abstractNum>
  <w:abstractNum w:abstractNumId="1">
    <w:nsid w:val="547699E4"/>
    <w:multiLevelType w:val="singleLevel"/>
    <w:tmpl w:val="547699E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955BEA"/>
    <w:rsid w:val="00025BAF"/>
    <w:rsid w:val="00046833"/>
    <w:rsid w:val="00057299"/>
    <w:rsid w:val="0006704E"/>
    <w:rsid w:val="0007258D"/>
    <w:rsid w:val="00073197"/>
    <w:rsid w:val="00094BF0"/>
    <w:rsid w:val="000B15D1"/>
    <w:rsid w:val="00117749"/>
    <w:rsid w:val="00151E19"/>
    <w:rsid w:val="0015349C"/>
    <w:rsid w:val="001A0908"/>
    <w:rsid w:val="001A78B0"/>
    <w:rsid w:val="001C0797"/>
    <w:rsid w:val="001D4BD0"/>
    <w:rsid w:val="001D4CB2"/>
    <w:rsid w:val="002047A5"/>
    <w:rsid w:val="0020755E"/>
    <w:rsid w:val="002254A1"/>
    <w:rsid w:val="00227A31"/>
    <w:rsid w:val="00231D68"/>
    <w:rsid w:val="00234044"/>
    <w:rsid w:val="002800F8"/>
    <w:rsid w:val="0029107A"/>
    <w:rsid w:val="0029167C"/>
    <w:rsid w:val="00292A89"/>
    <w:rsid w:val="002B76B6"/>
    <w:rsid w:val="002E0280"/>
    <w:rsid w:val="00304D29"/>
    <w:rsid w:val="00354684"/>
    <w:rsid w:val="00357DB2"/>
    <w:rsid w:val="003A23A4"/>
    <w:rsid w:val="003C1878"/>
    <w:rsid w:val="003D5F85"/>
    <w:rsid w:val="003E1F1B"/>
    <w:rsid w:val="003E5211"/>
    <w:rsid w:val="004233B3"/>
    <w:rsid w:val="00436539"/>
    <w:rsid w:val="00440097"/>
    <w:rsid w:val="004419F2"/>
    <w:rsid w:val="00445B26"/>
    <w:rsid w:val="00460280"/>
    <w:rsid w:val="004A6DA0"/>
    <w:rsid w:val="004D0487"/>
    <w:rsid w:val="004F143B"/>
    <w:rsid w:val="004F5F92"/>
    <w:rsid w:val="00521E34"/>
    <w:rsid w:val="005371E4"/>
    <w:rsid w:val="00560095"/>
    <w:rsid w:val="0056210B"/>
    <w:rsid w:val="0057296C"/>
    <w:rsid w:val="005D4AC7"/>
    <w:rsid w:val="005E691F"/>
    <w:rsid w:val="005E7C64"/>
    <w:rsid w:val="00601E07"/>
    <w:rsid w:val="0061322C"/>
    <w:rsid w:val="00621880"/>
    <w:rsid w:val="00630F97"/>
    <w:rsid w:val="00670B46"/>
    <w:rsid w:val="00673131"/>
    <w:rsid w:val="00682005"/>
    <w:rsid w:val="00683D71"/>
    <w:rsid w:val="00695E30"/>
    <w:rsid w:val="006B429B"/>
    <w:rsid w:val="006C2C83"/>
    <w:rsid w:val="006D7B80"/>
    <w:rsid w:val="00740F27"/>
    <w:rsid w:val="00741637"/>
    <w:rsid w:val="00780C6A"/>
    <w:rsid w:val="007868A2"/>
    <w:rsid w:val="007A1114"/>
    <w:rsid w:val="007A3691"/>
    <w:rsid w:val="007A40A5"/>
    <w:rsid w:val="007E01FB"/>
    <w:rsid w:val="007E0433"/>
    <w:rsid w:val="00805224"/>
    <w:rsid w:val="00812C31"/>
    <w:rsid w:val="00820530"/>
    <w:rsid w:val="00825F05"/>
    <w:rsid w:val="00830691"/>
    <w:rsid w:val="00871B59"/>
    <w:rsid w:val="008A2D0C"/>
    <w:rsid w:val="008C381F"/>
    <w:rsid w:val="008E3900"/>
    <w:rsid w:val="00955BEA"/>
    <w:rsid w:val="009906D2"/>
    <w:rsid w:val="009A05C0"/>
    <w:rsid w:val="009A6F76"/>
    <w:rsid w:val="009C1ECD"/>
    <w:rsid w:val="00A02FA2"/>
    <w:rsid w:val="00A21F0D"/>
    <w:rsid w:val="00A373FB"/>
    <w:rsid w:val="00A44C62"/>
    <w:rsid w:val="00A51F65"/>
    <w:rsid w:val="00A749A3"/>
    <w:rsid w:val="00A7601A"/>
    <w:rsid w:val="00A81370"/>
    <w:rsid w:val="00AD615A"/>
    <w:rsid w:val="00AF4E7F"/>
    <w:rsid w:val="00B01E4D"/>
    <w:rsid w:val="00B47BE4"/>
    <w:rsid w:val="00BA2307"/>
    <w:rsid w:val="00BB2D52"/>
    <w:rsid w:val="00BF0672"/>
    <w:rsid w:val="00C00AF0"/>
    <w:rsid w:val="00C26BFB"/>
    <w:rsid w:val="00C40ECD"/>
    <w:rsid w:val="00CA796F"/>
    <w:rsid w:val="00D016ED"/>
    <w:rsid w:val="00D03D07"/>
    <w:rsid w:val="00D151C6"/>
    <w:rsid w:val="00D36849"/>
    <w:rsid w:val="00D55EA5"/>
    <w:rsid w:val="00DA3CAA"/>
    <w:rsid w:val="00DB6FDD"/>
    <w:rsid w:val="00DD366D"/>
    <w:rsid w:val="00DF54B9"/>
    <w:rsid w:val="00E0066D"/>
    <w:rsid w:val="00E02185"/>
    <w:rsid w:val="00E1092A"/>
    <w:rsid w:val="00E32BD0"/>
    <w:rsid w:val="00E369E2"/>
    <w:rsid w:val="00E43E5B"/>
    <w:rsid w:val="00E477E7"/>
    <w:rsid w:val="00E55DB6"/>
    <w:rsid w:val="00E701CE"/>
    <w:rsid w:val="00E71772"/>
    <w:rsid w:val="00E7628D"/>
    <w:rsid w:val="00E767C2"/>
    <w:rsid w:val="00E86EA4"/>
    <w:rsid w:val="00EB0985"/>
    <w:rsid w:val="00EF3080"/>
    <w:rsid w:val="00EF5427"/>
    <w:rsid w:val="00F11526"/>
    <w:rsid w:val="00F12EC2"/>
    <w:rsid w:val="00F55312"/>
    <w:rsid w:val="00F7093A"/>
    <w:rsid w:val="00FB3EF4"/>
    <w:rsid w:val="00FC75AF"/>
    <w:rsid w:val="00FD2AD9"/>
    <w:rsid w:val="01E03288"/>
    <w:rsid w:val="09420023"/>
    <w:rsid w:val="0CE9152A"/>
    <w:rsid w:val="0E612EB1"/>
    <w:rsid w:val="0ECD6BCC"/>
    <w:rsid w:val="153B00B1"/>
    <w:rsid w:val="15FA46C3"/>
    <w:rsid w:val="1780539C"/>
    <w:rsid w:val="180961E7"/>
    <w:rsid w:val="18E05EB3"/>
    <w:rsid w:val="1A287E2C"/>
    <w:rsid w:val="20C3005B"/>
    <w:rsid w:val="24C91D13"/>
    <w:rsid w:val="28107556"/>
    <w:rsid w:val="29497B7D"/>
    <w:rsid w:val="29AA7AD5"/>
    <w:rsid w:val="2BD82679"/>
    <w:rsid w:val="2E126F05"/>
    <w:rsid w:val="346E3A24"/>
    <w:rsid w:val="38E857F9"/>
    <w:rsid w:val="3BF92C16"/>
    <w:rsid w:val="3CBB0244"/>
    <w:rsid w:val="3D835533"/>
    <w:rsid w:val="3D83640D"/>
    <w:rsid w:val="3EC50B49"/>
    <w:rsid w:val="3EDC0148"/>
    <w:rsid w:val="3F1334EB"/>
    <w:rsid w:val="40EA5463"/>
    <w:rsid w:val="42E36066"/>
    <w:rsid w:val="44B9194D"/>
    <w:rsid w:val="44EB0D6F"/>
    <w:rsid w:val="47C3256A"/>
    <w:rsid w:val="48C842DD"/>
    <w:rsid w:val="49E6704C"/>
    <w:rsid w:val="49F85C61"/>
    <w:rsid w:val="4BE50146"/>
    <w:rsid w:val="4CB61F02"/>
    <w:rsid w:val="54C012B3"/>
    <w:rsid w:val="555411F1"/>
    <w:rsid w:val="573C6FFA"/>
    <w:rsid w:val="587305C4"/>
    <w:rsid w:val="5B845ECB"/>
    <w:rsid w:val="5B99766F"/>
    <w:rsid w:val="5BA409E1"/>
    <w:rsid w:val="667557A7"/>
    <w:rsid w:val="684066F8"/>
    <w:rsid w:val="688E447B"/>
    <w:rsid w:val="69AB7DB0"/>
    <w:rsid w:val="6B5A7456"/>
    <w:rsid w:val="6C47783D"/>
    <w:rsid w:val="6CA04D67"/>
    <w:rsid w:val="745E3334"/>
    <w:rsid w:val="752F32EF"/>
    <w:rsid w:val="767B7A2C"/>
    <w:rsid w:val="7E460435"/>
    <w:rsid w:val="7E9821AC"/>
    <w:rsid w:val="7F37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numPr>
        <w:ilvl w:val="2"/>
        <w:numId w:val="1"/>
      </w:numPr>
      <w:spacing w:before="20" w:line="360" w:lineRule="auto"/>
      <w:outlineLvl w:val="2"/>
    </w:pPr>
    <w:rPr>
      <w:rFonts w:eastAsia="黑体"/>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324" w:lineRule="auto"/>
      <w:ind w:firstLine="420"/>
    </w:pPr>
    <w:rPr>
      <w:rFonts w:ascii="宋体" w:hAnsi="宋体"/>
      <w:szCs w:val="21"/>
    </w:rPr>
  </w:style>
  <w:style w:type="paragraph" w:styleId="3">
    <w:name w:val="Body Text Indent"/>
    <w:basedOn w:val="1"/>
    <w:unhideWhenUsed/>
    <w:qFormat/>
    <w:uiPriority w:val="0"/>
    <w:pPr>
      <w:spacing w:after="120"/>
      <w:ind w:left="420" w:leftChars="2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1"/>
    <w:next w:val="1"/>
    <w:qFormat/>
    <w:uiPriority w:val="0"/>
    <w:pPr>
      <w:spacing w:after="120"/>
      <w:ind w:firstLine="420" w:firstLineChars="100"/>
    </w:pPr>
  </w:style>
  <w:style w:type="table" w:styleId="10">
    <w:name w:val="Table Grid"/>
    <w:basedOn w:val="9"/>
    <w:unhideWhenUsed/>
    <w:qFormat/>
    <w:uiPriority w:val="9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图表目录1"/>
    <w:basedOn w:val="14"/>
    <w:next w:val="14"/>
    <w:qFormat/>
    <w:uiPriority w:val="0"/>
    <w:pPr>
      <w:ind w:left="200" w:leftChars="200" w:hanging="200" w:hangingChars="200"/>
    </w:pPr>
    <w:rPr>
      <w:rFonts w:eastAsia="仿宋_GB2312"/>
      <w:sz w:val="32"/>
      <w:szCs w:val="32"/>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13"/>
    <w:qFormat/>
    <w:uiPriority w:val="0"/>
    <w:rPr>
      <w:rFonts w:cs="宋体"/>
    </w:rPr>
  </w:style>
  <w:style w:type="character" w:customStyle="1" w:styleId="15">
    <w:name w:val="页脚 字符"/>
    <w:link w:val="5"/>
    <w:qFormat/>
    <w:uiPriority w:val="0"/>
    <w:rPr>
      <w:kern w:val="2"/>
      <w:sz w:val="18"/>
      <w:szCs w:val="18"/>
    </w:rPr>
  </w:style>
  <w:style w:type="character" w:customStyle="1" w:styleId="16">
    <w:name w:val="页眉 字符"/>
    <w:link w:val="6"/>
    <w:qFormat/>
    <w:uiPriority w:val="0"/>
    <w:rPr>
      <w:kern w:val="2"/>
      <w:sz w:val="18"/>
      <w:szCs w:val="18"/>
    </w:rPr>
  </w:style>
  <w:style w:type="paragraph" w:customStyle="1" w:styleId="17">
    <w:name w:val="列表段落1"/>
    <w:basedOn w:val="1"/>
    <w:qFormat/>
    <w:uiPriority w:val="0"/>
    <w:pPr>
      <w:ind w:firstLine="420" w:firstLineChars="200"/>
    </w:p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微软系统</Company>
  <Pages>11</Pages>
  <Words>4763</Words>
  <Characters>5628</Characters>
  <Lines>161</Lines>
  <Paragraphs>45</Paragraphs>
  <TotalTime>5</TotalTime>
  <ScaleCrop>false</ScaleCrop>
  <LinksUpToDate>false</LinksUpToDate>
  <CharactersWithSpaces>9086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2016-08-05T02:45:00Z</dcterms:created>
  <dc:creator>微软用户</dc:creator>
  <cp:lastModifiedBy>Y</cp:lastModifiedBy>
  <cp:lastPrinted>2011-11-07T06:40:00Z</cp:lastPrinted>
  <dcterms:modified xsi:type="dcterms:W3CDTF">2024-07-10T02:58:20Z</dcterms:modified>
  <dc:title>您好：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53BE71BA38164832A2E7089335C11AE4_13</vt:lpwstr>
  </property>
</Properties>
</file>