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pacing w:line="540" w:lineRule="exact"/>
        <w:jc w:val="center"/>
        <w:rPr>
          <w:rFonts w:ascii="宋体" w:hAnsi="宋体"/>
        </w:rPr>
      </w:pPr>
      <w:r>
        <w:rPr>
          <w:rFonts w:hint="eastAsia" w:ascii="宋体" w:hAnsi="宋体"/>
          <w:b/>
          <w:kern w:val="2"/>
          <w:sz w:val="28"/>
          <w:szCs w:val="28"/>
        </w:rPr>
        <w:t>采购</w:t>
      </w:r>
      <w:r>
        <w:rPr>
          <w:rFonts w:hint="eastAsia" w:ascii="宋体" w:hAnsi="宋体"/>
          <w:b/>
          <w:sz w:val="28"/>
          <w:szCs w:val="28"/>
        </w:rPr>
        <w:t>需求</w:t>
      </w:r>
    </w:p>
    <w:p>
      <w:pPr>
        <w:pStyle w:val="8"/>
        <w:spacing w:before="0" w:beforeAutospacing="0" w:after="0" w:afterAutospacing="0" w:line="540" w:lineRule="exact"/>
        <w:ind w:firstLine="482" w:firstLineChars="200"/>
        <w:rPr>
          <w:rFonts w:ascii="宋体" w:hAnsi="宋体" w:cs="宋体"/>
          <w:b/>
          <w:bCs/>
          <w:color w:val="333333"/>
          <w:shd w:val="clear" w:color="auto" w:fill="FFFFFF"/>
        </w:rPr>
      </w:pPr>
      <w:r>
        <w:rPr>
          <w:rFonts w:hint="eastAsia" w:ascii="宋体" w:hAnsi="宋体" w:cs="宋体"/>
          <w:b/>
          <w:bCs/>
          <w:color w:val="333333"/>
          <w:shd w:val="clear" w:color="auto" w:fill="FFFFFF"/>
        </w:rPr>
        <w:t>(一)采购标的需实现的功能或者目标，以及为落实政府采购政策需满足的要求：</w:t>
      </w:r>
    </w:p>
    <w:p>
      <w:pPr>
        <w:widowControl w:val="0"/>
        <w:adjustRightInd w:val="0"/>
        <w:spacing w:line="540" w:lineRule="exact"/>
        <w:ind w:firstLine="480" w:firstLineChars="200"/>
        <w:jc w:val="both"/>
        <w:rPr>
          <w:rFonts w:ascii="宋体" w:hAnsi="宋体"/>
          <w:bCs/>
          <w:kern w:val="2"/>
          <w:sz w:val="24"/>
          <w:szCs w:val="20"/>
        </w:rPr>
      </w:pPr>
      <w:r>
        <w:rPr>
          <w:rFonts w:hint="eastAsia" w:ascii="宋体" w:hAnsi="宋体"/>
          <w:bCs/>
          <w:kern w:val="2"/>
          <w:sz w:val="24"/>
          <w:szCs w:val="20"/>
        </w:rPr>
        <w:t>1</w:t>
      </w:r>
      <w:r>
        <w:rPr>
          <w:rFonts w:ascii="宋体" w:hAnsi="宋体"/>
          <w:bCs/>
          <w:kern w:val="2"/>
          <w:sz w:val="24"/>
          <w:szCs w:val="20"/>
        </w:rPr>
        <w:t>.</w:t>
      </w:r>
      <w:r>
        <w:rPr>
          <w:rFonts w:hint="eastAsia" w:ascii="宋体" w:hAnsi="宋体"/>
          <w:bCs/>
          <w:kern w:val="2"/>
          <w:sz w:val="24"/>
          <w:szCs w:val="20"/>
        </w:rPr>
        <w:t>采购标的需实现的功能或者目标：</w:t>
      </w:r>
    </w:p>
    <w:p>
      <w:pPr>
        <w:widowControl w:val="0"/>
        <w:spacing w:line="540" w:lineRule="exact"/>
        <w:ind w:firstLine="480" w:firstLineChars="200"/>
        <w:jc w:val="both"/>
        <w:rPr>
          <w:rFonts w:ascii="宋体" w:hAnsi="宋体"/>
          <w:bCs/>
          <w:kern w:val="2"/>
          <w:sz w:val="24"/>
          <w:szCs w:val="20"/>
        </w:rPr>
      </w:pPr>
      <w:r>
        <w:rPr>
          <w:rFonts w:hint="eastAsia" w:ascii="宋体" w:hAnsi="宋体"/>
          <w:bCs/>
          <w:kern w:val="2"/>
          <w:sz w:val="24"/>
          <w:szCs w:val="20"/>
        </w:rPr>
        <w:t>本次采购为迪庆藏族自治州德钦县医共体项目</w:t>
      </w:r>
      <w:r>
        <w:rPr>
          <w:rFonts w:hint="eastAsia" w:ascii="宋体" w:hAnsi="宋体"/>
          <w:bCs/>
          <w:kern w:val="2"/>
          <w:sz w:val="24"/>
          <w:szCs w:val="20"/>
          <w:lang w:val="en-US" w:eastAsia="zh-CN"/>
        </w:rPr>
        <w:t>超融合软件、</w:t>
      </w:r>
      <w:r>
        <w:rPr>
          <w:rFonts w:hint="eastAsia" w:ascii="宋体" w:hAnsi="宋体"/>
          <w:bCs/>
          <w:kern w:val="2"/>
          <w:sz w:val="24"/>
          <w:szCs w:val="20"/>
        </w:rPr>
        <w:t>超融合服务器网络设备的硬件采购，</w:t>
      </w:r>
      <w:r>
        <w:rPr>
          <w:rFonts w:hint="eastAsia" w:ascii="宋体" w:hAnsi="宋体" w:cs="宋体"/>
          <w:kern w:val="2"/>
          <w:sz w:val="24"/>
          <w:szCs w:val="24"/>
          <w:lang w:bidi="ar"/>
        </w:rPr>
        <w:t>为了满足</w:t>
      </w:r>
      <w:r>
        <w:rPr>
          <w:rFonts w:hint="eastAsia" w:ascii="宋体" w:hAnsi="宋体"/>
          <w:bCs/>
          <w:kern w:val="2"/>
          <w:sz w:val="24"/>
          <w:szCs w:val="20"/>
        </w:rPr>
        <w:t>德钦县医共体软件系统的业务承载和通信流畅</w:t>
      </w:r>
      <w:r>
        <w:rPr>
          <w:rFonts w:hint="eastAsia" w:ascii="宋体" w:hAnsi="宋体" w:cs="宋体"/>
          <w:kern w:val="2"/>
          <w:sz w:val="24"/>
          <w:szCs w:val="24"/>
          <w:lang w:bidi="ar"/>
        </w:rPr>
        <w:t>，提高工作效率。</w:t>
      </w:r>
    </w:p>
    <w:p>
      <w:pPr>
        <w:pStyle w:val="8"/>
        <w:spacing w:before="0" w:beforeAutospacing="0" w:after="0" w:afterAutospacing="0" w:line="540" w:lineRule="exact"/>
        <w:ind w:firstLine="482" w:firstLineChars="200"/>
        <w:rPr>
          <w:rFonts w:ascii="宋体" w:hAnsi="宋体" w:cs="宋体"/>
          <w:b/>
          <w:bCs/>
          <w:color w:val="333333"/>
          <w:shd w:val="clear" w:color="auto" w:fill="FFFFFF"/>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二</w:t>
      </w:r>
      <w:r>
        <w:rPr>
          <w:rFonts w:hint="eastAsia" w:ascii="宋体" w:hAnsi="宋体" w:cs="宋体"/>
          <w:b/>
          <w:bCs/>
          <w:color w:val="333333"/>
          <w:shd w:val="clear" w:color="auto" w:fill="FFFFFF"/>
        </w:rPr>
        <w:t>)采购标的需满足的质量、安全、技术规格、物理特性等要求：</w:t>
      </w:r>
    </w:p>
    <w:tbl>
      <w:tblPr>
        <w:tblStyle w:val="10"/>
        <w:tblW w:w="4994" w:type="pct"/>
        <w:tblInd w:w="0" w:type="dxa"/>
        <w:tblLayout w:type="autofit"/>
        <w:tblCellMar>
          <w:top w:w="0" w:type="dxa"/>
          <w:left w:w="108" w:type="dxa"/>
          <w:bottom w:w="0" w:type="dxa"/>
          <w:right w:w="108" w:type="dxa"/>
        </w:tblCellMar>
      </w:tblPr>
      <w:tblGrid>
        <w:gridCol w:w="654"/>
        <w:gridCol w:w="1221"/>
        <w:gridCol w:w="6152"/>
        <w:gridCol w:w="794"/>
        <w:gridCol w:w="794"/>
      </w:tblGrid>
      <w:tr>
        <w:tblPrEx>
          <w:tblCellMar>
            <w:top w:w="0" w:type="dxa"/>
            <w:left w:w="108" w:type="dxa"/>
            <w:bottom w:w="0" w:type="dxa"/>
            <w:right w:w="108" w:type="dxa"/>
          </w:tblCellMar>
        </w:tblPrEx>
        <w:trPr>
          <w:trHeight w:val="3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textAlignment w:val="center"/>
              <w:rPr>
                <w:rFonts w:ascii="宋体" w:hAnsi="宋体" w:cs="宋体"/>
                <w:b/>
                <w:bCs/>
              </w:rPr>
            </w:pPr>
            <w:r>
              <w:rPr>
                <w:rFonts w:hint="eastAsia" w:ascii="宋体" w:hAnsi="宋体" w:cs="宋体"/>
                <w:b/>
                <w:bCs/>
                <w:lang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textAlignment w:val="center"/>
              <w:rPr>
                <w:rFonts w:ascii="宋体" w:hAnsi="宋体" w:cs="宋体"/>
                <w:b/>
                <w:bCs/>
              </w:rPr>
            </w:pPr>
            <w:r>
              <w:rPr>
                <w:rFonts w:hint="eastAsia" w:ascii="宋体" w:hAnsi="宋体" w:cs="宋体"/>
                <w:b/>
                <w:bCs/>
                <w:lang w:bidi="ar"/>
              </w:rPr>
              <w:t>设备名称</w:t>
            </w:r>
          </w:p>
        </w:tc>
        <w:tc>
          <w:tcPr>
            <w:tcW w:w="3199"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textAlignment w:val="center"/>
              <w:rPr>
                <w:rFonts w:ascii="宋体" w:hAnsi="宋体" w:cs="宋体"/>
                <w:b/>
                <w:bCs/>
              </w:rPr>
            </w:pPr>
            <w:r>
              <w:rPr>
                <w:rFonts w:hint="eastAsia" w:ascii="宋体" w:hAnsi="宋体" w:cs="宋体"/>
                <w:b/>
                <w:bCs/>
                <w:lang w:bidi="ar"/>
              </w:rPr>
              <w:t>功能参数</w:t>
            </w:r>
          </w:p>
        </w:tc>
        <w:tc>
          <w:tcPr>
            <w:tcW w:w="413"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textAlignment w:val="center"/>
              <w:rPr>
                <w:rFonts w:ascii="宋体" w:hAnsi="宋体" w:cs="宋体"/>
                <w:b/>
                <w:bCs/>
              </w:rPr>
            </w:pPr>
            <w:r>
              <w:rPr>
                <w:rFonts w:hint="eastAsia" w:ascii="宋体" w:hAnsi="宋体" w:cs="宋体"/>
                <w:b/>
                <w:bCs/>
                <w:lang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D9E1F2"/>
            <w:noWrap/>
            <w:vAlign w:val="center"/>
          </w:tcPr>
          <w:p>
            <w:pPr>
              <w:jc w:val="center"/>
              <w:textAlignment w:val="center"/>
              <w:rPr>
                <w:rFonts w:ascii="宋体" w:hAnsi="宋体" w:cs="宋体"/>
                <w:b/>
                <w:bCs/>
              </w:rPr>
            </w:pPr>
            <w:r>
              <w:rPr>
                <w:rFonts w:hint="eastAsia" w:ascii="宋体" w:hAnsi="宋体" w:cs="宋体"/>
                <w:b/>
                <w:bCs/>
                <w:lang w:bidi="ar"/>
              </w:rPr>
              <w:t>单位</w:t>
            </w:r>
          </w:p>
        </w:tc>
      </w:tr>
      <w:tr>
        <w:tblPrEx>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cs="宋体"/>
                <w:color w:val="000000"/>
                <w:lang w:val="en-GB"/>
              </w:rPr>
            </w:pPr>
            <w:r>
              <w:rPr>
                <w:rFonts w:hint="default" w:ascii="宋体" w:hAnsi="宋体" w:cs="宋体"/>
                <w:color w:val="000000"/>
                <w:lang w:val="en-GB" w:bidi="ar"/>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超融合服务器</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rPr>
            </w:pPr>
            <w:r>
              <w:rPr>
                <w:rFonts w:hint="eastAsia" w:ascii="宋体" w:hAnsi="宋体" w:cs="宋体"/>
                <w:color w:val="000000"/>
                <w:lang w:bidi="ar"/>
              </w:rPr>
              <w:t>处理器：不低于2颗24核CPU，主频不低于2.10 GHz；</w:t>
            </w:r>
            <w:r>
              <w:rPr>
                <w:rFonts w:hint="eastAsia" w:ascii="宋体" w:hAnsi="宋体" w:cs="宋体"/>
                <w:color w:val="000000"/>
                <w:lang w:bidi="ar"/>
              </w:rPr>
              <w:br w:type="textWrapping"/>
            </w:r>
            <w:r>
              <w:rPr>
                <w:rFonts w:hint="eastAsia" w:ascii="宋体" w:hAnsi="宋体" w:cs="宋体"/>
                <w:color w:val="000000"/>
                <w:lang w:bidi="ar"/>
              </w:rPr>
              <w:t>内存：不低于512GB DDR4 3200 内存，≥24条扩展插槽；</w:t>
            </w:r>
            <w:r>
              <w:rPr>
                <w:rFonts w:hint="eastAsia" w:ascii="宋体" w:hAnsi="宋体" w:cs="宋体"/>
                <w:color w:val="000000"/>
                <w:lang w:bidi="ar"/>
              </w:rPr>
              <w:br w:type="textWrapping"/>
            </w:r>
            <w:r>
              <w:rPr>
                <w:rFonts w:hint="eastAsia" w:ascii="宋体" w:hAnsi="宋体" w:cs="宋体"/>
                <w:color w:val="000000"/>
                <w:lang w:bidi="ar"/>
              </w:rPr>
              <w:t>硬盘：2块后置热插拔2.5寸系统盘位，12个3.5寸热插拔盘位扩展，可定制支持PCIe SSD硬盘；本次单台配置≥2*240G SSD系统盘，≥2*1.92T SSD缓存盘，≥6*8T SATA数据盘</w:t>
            </w:r>
            <w:r>
              <w:rPr>
                <w:rFonts w:hint="eastAsia" w:ascii="宋体" w:hAnsi="宋体" w:cs="宋体"/>
                <w:color w:val="000000"/>
                <w:lang w:bidi="ar"/>
              </w:rPr>
              <w:br w:type="textWrapping"/>
            </w:r>
            <w:r>
              <w:rPr>
                <w:rFonts w:hint="eastAsia" w:ascii="宋体" w:hAnsi="宋体" w:cs="宋体"/>
                <w:color w:val="000000"/>
                <w:lang w:bidi="ar"/>
              </w:rPr>
              <w:t>RAID功能：RAID卡,支持0,1,10,等RAID级别；</w:t>
            </w:r>
            <w:r>
              <w:rPr>
                <w:rFonts w:hint="eastAsia" w:ascii="宋体" w:hAnsi="宋体" w:cs="宋体"/>
                <w:color w:val="000000"/>
                <w:lang w:bidi="ar"/>
              </w:rPr>
              <w:br w:type="textWrapping"/>
            </w:r>
            <w:r>
              <w:rPr>
                <w:rFonts w:hint="eastAsia" w:ascii="宋体" w:hAnsi="宋体" w:cs="宋体"/>
                <w:color w:val="000000"/>
                <w:lang w:bidi="ar"/>
              </w:rPr>
              <w:t>接口</w:t>
            </w:r>
            <w:r>
              <w:rPr>
                <w:rFonts w:hint="eastAsia" w:ascii="宋体" w:hAnsi="宋体" w:cs="宋体"/>
                <w:color w:val="000000"/>
                <w:lang w:eastAsia="zh-CN" w:bidi="ar"/>
              </w:rPr>
              <w:t>：</w:t>
            </w:r>
            <w:r>
              <w:rPr>
                <w:rFonts w:hint="eastAsia" w:ascii="宋体" w:hAnsi="宋体" w:cs="宋体"/>
                <w:color w:val="000000"/>
                <w:lang w:bidi="ar"/>
              </w:rPr>
              <w:t>千兆以太网电口≥4个,万兆光口≥2个，VGA口1个，USB接口≥4，PCI-E插槽总数≥3个；</w:t>
            </w:r>
            <w:r>
              <w:rPr>
                <w:rFonts w:hint="eastAsia" w:ascii="宋体" w:hAnsi="宋体" w:cs="宋体"/>
                <w:color w:val="000000"/>
                <w:lang w:bidi="ar"/>
              </w:rPr>
              <w:br w:type="textWrapping"/>
            </w:r>
            <w:r>
              <w:rPr>
                <w:rFonts w:hint="eastAsia" w:ascii="宋体" w:hAnsi="宋体" w:cs="宋体"/>
                <w:color w:val="000000"/>
                <w:lang w:bidi="ar"/>
              </w:rPr>
              <w:t>冷却系统：支持1+1冗余热插拔系统风扇；</w:t>
            </w:r>
            <w:r>
              <w:rPr>
                <w:rFonts w:hint="eastAsia" w:ascii="宋体" w:hAnsi="宋体" w:cs="宋体"/>
                <w:color w:val="000000"/>
                <w:lang w:bidi="ar"/>
              </w:rPr>
              <w:br w:type="textWrapping"/>
            </w:r>
            <w:r>
              <w:rPr>
                <w:rFonts w:hint="eastAsia" w:ascii="宋体" w:hAnsi="宋体" w:cs="宋体"/>
                <w:color w:val="000000"/>
                <w:lang w:bidi="ar"/>
              </w:rPr>
              <w:t>故障定位：标配BMC诊断模块，可实现对CPU/内存/硬盘/网卡/风扇/温度/电源等关键部件的故障诊断</w:t>
            </w:r>
            <w:r>
              <w:rPr>
                <w:rFonts w:hint="eastAsia" w:ascii="宋体" w:hAnsi="宋体" w:cs="宋体"/>
                <w:color w:val="000000"/>
                <w:lang w:bidi="ar"/>
              </w:rPr>
              <w:br w:type="textWrapping"/>
            </w:r>
            <w:r>
              <w:rPr>
                <w:rFonts w:hint="eastAsia" w:ascii="宋体" w:hAnsi="宋体" w:cs="宋体"/>
                <w:color w:val="000000"/>
                <w:lang w:bidi="ar"/>
              </w:rPr>
              <w:t>所提供产品为一体机硬件，出厂预</w:t>
            </w:r>
            <w:bookmarkStart w:id="0" w:name="_GoBack"/>
            <w:bookmarkEnd w:id="0"/>
            <w:r>
              <w:rPr>
                <w:rFonts w:hint="eastAsia" w:ascii="宋体" w:hAnsi="宋体" w:cs="宋体"/>
                <w:color w:val="000000"/>
                <w:lang w:bidi="ar"/>
              </w:rPr>
              <w:t>装超融合软件系统，提供不少于三年硬件质保服务，光纤线、光模块根据本项目需求提供；</w:t>
            </w:r>
            <w:r>
              <w:rPr>
                <w:rFonts w:hint="eastAsia" w:ascii="宋体" w:hAnsi="宋体" w:cs="宋体"/>
                <w:color w:val="000000"/>
                <w:lang w:bidi="ar"/>
              </w:rPr>
              <w:br w:type="textWrapping"/>
            </w:r>
            <w:r>
              <w:rPr>
                <w:rFonts w:hint="eastAsia" w:ascii="宋体" w:hAnsi="宋体" w:cs="宋体"/>
                <w:color w:val="000000"/>
                <w:lang w:bidi="ar"/>
              </w:rPr>
              <w:t>为保障售后服务的及时性，所投设备的稳定性、可靠性，必须提供设备生产厂家售后服务承诺保证文件以及投标授权书。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台</w:t>
            </w:r>
          </w:p>
        </w:tc>
      </w:tr>
      <w:tr>
        <w:tblPrEx>
          <w:tblCellMar>
            <w:top w:w="0" w:type="dxa"/>
            <w:left w:w="108" w:type="dxa"/>
            <w:bottom w:w="0" w:type="dxa"/>
            <w:right w:w="108" w:type="dxa"/>
          </w:tblCellMar>
        </w:tblPrEx>
        <w:trPr>
          <w:trHeight w:val="93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cs="宋体"/>
                <w:color w:val="000000"/>
                <w:lang w:val="en-GB"/>
              </w:rPr>
            </w:pPr>
            <w:r>
              <w:rPr>
                <w:rFonts w:hint="default" w:ascii="宋体" w:hAnsi="宋体" w:cs="宋体"/>
                <w:color w:val="000000"/>
                <w:lang w:val="en-GB" w:bidi="ar"/>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超融合软件</w:t>
            </w:r>
          </w:p>
        </w:tc>
        <w:tc>
          <w:tcPr>
            <w:tcW w:w="319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lang w:bidi="ar"/>
              </w:rPr>
            </w:pPr>
            <w:r>
              <w:rPr>
                <w:rFonts w:hint="eastAsia" w:ascii="宋体" w:hAnsi="宋体" w:cs="宋体"/>
                <w:color w:val="000000"/>
                <w:lang w:bidi="ar"/>
              </w:rPr>
              <w:t>1.虚拟化平台至少满足</w:t>
            </w:r>
            <w:r>
              <w:rPr>
                <w:rFonts w:ascii="宋体" w:hAnsi="宋体" w:cs="宋体"/>
                <w:color w:val="000000"/>
                <w:lang w:bidi="ar"/>
              </w:rPr>
              <w:t>2</w:t>
            </w:r>
            <w:r>
              <w:rPr>
                <w:rFonts w:hint="eastAsia" w:ascii="宋体" w:hAnsi="宋体" w:cs="宋体"/>
                <w:color w:val="000000"/>
                <w:lang w:bidi="ar"/>
              </w:rPr>
              <w:t>颗物理CPU的虚拟化授权，包含服务器虚拟化、存储虚拟化，数据持续保护系统，为方便统一管理和后期扩容方便，授权可通过虚拟化平台统一管理和授权。（需提供产品功能截图），所有虚拟化平台软件，提供不低于3年的软件升级服务；</w:t>
            </w:r>
          </w:p>
          <w:p>
            <w:pPr>
              <w:textAlignment w:val="center"/>
              <w:rPr>
                <w:rFonts w:ascii="宋体" w:hAnsi="宋体" w:cs="宋体"/>
                <w:color w:val="000000"/>
                <w:lang w:bidi="ar"/>
              </w:rPr>
            </w:pPr>
            <w:r>
              <w:rPr>
                <w:rFonts w:hint="eastAsia" w:ascii="宋体" w:hAnsi="宋体" w:cs="宋体"/>
                <w:color w:val="000000"/>
                <w:lang w:bidi="ar"/>
              </w:rPr>
              <w:t>2.提供云管平台，能够同时管理新建超融合集群和原有超融合业务集群，实现虚拟化业务的统一管理，便于管理人员运维。（需提供相关证明材料）</w:t>
            </w:r>
          </w:p>
          <w:p>
            <w:pPr>
              <w:textAlignment w:val="center"/>
              <w:rPr>
                <w:rFonts w:ascii="宋体" w:hAnsi="宋体" w:cs="宋体"/>
                <w:color w:val="000000"/>
                <w:lang w:bidi="ar"/>
              </w:rPr>
            </w:pPr>
            <w:r>
              <w:rPr>
                <w:rFonts w:hint="eastAsia" w:ascii="宋体" w:hAnsi="宋体" w:cs="宋体"/>
                <w:color w:val="000000"/>
                <w:lang w:bidi="ar"/>
              </w:rPr>
              <w:t>3.支持大屏展示便于客户直观查看虚拟化资源池的使用情况和健康状态，包括集群资源情况，各主机资源使用情况，存储资源池的IO次数、IO速率、IO时延、存储命中率、主机命中率，以及集群故障与告警，支持Top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5虚拟机CPU和内存利用率信息大屏展示等（需提供产品功能截图） </w:t>
            </w:r>
          </w:p>
          <w:p>
            <w:pPr>
              <w:textAlignment w:val="center"/>
              <w:rPr>
                <w:rFonts w:ascii="宋体" w:hAnsi="宋体" w:cs="宋体"/>
                <w:color w:val="000000"/>
                <w:lang w:bidi="ar"/>
              </w:rPr>
            </w:pPr>
            <w:r>
              <w:rPr>
                <w:rFonts w:hint="eastAsia" w:ascii="宋体" w:hAnsi="宋体" w:cs="宋体"/>
                <w:color w:val="000000"/>
                <w:lang w:bidi="ar"/>
              </w:rPr>
              <w:t>4.虚拟化的管理平台、可以支持扩展同一品牌的存储虚拟化、网络功能虚拟化、虚拟应用防火墙、虚拟应用交付、SSL VPN软件、数据库审计软件等功能组件的，并支持统一管理，以保障平台的扩展性和兼容性（需提供产品功能截图）；</w:t>
            </w:r>
          </w:p>
          <w:p>
            <w:pPr>
              <w:textAlignment w:val="center"/>
              <w:rPr>
                <w:rFonts w:ascii="宋体" w:hAnsi="宋体" w:cs="宋体"/>
                <w:color w:val="000000"/>
                <w:lang w:bidi="ar"/>
              </w:rPr>
            </w:pPr>
            <w:r>
              <w:rPr>
                <w:rFonts w:hint="eastAsia" w:ascii="宋体" w:hAnsi="宋体" w:cs="宋体"/>
                <w:color w:val="000000"/>
                <w:lang w:bidi="ar"/>
              </w:rPr>
              <w:t>计算虚拟化要求：</w:t>
            </w:r>
          </w:p>
          <w:p>
            <w:pPr>
              <w:textAlignment w:val="center"/>
              <w:rPr>
                <w:rFonts w:ascii="宋体" w:hAnsi="宋体" w:cs="宋体"/>
                <w:color w:val="000000"/>
                <w:lang w:bidi="ar"/>
              </w:rPr>
            </w:pPr>
            <w:r>
              <w:rPr>
                <w:rFonts w:hint="eastAsia" w:ascii="宋体" w:hAnsi="宋体" w:cs="宋体"/>
                <w:color w:val="000000"/>
                <w:lang w:bidi="ar"/>
              </w:rPr>
              <w:t>5.支持平台中的集群资源环境一键检测，可选择检测对象，包括系统运行状态检测、系统配置检测、硬件健康检测，可以点击开始检测按钮对检测对象进行检测操作（提供带有CMA、CNAS标识的检测报告证明，至少包含报告首页，对应功能测试页和报告尾页）；</w:t>
            </w:r>
          </w:p>
          <w:p>
            <w:pPr>
              <w:textAlignment w:val="center"/>
              <w:rPr>
                <w:rFonts w:ascii="宋体" w:hAnsi="宋体" w:cs="宋体"/>
                <w:color w:val="000000"/>
                <w:lang w:bidi="ar"/>
              </w:rPr>
            </w:pPr>
            <w:r>
              <w:rPr>
                <w:rFonts w:hint="eastAsia" w:ascii="宋体" w:hAnsi="宋体" w:cs="宋体"/>
                <w:color w:val="000000"/>
                <w:lang w:bidi="ar"/>
              </w:rPr>
              <w:t>6.虚拟机可以实现物理机的全部功能，如具有自己的资源（内存、CPU、网卡、存储），可以指定单独的IP地址、MAC地址等；</w:t>
            </w:r>
          </w:p>
          <w:p>
            <w:pPr>
              <w:textAlignment w:val="center"/>
              <w:rPr>
                <w:rFonts w:ascii="宋体" w:hAnsi="宋体" w:cs="宋体"/>
                <w:color w:val="000000"/>
                <w:lang w:bidi="ar"/>
              </w:rPr>
            </w:pPr>
            <w:r>
              <w:rPr>
                <w:rFonts w:hint="eastAsia" w:ascii="宋体" w:hAnsi="宋体" w:cs="宋体"/>
                <w:color w:val="000000"/>
                <w:lang w:bidi="ar"/>
              </w:rPr>
              <w:t>7.在超融合管理平台界面上提供虚拟机删除、开关机、挂起与恢复、重启、关闭、关闭电源、克隆、迁移、备份、模板导出、快照、标签管理等功能，并支持批量操作；</w:t>
            </w:r>
          </w:p>
          <w:p>
            <w:pPr>
              <w:textAlignment w:val="center"/>
              <w:rPr>
                <w:rFonts w:ascii="宋体" w:hAnsi="宋体" w:cs="宋体"/>
                <w:color w:val="000000"/>
                <w:lang w:bidi="ar"/>
              </w:rPr>
            </w:pPr>
            <w:r>
              <w:rPr>
                <w:rFonts w:hint="eastAsia" w:ascii="宋体" w:hAnsi="宋体" w:cs="宋体"/>
                <w:color w:val="000000"/>
                <w:lang w:bidi="ar"/>
              </w:rPr>
              <w:t>8.为了更好的保护用户数据，支持设置定期全量备份、增量备份、差异备份，支持用户灵活配置备份策略，支持将虚拟机的备份文件定期归档到第二存储（需提供产品功能截图）；</w:t>
            </w:r>
          </w:p>
          <w:p>
            <w:pPr>
              <w:textAlignment w:val="center"/>
              <w:rPr>
                <w:rFonts w:ascii="宋体" w:hAnsi="宋体" w:cs="宋体"/>
                <w:color w:val="000000"/>
                <w:lang w:bidi="ar"/>
              </w:rPr>
            </w:pPr>
            <w:r>
              <w:rPr>
                <w:rFonts w:hint="eastAsia" w:ascii="宋体" w:hAnsi="宋体" w:cs="宋体"/>
                <w:color w:val="000000"/>
                <w:lang w:bidi="ar"/>
              </w:rPr>
              <w:t xml:space="preserve">9.为了更好地进行运维，支持智能坏道预测，准确识别出接下来会出现坏道的硬盘，实现故障前预测并处理，规避故障风险； </w:t>
            </w:r>
          </w:p>
          <w:p>
            <w:pPr>
              <w:textAlignment w:val="center"/>
              <w:rPr>
                <w:rFonts w:ascii="宋体" w:hAnsi="宋体" w:cs="宋体"/>
                <w:color w:val="000000"/>
                <w:lang w:bidi="ar"/>
              </w:rPr>
            </w:pPr>
            <w:r>
              <w:rPr>
                <w:rFonts w:hint="eastAsia" w:ascii="宋体" w:hAnsi="宋体" w:cs="宋体"/>
                <w:color w:val="000000"/>
                <w:lang w:bidi="ar"/>
              </w:rPr>
              <w:t xml:space="preserve">10.支持点击还原按钮，还原回收站列表指定项，可设置回收站文件保留天数，可以查看回收站列表项信息，包括名称、描述、存储和删除时间和保留时间（需提供产品功能截图）； </w:t>
            </w:r>
          </w:p>
          <w:p>
            <w:pPr>
              <w:textAlignment w:val="center"/>
              <w:rPr>
                <w:rFonts w:ascii="宋体" w:hAnsi="宋体" w:cs="宋体"/>
                <w:color w:val="000000"/>
                <w:lang w:bidi="ar"/>
              </w:rPr>
            </w:pPr>
            <w:r>
              <w:rPr>
                <w:rFonts w:hint="eastAsia" w:ascii="宋体" w:hAnsi="宋体" w:cs="宋体"/>
                <w:color w:val="000000"/>
                <w:lang w:bidi="ar"/>
              </w:rPr>
              <w:t>11.为避免主机假死导致系列问题发生，支持识别假死主机并标签化为亚健康主机，通过邮件或短信告警提醒用户进行处理，并限制重要业务在亚健康主机上运行，规避风险；</w:t>
            </w:r>
          </w:p>
          <w:p>
            <w:pPr>
              <w:textAlignment w:val="center"/>
              <w:rPr>
                <w:rFonts w:ascii="宋体" w:hAnsi="宋体" w:cs="宋体"/>
                <w:color w:val="000000"/>
                <w:lang w:bidi="ar"/>
              </w:rPr>
            </w:pPr>
            <w:r>
              <w:rPr>
                <w:rFonts w:hint="eastAsia" w:ascii="宋体" w:hAnsi="宋体" w:cs="宋体"/>
                <w:color w:val="000000"/>
                <w:lang w:bidi="ar"/>
              </w:rPr>
              <w:t>12.支持内存ECC自动纠错机制，当扫描到物理主机的内存条出现ECC CE和UE错误时，能够将对应内存空间进行隔离并定位故障内存的槽位，减少硬件问题对业务的影响（需提供具有CNAS、CMA资质的第三方测试机构的证明材料，至少包含报告首页，对应功能测试页和报告尾页）；</w:t>
            </w:r>
          </w:p>
          <w:p>
            <w:pPr>
              <w:textAlignment w:val="center"/>
              <w:rPr>
                <w:rFonts w:ascii="宋体" w:hAnsi="宋体" w:cs="宋体"/>
                <w:color w:val="000000"/>
                <w:lang w:bidi="ar"/>
              </w:rPr>
            </w:pPr>
            <w:r>
              <w:rPr>
                <w:rFonts w:hint="eastAsia" w:ascii="宋体" w:hAnsi="宋体" w:cs="宋体"/>
                <w:color w:val="000000"/>
                <w:lang w:bidi="ar"/>
              </w:rPr>
              <w:t>网络虚拟化要求：</w:t>
            </w:r>
          </w:p>
          <w:p>
            <w:pPr>
              <w:textAlignment w:val="center"/>
              <w:rPr>
                <w:rFonts w:ascii="宋体" w:hAnsi="宋体" w:cs="宋体"/>
                <w:color w:val="000000"/>
                <w:lang w:bidi="ar"/>
              </w:rPr>
            </w:pPr>
            <w:r>
              <w:rPr>
                <w:rFonts w:hint="eastAsia" w:ascii="宋体" w:hAnsi="宋体" w:cs="宋体"/>
                <w:color w:val="000000"/>
                <w:lang w:bidi="ar"/>
              </w:rPr>
              <w:t>13.通过License激活的方式，实现网络虚拟化功能（分布式虚拟交换机、虚拟路由器、虚拟应用防火墙、虚拟应用负载均衡），支持Vxlan网络和现有的Vlan网络对接，实现虚拟化平台与原有网络的兼容性（需提供产品功能截图）；</w:t>
            </w:r>
          </w:p>
          <w:p>
            <w:pPr>
              <w:textAlignment w:val="center"/>
              <w:rPr>
                <w:rFonts w:ascii="宋体" w:hAnsi="宋体" w:cs="宋体"/>
                <w:color w:val="000000"/>
                <w:lang w:bidi="ar"/>
              </w:rPr>
            </w:pPr>
            <w:r>
              <w:rPr>
                <w:rFonts w:hint="eastAsia" w:ascii="宋体" w:hAnsi="宋体" w:cs="宋体"/>
                <w:color w:val="000000"/>
                <w:lang w:bidi="ar"/>
              </w:rPr>
              <w:t>14.本次配置不限制虚拟路由器创建数量，虚拟路由器支持HA功能，当虚拟路由器运行的主机出现故障时，可以实现故障自动恢复，保障业务的高可靠性；</w:t>
            </w:r>
          </w:p>
          <w:p>
            <w:pPr>
              <w:textAlignment w:val="center"/>
              <w:rPr>
                <w:rFonts w:ascii="宋体" w:hAnsi="宋体" w:cs="宋体"/>
                <w:color w:val="000000"/>
                <w:lang w:bidi="ar"/>
              </w:rPr>
            </w:pPr>
            <w:r>
              <w:rPr>
                <w:rFonts w:hint="eastAsia" w:ascii="宋体" w:hAnsi="宋体" w:cs="宋体"/>
                <w:color w:val="000000"/>
                <w:lang w:bidi="ar"/>
              </w:rPr>
              <w:t>15.在管理平台上可以通过拖拽连线完成网络拓扑的构建，可以在网络拓扑页面通过功能键实现虚拟网络连接、开启和关闭等操作（提供带有CMA、CNAS标识的检测报告证明，至少包含报告首页，对应功能测试页和报告尾页）；</w:t>
            </w:r>
          </w:p>
          <w:p>
            <w:pPr>
              <w:textAlignment w:val="center"/>
              <w:rPr>
                <w:rFonts w:ascii="宋体" w:hAnsi="宋体" w:cs="宋体"/>
                <w:color w:val="000000"/>
                <w:lang w:bidi="ar"/>
              </w:rPr>
            </w:pPr>
            <w:r>
              <w:rPr>
                <w:rFonts w:hint="eastAsia" w:ascii="宋体" w:hAnsi="宋体" w:cs="宋体"/>
                <w:color w:val="000000"/>
                <w:lang w:bidi="ar"/>
              </w:rPr>
              <w:t>16.超融合能够提供端口镜像功能，支持设置流量镜像将超融合内部网络流量镜像到内部虚拟机、nfv、外部安全设备进行流量审计；</w:t>
            </w:r>
          </w:p>
          <w:p>
            <w:pPr>
              <w:textAlignment w:val="center"/>
              <w:rPr>
                <w:rFonts w:ascii="宋体" w:hAnsi="宋体" w:cs="宋体"/>
                <w:color w:val="000000"/>
                <w:lang w:bidi="ar"/>
              </w:rPr>
            </w:pPr>
            <w:r>
              <w:rPr>
                <w:rFonts w:hint="eastAsia" w:ascii="宋体" w:hAnsi="宋体" w:cs="宋体"/>
                <w:color w:val="000000"/>
                <w:lang w:bidi="ar"/>
              </w:rPr>
              <w:t>存储虚拟化要求：</w:t>
            </w:r>
          </w:p>
          <w:p>
            <w:pPr>
              <w:textAlignment w:val="center"/>
              <w:rPr>
                <w:rFonts w:ascii="宋体" w:hAnsi="宋体" w:cs="宋体"/>
                <w:color w:val="000000"/>
                <w:lang w:bidi="ar"/>
              </w:rPr>
            </w:pPr>
            <w:r>
              <w:rPr>
                <w:rFonts w:hint="eastAsia" w:ascii="宋体" w:hAnsi="宋体" w:cs="宋体"/>
                <w:color w:val="000000"/>
                <w:lang w:bidi="ar"/>
              </w:rPr>
              <w:t>17.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p>
            <w:pPr>
              <w:textAlignment w:val="center"/>
              <w:rPr>
                <w:rFonts w:ascii="宋体" w:hAnsi="宋体" w:cs="宋体"/>
                <w:color w:val="000000"/>
                <w:lang w:bidi="ar"/>
              </w:rPr>
            </w:pPr>
            <w:r>
              <w:rPr>
                <w:rFonts w:hint="eastAsia" w:ascii="宋体" w:hAnsi="宋体" w:cs="宋体"/>
                <w:color w:val="000000"/>
                <w:lang w:bidi="ar"/>
              </w:rPr>
              <w:t>18.支持存储虚拟化功能，无需安装额外的软件，在一个统一的管理平台上使用License激活的方式即可开通使用，存储虚拟化与计算虚拟化为紧耦合架构，减少底层开销，提升性能（需提供产品功能截图） ；</w:t>
            </w:r>
          </w:p>
          <w:p>
            <w:pPr>
              <w:textAlignment w:val="center"/>
              <w:rPr>
                <w:rFonts w:ascii="宋体" w:hAnsi="宋体" w:cs="宋体"/>
                <w:color w:val="000000"/>
                <w:lang w:bidi="ar"/>
              </w:rPr>
            </w:pPr>
            <w:r>
              <w:rPr>
                <w:rFonts w:hint="eastAsia" w:ascii="宋体" w:hAnsi="宋体" w:cs="宋体"/>
                <w:color w:val="000000"/>
                <w:lang w:bidi="ar"/>
              </w:rPr>
              <w:t>19.支持数据重建优先级调整，可以查看数据重建任务列表信息，包括对象名称、对象类型、数据量和优先级等信息，可以点击操作中的优先级对数据重建进行优先重建，保证重要的业务优先恢复数据的安全性（提供带有CMA、CNAS标识的检测报告证明，至少包含报告首页，对应功能测试页和报告尾页）；</w:t>
            </w:r>
          </w:p>
          <w:p>
            <w:pPr>
              <w:textAlignment w:val="center"/>
              <w:rPr>
                <w:rFonts w:ascii="宋体" w:hAnsi="宋体" w:cs="宋体"/>
                <w:color w:val="000000"/>
                <w:lang w:bidi="ar"/>
              </w:rPr>
            </w:pPr>
            <w:r>
              <w:rPr>
                <w:rFonts w:hint="eastAsia" w:ascii="宋体" w:hAnsi="宋体" w:cs="宋体"/>
                <w:color w:val="000000"/>
                <w:lang w:bidi="ar"/>
              </w:rPr>
              <w:t>20.可以进行一键部署数据库操作，可以选择数据库类型，包括MySQL、SQL Server和Oracle，可以选择部署架构，包括MySQL（单机，主从），SQL Server（单机，AlwaysOn），Oracle（单机，RAC）（提供带有CMA、CNAS标识的检测报告证明，至少包含报告首页，对应功能测试页和报告尾页）；</w:t>
            </w:r>
          </w:p>
          <w:p>
            <w:pPr>
              <w:textAlignment w:val="center"/>
              <w:rPr>
                <w:rFonts w:ascii="宋体" w:hAnsi="宋体" w:cs="宋体"/>
                <w:color w:val="000000"/>
                <w:lang w:bidi="ar"/>
              </w:rPr>
            </w:pPr>
            <w:r>
              <w:rPr>
                <w:rFonts w:hint="eastAsia" w:ascii="宋体" w:hAnsi="宋体" w:cs="宋体"/>
                <w:color w:val="000000"/>
                <w:lang w:bidi="ar"/>
              </w:rPr>
              <w:t xml:space="preserve">21.为保证集群业务或者oracle rac数据库业务的快照一致性，以便故障时业务可通过快照恢复，支持对虚拟机配置一致性组，对整个一致性组进行快照（需提供产品功能截图）； </w:t>
            </w:r>
          </w:p>
          <w:p>
            <w:pPr>
              <w:textAlignment w:val="center"/>
              <w:rPr>
                <w:rFonts w:ascii="宋体" w:hAnsi="宋体" w:cs="宋体"/>
                <w:color w:val="000000"/>
                <w:lang w:bidi="ar"/>
              </w:rPr>
            </w:pPr>
            <w:r>
              <w:rPr>
                <w:rFonts w:hint="eastAsia" w:ascii="宋体" w:hAnsi="宋体" w:cs="宋体"/>
                <w:color w:val="000000"/>
                <w:lang w:bidi="ar"/>
              </w:rPr>
              <w:t>22.支持坏道扫描功能，由用户设置扫描的时间段定期对集群的硬盘进行扫描，及时发现潜藏的坏道（需提供具有CNAS、CMA资质的第三方测试机构的证明材料，至少包含报告首页，对应功能测试页和报告尾页）；</w:t>
            </w:r>
          </w:p>
          <w:p>
            <w:pPr>
              <w:textAlignment w:val="center"/>
              <w:rPr>
                <w:rFonts w:ascii="宋体" w:hAnsi="宋体" w:cs="宋体"/>
                <w:color w:val="000000"/>
              </w:rPr>
            </w:pPr>
            <w:r>
              <w:rPr>
                <w:rFonts w:hint="eastAsia" w:ascii="宋体" w:hAnsi="宋体" w:cs="宋体"/>
                <w:color w:val="000000"/>
                <w:lang w:bidi="ar"/>
              </w:rPr>
              <w:t>23.提供数据持续保护模块，支持在CDP数据正式恢复之前，可快速查看灾备的文件目录信息，确定恢复时间点后，再正式进行CDP数据恢复。并且能够动态的开启和关闭，比如能够提供对正在运行的虚拟机，在不需要重启或中断业务的情况下，就可以开启CDP。支持提供与虚拟机故障隔离能力，支持CDP模块故障时，虚拟机仍然能够正常实现数据读写，本项目提供不少于20个虚拟机的持续数据保护CDP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ascii="宋体" w:hAnsi="宋体" w:cs="宋体"/>
                <w:color w:val="000000"/>
                <w:lang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lang w:bidi="ar"/>
              </w:rPr>
              <w:t>套</w:t>
            </w:r>
          </w:p>
        </w:tc>
      </w:tr>
    </w:tbl>
    <w:p>
      <w:pPr>
        <w:pStyle w:val="8"/>
        <w:spacing w:before="0" w:beforeAutospacing="0" w:after="0" w:afterAutospacing="0" w:line="360" w:lineRule="auto"/>
        <w:ind w:firstLine="482" w:firstLineChars="200"/>
        <w:rPr>
          <w:rFonts w:ascii="宋体" w:hAnsi="宋体" w:cs="宋体"/>
          <w:b/>
          <w:bCs/>
          <w:color w:val="333333"/>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三</w:t>
      </w:r>
      <w:r>
        <w:rPr>
          <w:rFonts w:hint="eastAsia" w:ascii="宋体" w:hAnsi="宋体" w:cs="宋体"/>
          <w:b/>
          <w:bCs/>
          <w:color w:val="333333"/>
          <w:shd w:val="clear" w:color="auto" w:fill="FFFFFF"/>
        </w:rPr>
        <w:t>)采购标的的数量、采购项目交付或者实施的时间和地点：</w:t>
      </w:r>
    </w:p>
    <w:p>
      <w:pPr>
        <w:pStyle w:val="8"/>
        <w:spacing w:before="0" w:beforeAutospacing="0" w:after="0" w:afterAutospacing="0" w:line="360" w:lineRule="auto"/>
        <w:ind w:firstLine="480" w:firstLineChars="200"/>
        <w:rPr>
          <w:rFonts w:ascii="宋体" w:hAnsi="宋体" w:cs="宋体"/>
        </w:rPr>
      </w:pPr>
      <w:r>
        <w:rPr>
          <w:rFonts w:hint="eastAsia" w:ascii="宋体" w:hAnsi="宋体" w:cs="宋体"/>
        </w:rPr>
        <w:t>采购数量：超融合服务器4台、超融合虚拟化软件</w:t>
      </w:r>
      <w:r>
        <w:rPr>
          <w:rFonts w:hint="eastAsia" w:ascii="宋体" w:hAnsi="宋体" w:cs="宋体"/>
          <w:lang w:val="en-US" w:eastAsia="zh-CN"/>
        </w:rPr>
        <w:t>4</w:t>
      </w:r>
      <w:r>
        <w:rPr>
          <w:rFonts w:hint="eastAsia" w:ascii="宋体" w:hAnsi="宋体" w:cs="宋体"/>
        </w:rPr>
        <w:t>套、</w:t>
      </w:r>
    </w:p>
    <w:p>
      <w:pPr>
        <w:pStyle w:val="8"/>
        <w:spacing w:before="0" w:beforeAutospacing="0" w:after="0" w:afterAutospacing="0" w:line="360" w:lineRule="auto"/>
        <w:ind w:firstLine="480" w:firstLineChars="200"/>
        <w:rPr>
          <w:rFonts w:ascii="宋体" w:hAnsi="宋体" w:cs="宋体"/>
          <w:color w:val="333333"/>
          <w:highlight w:val="yellow"/>
          <w:shd w:val="clear" w:color="auto" w:fill="FFFFFF"/>
        </w:rPr>
      </w:pPr>
      <w:r>
        <w:rPr>
          <w:rFonts w:hint="eastAsia" w:ascii="宋体" w:hAnsi="宋体" w:cs="宋体"/>
          <w:shd w:val="clear" w:color="auto" w:fill="FFFFFF"/>
          <w:lang w:val="zh-CN"/>
        </w:rPr>
        <w:t>合同履行期限：合同签订后</w:t>
      </w:r>
      <w:r>
        <w:rPr>
          <w:rFonts w:hint="eastAsia" w:ascii="宋体" w:hAnsi="宋体" w:cs="宋体"/>
          <w:shd w:val="clear" w:color="auto" w:fill="FFFFFF"/>
          <w:lang w:val="en-US" w:eastAsia="zh-CN"/>
        </w:rPr>
        <w:t>10</w:t>
      </w:r>
      <w:r>
        <w:rPr>
          <w:rFonts w:hint="eastAsia" w:ascii="宋体" w:hAnsi="宋体" w:cs="宋体"/>
          <w:shd w:val="clear" w:color="auto" w:fill="FFFFFF"/>
        </w:rPr>
        <w:t>日</w:t>
      </w:r>
      <w:r>
        <w:rPr>
          <w:rFonts w:hint="eastAsia" w:ascii="宋体" w:hAnsi="宋体" w:cs="宋体"/>
          <w:shd w:val="clear" w:color="auto" w:fill="FFFFFF"/>
          <w:lang w:val="zh-CN"/>
        </w:rPr>
        <w:t>内完成调货安装工作。</w:t>
      </w:r>
    </w:p>
    <w:p>
      <w:pPr>
        <w:pStyle w:val="8"/>
        <w:spacing w:before="0" w:beforeAutospacing="0" w:after="0" w:afterAutospacing="0" w:line="360" w:lineRule="auto"/>
        <w:ind w:firstLine="480" w:firstLineChars="200"/>
        <w:rPr>
          <w:shd w:val="clear" w:color="auto" w:fill="FFFFFF"/>
        </w:rPr>
      </w:pPr>
      <w:r>
        <w:rPr>
          <w:rFonts w:hint="eastAsia"/>
          <w:shd w:val="clear" w:color="auto" w:fill="FFFFFF"/>
        </w:rPr>
        <w:t>交货地点：</w:t>
      </w:r>
      <w:r>
        <w:rPr>
          <w:rFonts w:hint="eastAsia" w:ascii="宋体" w:hAnsi="宋体" w:cs="宋体"/>
          <w:sz w:val="24"/>
          <w:szCs w:val="24"/>
          <w:shd w:val="clear" w:color="auto" w:fill="FFFFFF"/>
          <w:lang w:val="zh-CN"/>
        </w:rPr>
        <w:t>迪庆藏族自治州德钦县</w:t>
      </w:r>
      <w:r>
        <w:rPr>
          <w:rFonts w:hint="eastAsia"/>
          <w:shd w:val="clear" w:color="auto" w:fill="FFFFFF"/>
        </w:rPr>
        <w:t>。</w:t>
      </w:r>
    </w:p>
    <w:p>
      <w:pPr>
        <w:pStyle w:val="8"/>
        <w:spacing w:before="0" w:beforeAutospacing="0" w:after="0" w:afterAutospacing="0" w:line="360" w:lineRule="auto"/>
        <w:ind w:firstLine="482" w:firstLineChars="200"/>
        <w:rPr>
          <w:rFonts w:ascii="宋体" w:hAnsi="宋体" w:cs="宋体"/>
          <w:b/>
          <w:bCs/>
          <w:color w:val="333333"/>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四</w:t>
      </w:r>
      <w:r>
        <w:rPr>
          <w:rFonts w:hint="eastAsia" w:ascii="宋体" w:hAnsi="宋体" w:cs="宋体"/>
          <w:b/>
          <w:bCs/>
          <w:color w:val="333333"/>
          <w:shd w:val="clear" w:color="auto" w:fill="FFFFFF"/>
        </w:rPr>
        <w:t>)采购标的需满足的服务标准、期限、效率等要求：</w:t>
      </w:r>
    </w:p>
    <w:p>
      <w:pPr>
        <w:pStyle w:val="8"/>
        <w:spacing w:before="0" w:beforeAutospacing="0" w:after="0" w:afterAutospacing="0" w:line="360" w:lineRule="auto"/>
        <w:ind w:firstLine="480" w:firstLineChars="200"/>
        <w:rPr>
          <w:rFonts w:ascii="宋体" w:hAnsi="宋体" w:cs="宋体"/>
        </w:rPr>
      </w:pPr>
      <w:r>
        <w:rPr>
          <w:rFonts w:hint="eastAsia" w:ascii="宋体" w:hAnsi="宋体" w:cs="宋体"/>
        </w:rPr>
        <w:t>服务标准：采购标的需满足国家、行业相关标准以及采购要求。</w:t>
      </w:r>
    </w:p>
    <w:p>
      <w:pPr>
        <w:pStyle w:val="8"/>
        <w:spacing w:before="0" w:beforeAutospacing="0" w:after="0" w:afterAutospacing="0" w:line="360" w:lineRule="auto"/>
        <w:ind w:firstLine="480" w:firstLineChars="200"/>
        <w:rPr>
          <w:rFonts w:ascii="宋体" w:hAnsi="宋体" w:cs="宋体"/>
        </w:rPr>
      </w:pPr>
      <w:r>
        <w:rPr>
          <w:rFonts w:hint="eastAsia" w:ascii="宋体" w:hAnsi="宋体" w:cs="宋体"/>
        </w:rPr>
        <w:t>质量要求：整体质保3年。</w:t>
      </w:r>
    </w:p>
    <w:p>
      <w:pPr>
        <w:pStyle w:val="8"/>
        <w:spacing w:before="0" w:beforeAutospacing="0" w:after="0" w:afterAutospacing="0" w:line="360" w:lineRule="auto"/>
        <w:ind w:firstLine="482" w:firstLineChars="200"/>
        <w:rPr>
          <w:rFonts w:ascii="宋体" w:hAnsi="宋体" w:cs="宋体"/>
          <w:b/>
          <w:bCs/>
          <w:color w:val="333333"/>
          <w:shd w:val="clear" w:color="auto" w:fill="FFFFFF"/>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五</w:t>
      </w:r>
      <w:r>
        <w:rPr>
          <w:rFonts w:hint="eastAsia" w:ascii="宋体" w:hAnsi="宋体" w:cs="宋体"/>
          <w:b/>
          <w:bCs/>
          <w:color w:val="333333"/>
          <w:shd w:val="clear" w:color="auto" w:fill="FFFFFF"/>
        </w:rPr>
        <w:t>)采购标的的验收标准：</w:t>
      </w:r>
    </w:p>
    <w:p>
      <w:pPr>
        <w:pStyle w:val="8"/>
        <w:spacing w:before="0" w:beforeAutospacing="0" w:after="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1.货物交付前，乙方应对货物的质量、数量等方面进行详细、全面的检验，并向甲方出具证明货物符合合同约定的文件；货物交付时，乙方在10日内组织验收，并可依法邀请相关方参加，验收应出具验收书。</w:t>
      </w:r>
    </w:p>
    <w:p>
      <w:pPr>
        <w:pStyle w:val="8"/>
        <w:spacing w:before="0" w:beforeAutospacing="0" w:after="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Style w:val="8"/>
        <w:spacing w:before="0" w:beforeAutospacing="0" w:after="0" w:afterAutospacing="0"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3.检验和验收标准、程序等具体内容以及前述验收书的效力按照国家标准及行业要求进行专业验收，并出具验收书面资料。</w:t>
      </w:r>
    </w:p>
    <w:p>
      <w:pPr>
        <w:pStyle w:val="8"/>
        <w:spacing w:before="0" w:beforeAutospacing="0" w:after="0" w:afterAutospacing="0" w:line="360" w:lineRule="auto"/>
        <w:ind w:firstLine="482" w:firstLineChars="200"/>
        <w:rPr>
          <w:rFonts w:ascii="宋体" w:hAnsi="宋体" w:cs="宋体"/>
          <w:b/>
          <w:bCs/>
          <w:color w:val="333333"/>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六</w:t>
      </w:r>
      <w:r>
        <w:rPr>
          <w:rFonts w:hint="eastAsia" w:ascii="宋体" w:hAnsi="宋体" w:cs="宋体"/>
          <w:b/>
          <w:bCs/>
          <w:color w:val="333333"/>
          <w:shd w:val="clear" w:color="auto" w:fill="FFFFFF"/>
        </w:rPr>
        <w:t>)采购标的的其他技术、服务等要求：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1.保证所有货物均为全新、原装正品</w:t>
      </w:r>
      <w:r>
        <w:rPr>
          <w:rFonts w:hint="eastAsia" w:ascii="宋体" w:hAnsi="宋体" w:cs="宋体"/>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.安装调试：中标供应商负责本项目所有货物的安装、调试直至验收合格。</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技术维护响应：(1)按国家有关规定实行产品“三包”；(2)免费送货上门；(3)定期回访以及维修；(4)接到故障通知后，中标人需在1小时内响应，24小时内到达现场处理，以保证设备正常运行，质保期内承担一切相关费用；(5)提供365×7×24通过远程、质保期免费上门服务、电话、E-mail等方式为用户提供终身完善的售前和售后技术咨询服务；(6)其余按厂家承诺进行。</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.培训要求：投标人应负责培训服务人员和相关设备维护人员，内容包括：工作流程，设备的操作、日常维护，以便开展后期服务工作。</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注：(1)投标人中标后应提供全套的培训材料，培训材料应符合标准并用中文书写，包括操作介绍、相关设备操作规范、使用说明、用户手册等；(2)培训所需全部费用由中标人承担，包含在投标总价中。</w:t>
      </w:r>
    </w:p>
    <w:p>
      <w:pPr>
        <w:pStyle w:val="8"/>
        <w:spacing w:before="0" w:beforeAutospacing="0" w:after="0" w:afterAutospacing="0" w:line="360" w:lineRule="auto"/>
        <w:ind w:firstLine="482" w:firstLineChars="200"/>
        <w:rPr>
          <w:rFonts w:ascii="宋体" w:hAnsi="宋体" w:cs="宋体"/>
          <w:b/>
          <w:bCs/>
          <w:color w:val="333333"/>
          <w:shd w:val="clear" w:color="auto" w:fill="FFFFFF"/>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七</w:t>
      </w: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合同付款</w:t>
      </w:r>
      <w:r>
        <w:rPr>
          <w:rFonts w:ascii="宋体" w:hAnsi="宋体" w:cs="宋体"/>
          <w:b/>
          <w:bCs/>
          <w:color w:val="333333"/>
          <w:shd w:val="clear" w:color="auto" w:fill="FFFFFF"/>
        </w:rPr>
        <w:t>方式</w:t>
      </w:r>
    </w:p>
    <w:p>
      <w:pPr>
        <w:pStyle w:val="8"/>
        <w:spacing w:before="0" w:beforeAutospacing="0" w:after="0" w:afterAutospacing="0" w:line="360" w:lineRule="auto"/>
        <w:ind w:firstLine="480" w:firstLineChars="200"/>
        <w:rPr>
          <w:rFonts w:ascii="宋体" w:hAnsi="宋体" w:cs="宋体"/>
          <w:color w:val="333333"/>
          <w:shd w:val="clear" w:color="auto" w:fill="FFFFFF"/>
        </w:rPr>
      </w:pPr>
      <w:r>
        <w:rPr>
          <w:rFonts w:hint="eastAsia" w:ascii="宋体" w:hAnsi="宋体" w:cs="宋体"/>
          <w:color w:val="333333"/>
          <w:shd w:val="clear" w:color="auto" w:fill="FFFFFF"/>
        </w:rPr>
        <w:t>付款方式：合同签订生效后，设备到货安装调试合格后，支付合同总价款的</w:t>
      </w:r>
      <w:r>
        <w:rPr>
          <w:rFonts w:hint="eastAsia" w:ascii="宋体" w:hAnsi="宋体" w:cs="宋体"/>
          <w:color w:val="333333"/>
          <w:shd w:val="clear" w:color="auto" w:fill="FFFFFF"/>
          <w:lang w:val="en-US" w:eastAsia="zh-CN"/>
        </w:rPr>
        <w:t>6</w:t>
      </w:r>
      <w:r>
        <w:rPr>
          <w:rFonts w:hint="eastAsia" w:ascii="宋体" w:hAnsi="宋体" w:cs="宋体"/>
          <w:color w:val="333333"/>
          <w:shd w:val="clear" w:color="auto" w:fill="FFFFFF"/>
        </w:rPr>
        <w:t>0%，项目验收完成后支付合同价款</w:t>
      </w:r>
      <w:r>
        <w:rPr>
          <w:rFonts w:hint="eastAsia" w:ascii="宋体" w:hAnsi="宋体" w:cs="宋体"/>
          <w:color w:val="333333"/>
          <w:shd w:val="clear" w:color="auto" w:fill="FFFFFF"/>
          <w:lang w:eastAsia="zh-CN"/>
        </w:rPr>
        <w:t>剩余</w:t>
      </w:r>
      <w:r>
        <w:rPr>
          <w:rFonts w:hint="eastAsia" w:ascii="宋体" w:hAnsi="宋体" w:cs="宋体"/>
          <w:color w:val="333333"/>
          <w:shd w:val="clear" w:color="auto" w:fill="FFFFFF"/>
        </w:rPr>
        <w:t>的</w:t>
      </w:r>
      <w:r>
        <w:rPr>
          <w:rFonts w:hint="eastAsia" w:ascii="宋体" w:hAnsi="宋体" w:cs="宋体"/>
          <w:color w:val="333333"/>
          <w:shd w:val="clear" w:color="auto" w:fill="FFFFFF"/>
          <w:lang w:val="en-US" w:eastAsia="zh-CN"/>
        </w:rPr>
        <w:t>4</w:t>
      </w:r>
      <w:r>
        <w:rPr>
          <w:rFonts w:hint="eastAsia" w:ascii="宋体" w:hAnsi="宋体" w:cs="宋体"/>
          <w:color w:val="333333"/>
          <w:shd w:val="clear" w:color="auto" w:fill="FFFFFF"/>
        </w:rPr>
        <w:t>0%。</w:t>
      </w:r>
    </w:p>
    <w:p>
      <w:pPr>
        <w:pStyle w:val="8"/>
        <w:spacing w:before="0" w:beforeAutospacing="0" w:after="0" w:afterAutospacing="0" w:line="360" w:lineRule="auto"/>
        <w:ind w:firstLine="482" w:firstLineChars="200"/>
        <w:rPr>
          <w:rFonts w:ascii="宋体" w:hAnsi="宋体" w:cs="宋体"/>
          <w:b/>
          <w:bCs/>
          <w:color w:val="333333"/>
          <w:shd w:val="clear" w:color="auto" w:fill="FFFFFF"/>
        </w:rPr>
      </w:pPr>
      <w:r>
        <w:rPr>
          <w:rFonts w:hint="eastAsia" w:ascii="宋体" w:hAnsi="宋体" w:cs="宋体"/>
          <w:b/>
          <w:bCs/>
          <w:color w:val="333333"/>
          <w:shd w:val="clear" w:color="auto" w:fill="FFFFFF"/>
        </w:rPr>
        <w:t>（</w:t>
      </w:r>
      <w:r>
        <w:rPr>
          <w:rFonts w:hint="eastAsia" w:ascii="宋体" w:hAnsi="宋体" w:cs="宋体"/>
          <w:b/>
          <w:bCs/>
          <w:color w:val="333333"/>
          <w:shd w:val="clear" w:color="auto" w:fill="FFFFFF"/>
          <w:lang w:eastAsia="zh-CN"/>
        </w:rPr>
        <w:t>八</w:t>
      </w:r>
      <w:r>
        <w:rPr>
          <w:rFonts w:hint="eastAsia" w:ascii="宋体" w:hAnsi="宋体" w:cs="宋体"/>
          <w:b/>
          <w:bCs/>
          <w:color w:val="333333"/>
          <w:shd w:val="clear" w:color="auto" w:fill="FFFFFF"/>
        </w:rPr>
        <w:t>）</w:t>
      </w:r>
      <w:r>
        <w:rPr>
          <w:rFonts w:ascii="宋体" w:hAnsi="宋体" w:cs="宋体"/>
          <w:b/>
          <w:bCs/>
          <w:color w:val="333333"/>
          <w:shd w:val="clear" w:color="auto" w:fill="FFFFFF"/>
        </w:rPr>
        <w:t>合同履行期限</w:t>
      </w:r>
    </w:p>
    <w:p>
      <w:pPr>
        <w:pStyle w:val="8"/>
        <w:spacing w:before="0" w:beforeAutospacing="0" w:after="0" w:afterAutospacing="0" w:line="360" w:lineRule="auto"/>
        <w:ind w:firstLine="480" w:firstLineChars="200"/>
        <w:rPr>
          <w:rFonts w:ascii="宋体" w:hAnsi="宋体" w:cs="宋体"/>
          <w:color w:val="333333"/>
          <w:shd w:val="clear" w:color="auto" w:fill="FFFFFF"/>
        </w:rPr>
      </w:pPr>
      <w:r>
        <w:rPr>
          <w:rFonts w:ascii="宋体" w:hAnsi="宋体" w:cs="宋体"/>
          <w:color w:val="333333"/>
          <w:shd w:val="clear" w:color="auto" w:fill="FFFFFF"/>
        </w:rPr>
        <w:t>合同履行期限：至合同全部权利、义务履行完毕之日止。</w:t>
      </w:r>
    </w:p>
    <w:p/>
    <w:sectPr>
      <w:pgSz w:w="11906" w:h="16838"/>
      <w:pgMar w:top="1191" w:right="1191"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OTFjYmQ3ZThjMGQyYjI3NjZlYzY3ZWIxMDQ4MzcifQ=="/>
  </w:docVars>
  <w:rsids>
    <w:rsidRoot w:val="55D25068"/>
    <w:rsid w:val="001141CF"/>
    <w:rsid w:val="00A7383A"/>
    <w:rsid w:val="00BA7500"/>
    <w:rsid w:val="00C16F92"/>
    <w:rsid w:val="00CA3ABF"/>
    <w:rsid w:val="00CE72AE"/>
    <w:rsid w:val="00E0770D"/>
    <w:rsid w:val="041912F4"/>
    <w:rsid w:val="04BE4BE0"/>
    <w:rsid w:val="04E377CC"/>
    <w:rsid w:val="083912F8"/>
    <w:rsid w:val="09303912"/>
    <w:rsid w:val="0C0014B2"/>
    <w:rsid w:val="0EA42172"/>
    <w:rsid w:val="12C034A4"/>
    <w:rsid w:val="1557112B"/>
    <w:rsid w:val="16C54930"/>
    <w:rsid w:val="188C0D02"/>
    <w:rsid w:val="198F072B"/>
    <w:rsid w:val="1D836D21"/>
    <w:rsid w:val="1FC56786"/>
    <w:rsid w:val="21713DB5"/>
    <w:rsid w:val="22F8048F"/>
    <w:rsid w:val="2452753F"/>
    <w:rsid w:val="25D601D8"/>
    <w:rsid w:val="25F55741"/>
    <w:rsid w:val="2AED7F66"/>
    <w:rsid w:val="2BBD1CBD"/>
    <w:rsid w:val="303A0D58"/>
    <w:rsid w:val="3B5B584E"/>
    <w:rsid w:val="3D5A331E"/>
    <w:rsid w:val="3F9C3204"/>
    <w:rsid w:val="40456F00"/>
    <w:rsid w:val="4249440B"/>
    <w:rsid w:val="4502420E"/>
    <w:rsid w:val="45742851"/>
    <w:rsid w:val="45B135DE"/>
    <w:rsid w:val="48586537"/>
    <w:rsid w:val="49DA00C8"/>
    <w:rsid w:val="4AEA6FBC"/>
    <w:rsid w:val="4F1C7274"/>
    <w:rsid w:val="539E46A2"/>
    <w:rsid w:val="54C52366"/>
    <w:rsid w:val="54D90E5D"/>
    <w:rsid w:val="55D25068"/>
    <w:rsid w:val="5CDD7779"/>
    <w:rsid w:val="5D573A29"/>
    <w:rsid w:val="5EB5124D"/>
    <w:rsid w:val="5F0966C4"/>
    <w:rsid w:val="621B0FF5"/>
    <w:rsid w:val="62AD0937"/>
    <w:rsid w:val="65273A0C"/>
    <w:rsid w:val="653E0E59"/>
    <w:rsid w:val="658B5885"/>
    <w:rsid w:val="690C2FD6"/>
    <w:rsid w:val="6A322C68"/>
    <w:rsid w:val="6BE25969"/>
    <w:rsid w:val="6C790B22"/>
    <w:rsid w:val="6E8D72AA"/>
    <w:rsid w:val="74435701"/>
    <w:rsid w:val="74A20499"/>
    <w:rsid w:val="75B875D6"/>
    <w:rsid w:val="75C33C48"/>
    <w:rsid w:val="78F9607E"/>
    <w:rsid w:val="79D511E4"/>
    <w:rsid w:val="7A7B6817"/>
    <w:rsid w:val="7C6837C2"/>
    <w:rsid w:val="7E35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4"/>
    <w:qFormat/>
    <w:uiPriority w:val="0"/>
    <w:pPr>
      <w:ind w:firstLine="420" w:firstLineChars="200"/>
    </w:pPr>
  </w:style>
  <w:style w:type="paragraph" w:styleId="4">
    <w:name w:val="toc 2"/>
    <w:basedOn w:val="1"/>
    <w:next w:val="1"/>
    <w:qFormat/>
    <w:uiPriority w:val="0"/>
    <w:pPr>
      <w:ind w:left="210"/>
    </w:pPr>
    <w:rPr>
      <w:rFonts w:ascii="Calibri" w:hAnsi="Calibri" w:cs="Calibri"/>
      <w:smallCaps/>
      <w:sz w:val="20"/>
      <w:szCs w:val="20"/>
    </w:rPr>
  </w:style>
  <w:style w:type="paragraph" w:styleId="5">
    <w:name w:val="Body Text Indent"/>
    <w:basedOn w:val="1"/>
    <w:autoRedefine/>
    <w:qFormat/>
    <w:uiPriority w:val="0"/>
    <w:pPr>
      <w:spacing w:after="120"/>
      <w:ind w:left="420" w:leftChars="200"/>
    </w:p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pPr>
    <w:rPr>
      <w:sz w:val="24"/>
      <w:szCs w:val="24"/>
    </w:rPr>
  </w:style>
  <w:style w:type="paragraph" w:styleId="9">
    <w:name w:val="Body Text First Indent 2"/>
    <w:basedOn w:val="5"/>
    <w:autoRedefine/>
    <w:qFormat/>
    <w:uiPriority w:val="0"/>
    <w:pPr>
      <w:ind w:firstLine="420" w:firstLineChars="200"/>
    </w:pPr>
  </w:style>
  <w:style w:type="character" w:customStyle="1" w:styleId="12">
    <w:name w:val="页眉 字符"/>
    <w:basedOn w:val="11"/>
    <w:link w:val="7"/>
    <w:qFormat/>
    <w:uiPriority w:val="0"/>
    <w:rPr>
      <w:sz w:val="18"/>
      <w:szCs w:val="18"/>
    </w:rPr>
  </w:style>
  <w:style w:type="character" w:customStyle="1" w:styleId="13">
    <w:name w:val="页脚 字符"/>
    <w:basedOn w:val="11"/>
    <w:link w:val="6"/>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3611</Words>
  <Characters>3916</Characters>
  <Lines>34</Lines>
  <Paragraphs>9</Paragraphs>
  <TotalTime>29</TotalTime>
  <ScaleCrop>false</ScaleCrop>
  <LinksUpToDate>false</LinksUpToDate>
  <CharactersWithSpaces>3936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2024-04-02T04:47:00Z</dcterms:created>
  <dc:creator>地瓜52号</dc:creator>
  <cp:lastModifiedBy>吕剑锋</cp:lastModifiedBy>
  <dcterms:modified xsi:type="dcterms:W3CDTF">2024-07-09T02:52:42Z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D34547086DC844689193183F13E9D149_13</vt:lpwstr>
  </property>
</Properties>
</file>