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1960B">
      <w:pPr>
        <w:spacing w:before="39" w:line="430" w:lineRule="exact"/>
      </w:pPr>
    </w:p>
    <w:p w14:paraId="757A7883">
      <w:pPr>
        <w:spacing w:line="403" w:lineRule="auto"/>
        <w:rPr>
          <w:rFonts w:ascii="Arial"/>
          <w:sz w:val="21"/>
        </w:rPr>
      </w:pPr>
    </w:p>
    <w:p w14:paraId="2705C96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广南</w:t>
      </w:r>
      <w:r>
        <w:rPr>
          <w:rFonts w:hint="eastAsia" w:ascii="宋体" w:hAnsi="宋体" w:eastAsia="宋体" w:cs="宋体"/>
          <w:color w:val="auto"/>
          <w:sz w:val="32"/>
          <w:szCs w:val="32"/>
        </w:rPr>
        <w:t>县</w:t>
      </w:r>
      <w:r>
        <w:rPr>
          <w:rFonts w:hint="eastAsia" w:ascii="宋体" w:hAnsi="宋体" w:eastAsia="宋体" w:cs="宋体"/>
          <w:color w:val="auto"/>
          <w:sz w:val="32"/>
          <w:szCs w:val="32"/>
          <w:lang w:eastAsia="zh-CN"/>
        </w:rPr>
        <w:t>民族职业高级中学校</w:t>
      </w:r>
      <w:r>
        <w:rPr>
          <w:rFonts w:hint="eastAsia" w:ascii="宋体" w:hAnsi="宋体" w:eastAsia="宋体" w:cs="宋体"/>
          <w:color w:val="auto"/>
          <w:sz w:val="32"/>
          <w:szCs w:val="32"/>
          <w:lang w:val="en-US" w:eastAsia="zh-CN"/>
        </w:rPr>
        <w:t>2024年度触摸屏及LED显示屏采购项目</w:t>
      </w:r>
    </w:p>
    <w:p w14:paraId="6B44338D">
      <w:pPr>
        <w:pStyle w:val="5"/>
        <w:ind w:firstLine="4800" w:firstLineChars="1200"/>
        <w:rPr>
          <w:rFonts w:hint="default"/>
          <w:color w:val="auto"/>
          <w:lang w:val="en-US" w:eastAsia="zh-CN"/>
        </w:rPr>
      </w:pPr>
      <w:r>
        <w:rPr>
          <w:rFonts w:hint="eastAsia" w:ascii="方正小标宋_GBK" w:hAnsi="方正小标宋_GBK" w:eastAsia="方正小标宋_GBK" w:cs="方正小标宋_GBK"/>
          <w:snapToGrid w:val="0"/>
          <w:color w:val="auto"/>
          <w:sz w:val="40"/>
          <w:szCs w:val="40"/>
          <w:lang w:val="en-US" w:eastAsia="zh-CN"/>
        </w:rPr>
        <w:t>政采云询价文件</w:t>
      </w:r>
    </w:p>
    <w:p w14:paraId="0DE0B0DC">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auto"/>
          <w:sz w:val="22"/>
          <w:szCs w:val="22"/>
        </w:rPr>
      </w:pPr>
      <w:bookmarkStart w:id="0" w:name="_Toc11304"/>
      <w:bookmarkStart w:id="1" w:name="_Toc35393798"/>
      <w:bookmarkStart w:id="2" w:name="_Toc35393629"/>
      <w:bookmarkStart w:id="3" w:name="_Toc28359089"/>
      <w:bookmarkStart w:id="4" w:name="_Toc28359012"/>
      <w:r>
        <w:rPr>
          <w:rFonts w:hint="eastAsia" w:ascii="宋体" w:hAnsi="宋体" w:eastAsia="宋体" w:cs="宋体"/>
          <w:color w:val="auto"/>
          <w:sz w:val="22"/>
          <w:szCs w:val="22"/>
        </w:rPr>
        <w:t>一、项目基本情况</w:t>
      </w:r>
      <w:bookmarkEnd w:id="0"/>
      <w:bookmarkEnd w:id="1"/>
      <w:bookmarkEnd w:id="2"/>
      <w:bookmarkEnd w:id="3"/>
      <w:bookmarkEnd w:id="4"/>
    </w:p>
    <w:p w14:paraId="7CE64D47">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color w:val="auto"/>
          <w:sz w:val="22"/>
          <w:szCs w:val="22"/>
          <w:lang w:val="en-US" w:eastAsia="zh-CN"/>
        </w:rPr>
      </w:pPr>
      <w:r>
        <w:rPr>
          <w:rFonts w:hint="eastAsia" w:ascii="宋体" w:hAnsi="宋体" w:eastAsia="宋体" w:cs="宋体"/>
          <w:color w:val="auto"/>
          <w:sz w:val="22"/>
          <w:szCs w:val="22"/>
        </w:rPr>
        <w:t>项目编号：</w:t>
      </w:r>
    </w:p>
    <w:p w14:paraId="208486A1">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项目名称：</w:t>
      </w:r>
      <w:r>
        <w:rPr>
          <w:rFonts w:hint="eastAsia" w:ascii="宋体" w:hAnsi="宋体" w:eastAsia="宋体" w:cs="宋体"/>
          <w:color w:val="auto"/>
          <w:sz w:val="22"/>
          <w:szCs w:val="22"/>
          <w:lang w:val="en-US" w:eastAsia="zh-CN"/>
        </w:rPr>
        <w:t>广南</w:t>
      </w:r>
      <w:r>
        <w:rPr>
          <w:rFonts w:hint="eastAsia" w:ascii="宋体" w:hAnsi="宋体" w:eastAsia="宋体" w:cs="宋体"/>
          <w:color w:val="auto"/>
          <w:sz w:val="22"/>
          <w:szCs w:val="22"/>
        </w:rPr>
        <w:t>县</w:t>
      </w:r>
      <w:r>
        <w:rPr>
          <w:rFonts w:hint="eastAsia" w:ascii="宋体" w:hAnsi="宋体" w:eastAsia="宋体" w:cs="宋体"/>
          <w:color w:val="auto"/>
          <w:sz w:val="22"/>
          <w:szCs w:val="22"/>
          <w:lang w:eastAsia="zh-CN"/>
        </w:rPr>
        <w:t>民族职业高级中学校</w:t>
      </w:r>
      <w:r>
        <w:rPr>
          <w:rFonts w:hint="eastAsia" w:ascii="宋体" w:hAnsi="宋体" w:eastAsia="宋体" w:cs="宋体"/>
          <w:color w:val="auto"/>
          <w:sz w:val="22"/>
          <w:szCs w:val="22"/>
          <w:lang w:val="en-US" w:eastAsia="zh-CN"/>
        </w:rPr>
        <w:t>2024年度触摸屏及LED显示屏采购项目</w:t>
      </w:r>
    </w:p>
    <w:p w14:paraId="6BA0A316">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采购方式：</w:t>
      </w:r>
      <w:r>
        <w:rPr>
          <w:rFonts w:hint="eastAsia" w:ascii="宋体" w:hAnsi="宋体" w:eastAsia="宋体" w:cs="宋体"/>
          <w:color w:val="auto"/>
          <w:sz w:val="22"/>
          <w:szCs w:val="22"/>
          <w:lang w:val="en-US" w:eastAsia="zh-CN"/>
        </w:rPr>
        <w:t>在线</w:t>
      </w:r>
      <w:r>
        <w:rPr>
          <w:rFonts w:hint="eastAsia" w:ascii="宋体" w:hAnsi="宋体" w:cs="宋体"/>
          <w:color w:val="auto"/>
          <w:sz w:val="22"/>
          <w:szCs w:val="22"/>
          <w:lang w:eastAsia="zh-CN"/>
        </w:rPr>
        <w:t>询价</w:t>
      </w:r>
      <w:r>
        <w:rPr>
          <w:rFonts w:hint="eastAsia" w:ascii="宋体" w:hAnsi="宋体" w:eastAsia="宋体" w:cs="宋体"/>
          <w:color w:val="auto"/>
          <w:sz w:val="22"/>
          <w:szCs w:val="22"/>
        </w:rPr>
        <w:t xml:space="preserve"> </w:t>
      </w:r>
    </w:p>
    <w:p w14:paraId="6F0343E2">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预算金额：</w:t>
      </w:r>
      <w:r>
        <w:rPr>
          <w:rFonts w:hint="eastAsia" w:ascii="宋体" w:hAnsi="宋体" w:cs="宋体"/>
          <w:color w:val="auto"/>
          <w:sz w:val="22"/>
          <w:szCs w:val="22"/>
          <w:lang w:val="en-US" w:eastAsia="zh-CN"/>
        </w:rPr>
        <w:t>25</w:t>
      </w:r>
      <w:r>
        <w:rPr>
          <w:rFonts w:hint="eastAsia" w:ascii="宋体" w:hAnsi="宋体" w:eastAsia="宋体" w:cs="宋体"/>
          <w:color w:val="auto"/>
          <w:sz w:val="22"/>
          <w:szCs w:val="22"/>
        </w:rPr>
        <w:t>万元</w:t>
      </w:r>
    </w:p>
    <w:p w14:paraId="41C89E8A">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最高限价：</w:t>
      </w:r>
      <w:r>
        <w:rPr>
          <w:rFonts w:hint="eastAsia" w:ascii="宋体" w:hAnsi="宋体" w:cs="宋体"/>
          <w:color w:val="auto"/>
          <w:sz w:val="22"/>
          <w:szCs w:val="22"/>
          <w:lang w:val="en-US" w:eastAsia="zh-CN"/>
        </w:rPr>
        <w:t>25</w:t>
      </w:r>
      <w:r>
        <w:rPr>
          <w:rFonts w:hint="eastAsia" w:ascii="宋体" w:hAnsi="宋体" w:eastAsia="宋体" w:cs="宋体"/>
          <w:color w:val="auto"/>
          <w:sz w:val="22"/>
          <w:szCs w:val="22"/>
          <w:lang w:val="en-US" w:eastAsia="zh-CN"/>
        </w:rPr>
        <w:t>万</w:t>
      </w:r>
      <w:r>
        <w:rPr>
          <w:rFonts w:hint="eastAsia" w:ascii="宋体" w:hAnsi="宋体" w:eastAsia="宋体" w:cs="宋体"/>
          <w:color w:val="auto"/>
          <w:sz w:val="22"/>
          <w:szCs w:val="22"/>
        </w:rPr>
        <w:t>元</w:t>
      </w:r>
    </w:p>
    <w:p w14:paraId="4C6BC560">
      <w:pPr>
        <w:numPr>
          <w:ilvl w:val="0"/>
          <w:numId w:val="0"/>
        </w:numPr>
        <w:spacing w:line="500" w:lineRule="exact"/>
        <w:ind w:firstLine="1687" w:firstLineChars="600"/>
        <w:jc w:val="both"/>
        <w:rPr>
          <w:rFonts w:hint="eastAsia" w:ascii="宋体" w:hAnsi="宋体" w:eastAsia="宋体" w:cs="宋体"/>
          <w:color w:val="auto"/>
          <w:sz w:val="22"/>
          <w:szCs w:val="22"/>
        </w:rPr>
      </w:pPr>
      <w:r>
        <w:rPr>
          <w:rFonts w:hint="eastAsia" w:ascii="宋体" w:hAnsi="宋体" w:eastAsia="宋体" w:cs="宋体"/>
          <w:b/>
          <w:bCs/>
          <w:snapToGrid w:val="0"/>
          <w:sz w:val="28"/>
          <w:szCs w:val="28"/>
          <w:lang w:val="en-US" w:eastAsia="zh-CN"/>
        </w:rPr>
        <w:t xml:space="preserve">第一章 </w:t>
      </w:r>
      <w:r>
        <w:rPr>
          <w:rFonts w:hint="eastAsia" w:ascii="宋体" w:hAnsi="宋体" w:eastAsia="宋体" w:cs="宋体"/>
          <w:b/>
          <w:color w:val="auto"/>
          <w:sz w:val="28"/>
          <w:szCs w:val="28"/>
        </w:rPr>
        <w:t>★</w:t>
      </w:r>
      <w:r>
        <w:rPr>
          <w:rFonts w:hint="eastAsia" w:ascii="宋体" w:hAnsi="宋体" w:eastAsia="宋体" w:cs="宋体"/>
          <w:b/>
          <w:bCs/>
          <w:snapToGrid w:val="0"/>
          <w:sz w:val="28"/>
          <w:szCs w:val="28"/>
          <w:lang w:val="en-US" w:eastAsia="zh-CN"/>
        </w:rPr>
        <w:t xml:space="preserve"> </w:t>
      </w:r>
      <w:r>
        <w:rPr>
          <w:rFonts w:hint="eastAsia" w:ascii="宋体" w:hAnsi="宋体" w:eastAsia="宋体" w:cs="宋体"/>
          <w:b/>
          <w:bCs/>
          <w:color w:val="auto"/>
          <w:sz w:val="28"/>
          <w:szCs w:val="28"/>
        </w:rPr>
        <w:t>货物需求一览表</w:t>
      </w:r>
    </w:p>
    <w:tbl>
      <w:tblPr>
        <w:tblStyle w:val="13"/>
        <w:tblW w:w="1167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832"/>
        <w:gridCol w:w="6825"/>
        <w:gridCol w:w="589"/>
        <w:gridCol w:w="857"/>
        <w:gridCol w:w="964"/>
        <w:gridCol w:w="964"/>
      </w:tblGrid>
      <w:tr w14:paraId="76F97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44" w:type="dxa"/>
            <w:vAlign w:val="top"/>
          </w:tcPr>
          <w:p w14:paraId="49742190">
            <w:pPr>
              <w:pStyle w:val="14"/>
              <w:spacing w:before="54" w:line="221" w:lineRule="auto"/>
              <w:ind w:left="114"/>
              <w:rPr>
                <w:b w:val="0"/>
                <w:bCs w:val="0"/>
                <w:sz w:val="21"/>
                <w:szCs w:val="21"/>
              </w:rPr>
            </w:pPr>
            <w:r>
              <w:rPr>
                <w:b w:val="0"/>
                <w:bCs w:val="0"/>
                <w:spacing w:val="-2"/>
                <w:sz w:val="21"/>
                <w:szCs w:val="21"/>
              </w:rPr>
              <w:t>序号</w:t>
            </w:r>
          </w:p>
        </w:tc>
        <w:tc>
          <w:tcPr>
            <w:tcW w:w="832" w:type="dxa"/>
            <w:vAlign w:val="top"/>
          </w:tcPr>
          <w:p w14:paraId="10A17886">
            <w:pPr>
              <w:pStyle w:val="14"/>
              <w:spacing w:before="53" w:line="219" w:lineRule="auto"/>
              <w:ind w:left="111"/>
              <w:rPr>
                <w:b w:val="0"/>
                <w:bCs w:val="0"/>
                <w:sz w:val="21"/>
                <w:szCs w:val="21"/>
              </w:rPr>
            </w:pPr>
            <w:r>
              <w:rPr>
                <w:b w:val="0"/>
                <w:bCs w:val="0"/>
                <w:spacing w:val="-2"/>
                <w:sz w:val="21"/>
                <w:szCs w:val="21"/>
              </w:rPr>
              <w:t>产品名称</w:t>
            </w:r>
          </w:p>
        </w:tc>
        <w:tc>
          <w:tcPr>
            <w:tcW w:w="6825" w:type="dxa"/>
            <w:vAlign w:val="top"/>
          </w:tcPr>
          <w:p w14:paraId="42421994">
            <w:pPr>
              <w:pStyle w:val="14"/>
              <w:spacing w:before="53" w:line="219" w:lineRule="auto"/>
              <w:ind w:left="941"/>
              <w:rPr>
                <w:b w:val="0"/>
                <w:bCs w:val="0"/>
                <w:sz w:val="21"/>
                <w:szCs w:val="21"/>
              </w:rPr>
            </w:pPr>
            <w:r>
              <w:rPr>
                <w:b w:val="0"/>
                <w:bCs w:val="0"/>
                <w:spacing w:val="-2"/>
                <w:sz w:val="21"/>
                <w:szCs w:val="21"/>
              </w:rPr>
              <w:t>技术规格参数</w:t>
            </w:r>
          </w:p>
        </w:tc>
        <w:tc>
          <w:tcPr>
            <w:tcW w:w="589" w:type="dxa"/>
            <w:vAlign w:val="top"/>
          </w:tcPr>
          <w:p w14:paraId="73F154F1">
            <w:pPr>
              <w:pStyle w:val="14"/>
              <w:spacing w:before="53" w:line="219" w:lineRule="auto"/>
              <w:ind w:left="157"/>
              <w:rPr>
                <w:b w:val="0"/>
                <w:bCs w:val="0"/>
                <w:sz w:val="21"/>
                <w:szCs w:val="21"/>
              </w:rPr>
            </w:pPr>
            <w:r>
              <w:rPr>
                <w:b w:val="0"/>
                <w:bCs w:val="0"/>
                <w:spacing w:val="-3"/>
                <w:sz w:val="21"/>
                <w:szCs w:val="21"/>
              </w:rPr>
              <w:t>数量</w:t>
            </w:r>
          </w:p>
        </w:tc>
        <w:tc>
          <w:tcPr>
            <w:tcW w:w="857" w:type="dxa"/>
            <w:vAlign w:val="top"/>
          </w:tcPr>
          <w:p w14:paraId="7BB9AC1E">
            <w:pPr>
              <w:pStyle w:val="14"/>
              <w:spacing w:before="51" w:line="218" w:lineRule="auto"/>
              <w:ind w:left="127"/>
              <w:rPr>
                <w:b w:val="0"/>
                <w:bCs w:val="0"/>
                <w:sz w:val="21"/>
                <w:szCs w:val="21"/>
              </w:rPr>
            </w:pPr>
            <w:r>
              <w:rPr>
                <w:b w:val="0"/>
                <w:bCs w:val="0"/>
                <w:spacing w:val="8"/>
                <w:sz w:val="21"/>
                <w:szCs w:val="21"/>
              </w:rPr>
              <w:t>单价(元)</w:t>
            </w:r>
          </w:p>
        </w:tc>
        <w:tc>
          <w:tcPr>
            <w:tcW w:w="964" w:type="dxa"/>
            <w:vAlign w:val="top"/>
          </w:tcPr>
          <w:p w14:paraId="2483B059">
            <w:pPr>
              <w:pStyle w:val="14"/>
              <w:spacing w:before="53" w:line="219" w:lineRule="auto"/>
              <w:ind w:left="128"/>
              <w:rPr>
                <w:b w:val="0"/>
                <w:bCs w:val="0"/>
                <w:sz w:val="21"/>
                <w:szCs w:val="21"/>
              </w:rPr>
            </w:pPr>
            <w:r>
              <w:rPr>
                <w:b w:val="0"/>
                <w:bCs w:val="0"/>
                <w:spacing w:val="8"/>
                <w:sz w:val="21"/>
                <w:szCs w:val="21"/>
              </w:rPr>
              <w:t>金额(元)</w:t>
            </w:r>
          </w:p>
        </w:tc>
        <w:tc>
          <w:tcPr>
            <w:tcW w:w="964" w:type="dxa"/>
            <w:vAlign w:val="top"/>
          </w:tcPr>
          <w:p w14:paraId="4655C833">
            <w:pPr>
              <w:pStyle w:val="14"/>
              <w:spacing w:before="53" w:line="219" w:lineRule="auto"/>
              <w:ind w:left="128"/>
              <w:rPr>
                <w:b w:val="0"/>
                <w:bCs w:val="0"/>
                <w:spacing w:val="8"/>
                <w:sz w:val="21"/>
                <w:szCs w:val="21"/>
              </w:rPr>
            </w:pPr>
          </w:p>
        </w:tc>
      </w:tr>
      <w:tr w14:paraId="33240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644" w:type="dxa"/>
            <w:vAlign w:val="top"/>
          </w:tcPr>
          <w:p w14:paraId="4F754B4C">
            <w:pPr>
              <w:rPr>
                <w:rFonts w:ascii="Arial"/>
                <w:b w:val="0"/>
                <w:bCs w:val="0"/>
                <w:sz w:val="21"/>
                <w:szCs w:val="21"/>
              </w:rPr>
            </w:pPr>
          </w:p>
          <w:p w14:paraId="75EDA088">
            <w:pPr>
              <w:spacing w:line="241" w:lineRule="auto"/>
              <w:rPr>
                <w:rFonts w:ascii="Arial"/>
                <w:b w:val="0"/>
                <w:bCs w:val="0"/>
                <w:sz w:val="21"/>
                <w:szCs w:val="21"/>
              </w:rPr>
            </w:pPr>
          </w:p>
          <w:p w14:paraId="58A92050">
            <w:pPr>
              <w:pStyle w:val="14"/>
              <w:spacing w:before="65" w:line="184" w:lineRule="auto"/>
              <w:ind w:left="114"/>
              <w:rPr>
                <w:b w:val="0"/>
                <w:bCs w:val="0"/>
                <w:sz w:val="21"/>
                <w:szCs w:val="21"/>
              </w:rPr>
            </w:pPr>
            <w:r>
              <w:rPr>
                <w:b w:val="0"/>
                <w:bCs w:val="0"/>
                <w:sz w:val="21"/>
                <w:szCs w:val="21"/>
              </w:rPr>
              <w:t>1</w:t>
            </w:r>
          </w:p>
        </w:tc>
        <w:tc>
          <w:tcPr>
            <w:tcW w:w="832" w:type="dxa"/>
            <w:vAlign w:val="top"/>
          </w:tcPr>
          <w:p w14:paraId="36D0F6B0">
            <w:pPr>
              <w:spacing w:line="301" w:lineRule="auto"/>
              <w:rPr>
                <w:rFonts w:ascii="Arial"/>
                <w:b w:val="0"/>
                <w:bCs w:val="0"/>
                <w:sz w:val="21"/>
                <w:szCs w:val="21"/>
              </w:rPr>
            </w:pPr>
          </w:p>
          <w:p w14:paraId="339DD994">
            <w:pPr>
              <w:pStyle w:val="14"/>
              <w:spacing w:before="65" w:line="263" w:lineRule="auto"/>
              <w:ind w:left="111" w:right="90"/>
              <w:rPr>
                <w:rFonts w:hint="default" w:eastAsia="宋体"/>
                <w:b w:val="0"/>
                <w:bCs w:val="0"/>
                <w:sz w:val="21"/>
                <w:szCs w:val="21"/>
                <w:lang w:val="en-US" w:eastAsia="zh-CN"/>
              </w:rPr>
            </w:pPr>
            <w:r>
              <w:rPr>
                <w:rFonts w:hint="eastAsia"/>
                <w:b w:val="0"/>
                <w:bCs w:val="0"/>
                <w:spacing w:val="-7"/>
                <w:sz w:val="21"/>
                <w:szCs w:val="21"/>
                <w:lang w:val="en-US" w:eastAsia="zh-CN"/>
              </w:rPr>
              <w:t>触控一体机</w:t>
            </w:r>
          </w:p>
        </w:tc>
        <w:tc>
          <w:tcPr>
            <w:tcW w:w="6825" w:type="dxa"/>
            <w:vAlign w:val="top"/>
          </w:tcPr>
          <w:p w14:paraId="6D3672FD">
            <w:pPr>
              <w:pStyle w:val="14"/>
              <w:spacing w:before="44" w:line="258" w:lineRule="auto"/>
              <w:ind w:left="142"/>
              <w:rPr>
                <w:b w:val="0"/>
                <w:bCs w:val="0"/>
                <w:sz w:val="21"/>
                <w:szCs w:val="21"/>
              </w:rPr>
            </w:pPr>
            <w:r>
              <w:rPr>
                <w:rStyle w:val="15"/>
                <w:b w:val="0"/>
                <w:bCs w:val="0"/>
                <w:sz w:val="21"/>
                <w:szCs w:val="21"/>
                <w:lang w:val="en-US" w:eastAsia="zh-CN" w:bidi="ar"/>
              </w:rPr>
              <w:t>一、整机硬件要求</w:t>
            </w:r>
            <w:r>
              <w:rPr>
                <w:rStyle w:val="16"/>
                <w:b w:val="0"/>
                <w:bCs w:val="0"/>
                <w:sz w:val="21"/>
                <w:szCs w:val="21"/>
                <w:lang w:val="en-US" w:eastAsia="zh-CN" w:bidi="ar"/>
              </w:rPr>
              <w:br w:type="textWrapping"/>
            </w:r>
            <w:r>
              <w:rPr>
                <w:rStyle w:val="16"/>
                <w:b w:val="0"/>
                <w:bCs w:val="0"/>
                <w:sz w:val="21"/>
                <w:szCs w:val="21"/>
                <w:lang w:val="en-US" w:eastAsia="zh-CN" w:bidi="ar"/>
              </w:rPr>
              <w:t>1、整机采用一体设计，外部无任何可见内部功能模块连接线。整机采用全金属外壳设计，边角采用弧形设计，表面无尖锐边缘或凸起；</w:t>
            </w:r>
            <w:r>
              <w:rPr>
                <w:rStyle w:val="16"/>
                <w:b w:val="0"/>
                <w:bCs w:val="0"/>
                <w:sz w:val="21"/>
                <w:szCs w:val="21"/>
                <w:lang w:val="en-US" w:eastAsia="zh-CN" w:bidi="ar"/>
              </w:rPr>
              <w:br w:type="textWrapping"/>
            </w:r>
            <w:r>
              <w:rPr>
                <w:rStyle w:val="16"/>
                <w:b w:val="0"/>
                <w:bCs w:val="0"/>
                <w:sz w:val="21"/>
                <w:szCs w:val="21"/>
                <w:lang w:val="en-US" w:eastAsia="zh-CN" w:bidi="ar"/>
              </w:rPr>
              <w:t>2、整机屏幕边缘采用金属圆角包边防护，整机背板采用金属材质，有效屏蔽内部电路器件辐射；防潮耐盐雾蚀锈，适应多种教学环境；</w:t>
            </w:r>
            <w:r>
              <w:rPr>
                <w:rStyle w:val="16"/>
                <w:b w:val="0"/>
                <w:bCs w:val="0"/>
                <w:sz w:val="21"/>
                <w:szCs w:val="21"/>
                <w:lang w:val="en-US" w:eastAsia="zh-CN" w:bidi="ar"/>
              </w:rPr>
              <w:br w:type="textWrapping"/>
            </w:r>
            <w:r>
              <w:rPr>
                <w:rStyle w:val="16"/>
                <w:b w:val="0"/>
                <w:bCs w:val="0"/>
                <w:sz w:val="21"/>
                <w:szCs w:val="21"/>
                <w:lang w:val="en-US" w:eastAsia="zh-CN" w:bidi="ar"/>
              </w:rPr>
              <w:t>3、★整机屏幕采用86英寸液晶显示器。整机采用UHD超高清LED液晶屏，显示比例16:9，分辨率3840*2160。侧置输入接口具备2路HDMI、1路RS232；侧置输出接口具备1路音频、1路触控USB；前置输入接口3路USB接口（包含1路Type-C、2路USB）；（提供国家广播电视产品质量监督检验中心所出具的权威检测报告复印件并加盖厂家公章）</w:t>
            </w:r>
            <w:r>
              <w:rPr>
                <w:rStyle w:val="16"/>
                <w:b w:val="0"/>
                <w:bCs w:val="0"/>
                <w:sz w:val="21"/>
                <w:szCs w:val="21"/>
                <w:lang w:val="en-US" w:eastAsia="zh-CN" w:bidi="ar"/>
              </w:rPr>
              <w:br w:type="textWrapping"/>
            </w:r>
            <w:r>
              <w:rPr>
                <w:rStyle w:val="16"/>
                <w:b w:val="0"/>
                <w:bCs w:val="0"/>
                <w:sz w:val="21"/>
                <w:szCs w:val="21"/>
                <w:lang w:val="en-US" w:eastAsia="zh-CN" w:bidi="ar"/>
              </w:rPr>
              <w:t>4、★嵌入式系统版本不低于Android 11，内存≥2GB，存储空间≥8GB；（提供国家广播电视产品质量监督检验中心所出具的权威检测报告复印件并加盖厂家公章）</w:t>
            </w:r>
            <w:r>
              <w:rPr>
                <w:rStyle w:val="16"/>
                <w:b w:val="0"/>
                <w:bCs w:val="0"/>
                <w:sz w:val="21"/>
                <w:szCs w:val="21"/>
                <w:lang w:val="en-US" w:eastAsia="zh-CN" w:bidi="ar"/>
              </w:rPr>
              <w:br w:type="textWrapping"/>
            </w:r>
            <w:r>
              <w:rPr>
                <w:rStyle w:val="16"/>
                <w:b w:val="0"/>
                <w:bCs w:val="0"/>
                <w:sz w:val="21"/>
                <w:szCs w:val="21"/>
                <w:lang w:val="en-US" w:eastAsia="zh-CN" w:bidi="ar"/>
              </w:rPr>
              <w:t>5、采用红外触控技术，支持Windows系统中进行20点或以上触控，支持在Android系统中进行10点或以上触控；</w:t>
            </w:r>
            <w:r>
              <w:rPr>
                <w:rStyle w:val="16"/>
                <w:b w:val="0"/>
                <w:bCs w:val="0"/>
                <w:sz w:val="21"/>
                <w:szCs w:val="21"/>
                <w:lang w:val="en-US" w:eastAsia="zh-CN" w:bidi="ar"/>
              </w:rPr>
              <w:br w:type="textWrapping"/>
            </w:r>
            <w:r>
              <w:rPr>
                <w:rStyle w:val="16"/>
                <w:b w:val="0"/>
                <w:bCs w:val="0"/>
                <w:sz w:val="21"/>
                <w:szCs w:val="21"/>
                <w:lang w:val="en-US" w:eastAsia="zh-CN" w:bidi="ar"/>
              </w:rPr>
              <w:t>6、整机能感应并自动调节屏幕亮度来达到在不同光照环境下的不同亮度显示效果。此功能可自行开启或关闭；（提供国家广播电视产品质量监督检验中心所出具的权威检测报告复印件并加盖厂家公章）</w:t>
            </w:r>
            <w:r>
              <w:rPr>
                <w:rStyle w:val="16"/>
                <w:b w:val="0"/>
                <w:bCs w:val="0"/>
                <w:sz w:val="21"/>
                <w:szCs w:val="21"/>
                <w:lang w:val="en-US" w:eastAsia="zh-CN" w:bidi="ar"/>
              </w:rPr>
              <w:br w:type="textWrapping"/>
            </w:r>
            <w:r>
              <w:rPr>
                <w:rStyle w:val="16"/>
                <w:b w:val="0"/>
                <w:bCs w:val="0"/>
                <w:sz w:val="21"/>
                <w:szCs w:val="21"/>
                <w:lang w:val="en-US" w:eastAsia="zh-CN" w:bidi="ar"/>
              </w:rPr>
              <w:t>7、★整机内置2.2声道扬声器，位于设备上边框，顶置朝前发声，前朝向10W高音扬声器2个，上朝向20W中低音扬声器2个，额定总功率60W，保证教室良好的声场环境；（提供国家广播电视产品质量监督检验中心所出具的权威检测报告复印件并加盖厂家公章）</w:t>
            </w:r>
            <w:r>
              <w:rPr>
                <w:rStyle w:val="16"/>
                <w:b w:val="0"/>
                <w:bCs w:val="0"/>
                <w:sz w:val="21"/>
                <w:szCs w:val="21"/>
                <w:lang w:val="en-US" w:eastAsia="zh-CN" w:bidi="ar"/>
              </w:rPr>
              <w:br w:type="textWrapping"/>
            </w:r>
            <w:r>
              <w:rPr>
                <w:rStyle w:val="16"/>
                <w:b w:val="0"/>
                <w:bCs w:val="0"/>
                <w:sz w:val="21"/>
                <w:szCs w:val="21"/>
                <w:lang w:val="en-US" w:eastAsia="zh-CN" w:bidi="ar"/>
              </w:rPr>
              <w:t>8、★整机支持高级音效设置，可以调节左右声道平衡；在中低频段125Hz～1KHz，高频段2KHz～16KHz分别有-12dB～12dB范围的调节功能；（提供国家广播电视产品质量监督检验中心所出具的权威检测报告复印件并加盖厂家公章）</w:t>
            </w:r>
            <w:r>
              <w:rPr>
                <w:rStyle w:val="16"/>
                <w:b w:val="0"/>
                <w:bCs w:val="0"/>
                <w:sz w:val="21"/>
                <w:szCs w:val="21"/>
                <w:lang w:val="en-US" w:eastAsia="zh-CN" w:bidi="ar"/>
              </w:rPr>
              <w:br w:type="textWrapping"/>
            </w:r>
            <w:r>
              <w:rPr>
                <w:rStyle w:val="16"/>
                <w:b w:val="0"/>
                <w:bCs w:val="0"/>
                <w:sz w:val="21"/>
                <w:szCs w:val="21"/>
                <w:lang w:val="en-US" w:eastAsia="zh-CN" w:bidi="ar"/>
              </w:rPr>
              <w:t>9、整机内置非独立外扩展的4阵列麦克风，可用于对教室环境音频进行采集，拾音距离≥12m；</w:t>
            </w:r>
            <w:r>
              <w:rPr>
                <w:rStyle w:val="16"/>
                <w:b w:val="0"/>
                <w:bCs w:val="0"/>
                <w:sz w:val="21"/>
                <w:szCs w:val="21"/>
                <w:lang w:val="en-US" w:eastAsia="zh-CN" w:bidi="ar"/>
              </w:rPr>
              <w:br w:type="textWrapping"/>
            </w:r>
            <w:r>
              <w:rPr>
                <w:rStyle w:val="16"/>
                <w:b w:val="0"/>
                <w:bCs w:val="0"/>
                <w:sz w:val="21"/>
                <w:szCs w:val="21"/>
                <w:lang w:val="en-US" w:eastAsia="zh-CN" w:bidi="ar"/>
              </w:rPr>
              <w:t>10、★支持标准、听力、观影三种音效模式调节；整机扬声器在100%音量下，可做到1米处声压级≥88db，10米处声压级≥73dB；（提供国家广播电视产品质量监督检验中心所出具的权威检测报告复印件并加盖厂家公章）</w:t>
            </w:r>
            <w:r>
              <w:rPr>
                <w:rStyle w:val="16"/>
                <w:b w:val="0"/>
                <w:bCs w:val="0"/>
                <w:sz w:val="21"/>
                <w:szCs w:val="21"/>
                <w:lang w:val="en-US" w:eastAsia="zh-CN" w:bidi="ar"/>
              </w:rPr>
              <w:br w:type="textWrapping"/>
            </w:r>
            <w:r>
              <w:rPr>
                <w:rStyle w:val="16"/>
                <w:b w:val="0"/>
                <w:bCs w:val="0"/>
                <w:sz w:val="21"/>
                <w:szCs w:val="21"/>
                <w:lang w:val="en-US" w:eastAsia="zh-CN" w:bidi="ar"/>
              </w:rPr>
              <w:t>11、整机色域覆盖率（NTSC）≥72%，灰度等级≥256级，整机支持色彩空间可选，包含标准模式和sRGB模式，在sRGB模式下可做到高色准△E≤1.5</w:t>
            </w:r>
            <w:r>
              <w:rPr>
                <w:rStyle w:val="16"/>
                <w:b w:val="0"/>
                <w:bCs w:val="0"/>
                <w:sz w:val="21"/>
                <w:szCs w:val="21"/>
                <w:lang w:val="en-US" w:eastAsia="zh-CN" w:bidi="ar"/>
              </w:rPr>
              <w:br w:type="textWrapping"/>
            </w:r>
            <w:r>
              <w:rPr>
                <w:rStyle w:val="16"/>
                <w:b w:val="0"/>
                <w:bCs w:val="0"/>
                <w:sz w:val="21"/>
                <w:szCs w:val="21"/>
                <w:lang w:val="en-US" w:eastAsia="zh-CN" w:bidi="ar"/>
              </w:rPr>
              <w:t xml:space="preserve">12、★支持护眼模式保证学生视力健康，通过由中国标准化研究院制定的视觉舒适度（VICO）体系认证，并达到视觉舒适度A +级或以上标准。（提供中国标准化研究院或其他国家级社会公益类标准化科研机构出具的检测结果复印件并加盖厂家公章）； </w:t>
            </w:r>
            <w:r>
              <w:rPr>
                <w:rStyle w:val="16"/>
                <w:b w:val="0"/>
                <w:bCs w:val="0"/>
                <w:sz w:val="21"/>
                <w:szCs w:val="21"/>
                <w:lang w:val="en-US" w:eastAsia="zh-CN" w:bidi="ar"/>
              </w:rPr>
              <w:br w:type="textWrapping"/>
            </w:r>
            <w:r>
              <w:rPr>
                <w:rStyle w:val="16"/>
                <w:b w:val="0"/>
                <w:bCs w:val="0"/>
                <w:sz w:val="21"/>
                <w:szCs w:val="21"/>
                <w:lang w:val="en-US" w:eastAsia="zh-CN" w:bidi="ar"/>
              </w:rPr>
              <w:t>13、★整机支持纸质护眼模式，可以在任意通道任意画面任意软件所有显示内容下实现画面纹理的实时调整；支持纸质纹理：牛皮纸、素描纸、宣纸、水彩纸、水纹纸；支持透明度调节；支持色温调节；支持经典护眼模式，可通过前置面板物理功能按键一键启用经典护眼模式；（提供国家广播电视产品质量监督检验中心所出具的权威检测报告复印件并加盖厂家公章）；</w:t>
            </w:r>
            <w:r>
              <w:rPr>
                <w:rStyle w:val="16"/>
                <w:b w:val="0"/>
                <w:bCs w:val="0"/>
                <w:sz w:val="21"/>
                <w:szCs w:val="21"/>
                <w:lang w:val="en-US" w:eastAsia="zh-CN" w:bidi="ar"/>
              </w:rPr>
              <w:br w:type="textWrapping"/>
            </w:r>
            <w:r>
              <w:rPr>
                <w:rStyle w:val="16"/>
                <w:b w:val="0"/>
                <w:bCs w:val="0"/>
                <w:sz w:val="21"/>
                <w:szCs w:val="21"/>
                <w:lang w:val="en-US" w:eastAsia="zh-CN" w:bidi="ar"/>
              </w:rPr>
              <w:t>14、三合一电源按键，同一电源物理按键完成Android系统和Windows系统的开机、节能熄屏、关机操作；关机状态下按按键开机；开机状态下按按键实现节能熄屏/唤醒，长按按键实现关机；</w:t>
            </w:r>
            <w:r>
              <w:rPr>
                <w:rStyle w:val="16"/>
                <w:b w:val="0"/>
                <w:bCs w:val="0"/>
                <w:sz w:val="21"/>
                <w:szCs w:val="21"/>
                <w:lang w:val="en-US" w:eastAsia="zh-CN" w:bidi="ar"/>
              </w:rPr>
              <w:br w:type="textWrapping"/>
            </w:r>
            <w:r>
              <w:rPr>
                <w:rStyle w:val="16"/>
                <w:b w:val="0"/>
                <w:bCs w:val="0"/>
                <w:sz w:val="21"/>
                <w:szCs w:val="21"/>
                <w:lang w:val="en-US" w:eastAsia="zh-CN" w:bidi="ar"/>
              </w:rPr>
              <w:t>15、★设备支持通过前置面板物理按键一键启动录屏功能，可将屏幕中显示的课件、音频内容与老师人声同时录制（提供国家广播电视产品质量监督检验中心所出具的权威检测报告复印件并加盖厂家公章）；</w:t>
            </w:r>
            <w:r>
              <w:rPr>
                <w:rStyle w:val="16"/>
                <w:b w:val="0"/>
                <w:bCs w:val="0"/>
                <w:sz w:val="21"/>
                <w:szCs w:val="21"/>
                <w:lang w:val="en-US" w:eastAsia="zh-CN" w:bidi="ar"/>
              </w:rPr>
              <w:br w:type="textWrapping"/>
            </w:r>
            <w:r>
              <w:rPr>
                <w:rStyle w:val="16"/>
                <w:b w:val="0"/>
                <w:bCs w:val="0"/>
                <w:sz w:val="21"/>
                <w:szCs w:val="21"/>
                <w:lang w:val="en-US" w:eastAsia="zh-CN" w:bidi="ar"/>
              </w:rPr>
              <w:t>16、前置 USB 接口具备防撞挡板设计，防撞挡板采用转轴式翻转。</w:t>
            </w:r>
            <w:r>
              <w:rPr>
                <w:rStyle w:val="16"/>
                <w:b w:val="0"/>
                <w:bCs w:val="0"/>
                <w:sz w:val="21"/>
                <w:szCs w:val="21"/>
                <w:lang w:val="en-US" w:eastAsia="zh-CN" w:bidi="ar"/>
              </w:rPr>
              <w:br w:type="textWrapping"/>
            </w:r>
            <w:r>
              <w:rPr>
                <w:rStyle w:val="16"/>
                <w:b w:val="0"/>
                <w:bCs w:val="0"/>
                <w:sz w:val="21"/>
                <w:szCs w:val="21"/>
                <w:lang w:val="en-US" w:eastAsia="zh-CN" w:bidi="ar"/>
              </w:rPr>
              <w:t>17、★设备支持自定义前置“设置"按键，可通过自定义设置实现前置面板功能按键一键启用任一全局小工具（批注、截屏、计时、降半屏、放大镜、倒数日、日历）、快捷开关（节能模式、纸质护眼模式、经典护眼模式、自动亮度模式）（提供国家广播电视产品质量监督检验中心所出具的权威检测报告复印件并加盖厂家公章）；</w:t>
            </w:r>
            <w:r>
              <w:rPr>
                <w:rStyle w:val="16"/>
                <w:b w:val="0"/>
                <w:bCs w:val="0"/>
                <w:sz w:val="21"/>
                <w:szCs w:val="21"/>
                <w:lang w:val="en-US" w:eastAsia="zh-CN" w:bidi="ar"/>
              </w:rPr>
              <w:br w:type="textWrapping"/>
            </w:r>
            <w:r>
              <w:rPr>
                <w:rStyle w:val="16"/>
                <w:b w:val="0"/>
                <w:bCs w:val="0"/>
                <w:sz w:val="21"/>
                <w:szCs w:val="21"/>
                <w:lang w:val="en-US" w:eastAsia="zh-CN" w:bidi="ar"/>
              </w:rPr>
              <w:t>18、内置无线传屏接收端，无需外接接收部件，无线传屏发射器与整机匹配后即可实现传屏功能，将外部电脑的屏幕画面通过无线方式传输到整机上显示。</w:t>
            </w:r>
            <w:r>
              <w:rPr>
                <w:rStyle w:val="16"/>
                <w:b w:val="0"/>
                <w:bCs w:val="0"/>
                <w:sz w:val="21"/>
                <w:szCs w:val="21"/>
                <w:lang w:val="en-US" w:eastAsia="zh-CN" w:bidi="ar"/>
              </w:rPr>
              <w:br w:type="textWrapping"/>
            </w:r>
            <w:r>
              <w:rPr>
                <w:rStyle w:val="16"/>
                <w:b w:val="0"/>
                <w:bCs w:val="0"/>
                <w:sz w:val="21"/>
                <w:szCs w:val="21"/>
                <w:lang w:val="en-US" w:eastAsia="zh-CN" w:bidi="ar"/>
              </w:rPr>
              <w:t>19、★整机支持搭配具有NFC功能的手机、平板，通过接触整机设备上的NFC标签，即可实现手机、平板与大屏的连接并同步手机、平板的画面到设备上，无需其它操作设置，支持不少于4台手机、平板同时连接并显示（提供国家级检测机构所出具的权威检测报告复印件并加盖厂家公章）；</w:t>
            </w:r>
            <w:r>
              <w:rPr>
                <w:rStyle w:val="16"/>
                <w:b w:val="0"/>
                <w:bCs w:val="0"/>
                <w:sz w:val="21"/>
                <w:szCs w:val="21"/>
                <w:lang w:val="en-US" w:eastAsia="zh-CN" w:bidi="ar"/>
              </w:rPr>
              <w:br w:type="textWrapping"/>
            </w:r>
            <w:r>
              <w:rPr>
                <w:rStyle w:val="16"/>
                <w:b w:val="0"/>
                <w:bCs w:val="0"/>
                <w:sz w:val="21"/>
                <w:szCs w:val="21"/>
                <w:lang w:val="en-US" w:eastAsia="zh-CN" w:bidi="ar"/>
              </w:rPr>
              <w:t>20、★整机支持蓝牙Bluetooth 5.2标准，固件版本号HCI11.2/LMP11.2（提供国家级检测机构所出具的权威检测报告复印件并加盖厂家公章）</w:t>
            </w:r>
            <w:r>
              <w:rPr>
                <w:rStyle w:val="16"/>
                <w:b w:val="0"/>
                <w:bCs w:val="0"/>
                <w:sz w:val="21"/>
                <w:szCs w:val="21"/>
                <w:lang w:val="en-US" w:eastAsia="zh-CN" w:bidi="ar"/>
              </w:rPr>
              <w:br w:type="textWrapping"/>
            </w:r>
            <w:r>
              <w:rPr>
                <w:rStyle w:val="16"/>
                <w:b w:val="0"/>
                <w:bCs w:val="0"/>
                <w:sz w:val="21"/>
                <w:szCs w:val="21"/>
                <w:lang w:val="en-US" w:eastAsia="zh-CN" w:bidi="ar"/>
              </w:rPr>
              <w:t>21、★Wi-Fi及AP热点支持频段2.4GHz/5GHz；Wi-Fi制式支持802.11 a/b/g/n/ac/ax；支持版本Wi-Fi6（提供国家级检测机构所出具的权威检测报告复印件并加盖厂家公章）；</w:t>
            </w:r>
            <w:r>
              <w:rPr>
                <w:rStyle w:val="16"/>
                <w:b w:val="0"/>
                <w:bCs w:val="0"/>
                <w:sz w:val="21"/>
                <w:szCs w:val="21"/>
                <w:lang w:val="en-US" w:eastAsia="zh-CN" w:bidi="ar"/>
              </w:rPr>
              <w:br w:type="textWrapping"/>
            </w:r>
            <w:r>
              <w:rPr>
                <w:rStyle w:val="16"/>
                <w:b w:val="0"/>
                <w:bCs w:val="0"/>
                <w:sz w:val="21"/>
                <w:szCs w:val="21"/>
                <w:lang w:val="en-US" w:eastAsia="zh-CN" w:bidi="ar"/>
              </w:rPr>
              <w:t>22、★整机内置摄像头（非外扩），PC通道下支持通过视频展台软件调用摄像头进行二维码扫码识别；具备摄像头工作指示灯，摄像头运行时，有指示灯提示；整机内置非独立摄像头，拍摄像素数≥1300万；摄像头视场角≥135度（提供国家广播电视产品质量监督检验中心所出具的权威检测报告复印件并加盖厂家公章）；</w:t>
            </w:r>
            <w:r>
              <w:rPr>
                <w:rStyle w:val="16"/>
                <w:b w:val="0"/>
                <w:bCs w:val="0"/>
                <w:sz w:val="21"/>
                <w:szCs w:val="21"/>
                <w:lang w:val="en-US" w:eastAsia="zh-CN" w:bidi="ar"/>
              </w:rPr>
              <w:br w:type="textWrapping"/>
            </w:r>
            <w:r>
              <w:rPr>
                <w:rStyle w:val="16"/>
                <w:b w:val="0"/>
                <w:bCs w:val="0"/>
                <w:sz w:val="21"/>
                <w:szCs w:val="21"/>
                <w:lang w:val="en-US" w:eastAsia="zh-CN" w:bidi="ar"/>
              </w:rPr>
              <w:t>23、★整机内置非独立的高清摄像头，可用于远程巡课，拍摄范围可以涵盖整机距离摄像头垂直法线左右水平距离各大于等于4米，左右最边缘深度大于等于2.3米范围内，并且可以AI识别人像；（提供国家广播电视产品质量监督检验中心所出具的权威检测报告复印件并加盖厂家公章）</w:t>
            </w:r>
            <w:r>
              <w:rPr>
                <w:rStyle w:val="16"/>
                <w:b w:val="0"/>
                <w:bCs w:val="0"/>
                <w:sz w:val="21"/>
                <w:szCs w:val="21"/>
                <w:lang w:val="en-US" w:eastAsia="zh-CN" w:bidi="ar"/>
              </w:rPr>
              <w:br w:type="textWrapping"/>
            </w:r>
            <w:r>
              <w:rPr>
                <w:rStyle w:val="16"/>
                <w:b w:val="0"/>
                <w:bCs w:val="0"/>
                <w:sz w:val="21"/>
                <w:szCs w:val="21"/>
                <w:lang w:val="en-US" w:eastAsia="zh-CN" w:bidi="ar"/>
              </w:rPr>
              <w:t>24、★整机摄像头支持大于等于10米距离时实现AI识别人像；整机摄像头支持人脸识别、快速点人数、随机抽人；识别所有学生，显示标记，然后随机抽选，同时显示标记不少于60人；整机摄像头支持环境色温判断，根据环境调节合适的显示图像效果（提供国家广播电视产品质量监督检验中心所出具的权威检测报告复印件并加盖厂家公章）；</w:t>
            </w:r>
            <w:r>
              <w:rPr>
                <w:rStyle w:val="16"/>
                <w:b w:val="0"/>
                <w:bCs w:val="0"/>
                <w:sz w:val="21"/>
                <w:szCs w:val="21"/>
                <w:lang w:val="en-US" w:eastAsia="zh-CN" w:bidi="ar"/>
              </w:rPr>
              <w:br w:type="textWrapping"/>
            </w:r>
            <w:r>
              <w:rPr>
                <w:rStyle w:val="16"/>
                <w:b w:val="0"/>
                <w:bCs w:val="0"/>
                <w:sz w:val="21"/>
                <w:szCs w:val="21"/>
                <w:lang w:val="en-US" w:eastAsia="zh-CN" w:bidi="ar"/>
              </w:rPr>
              <w:t>25、触摸分辨率32768×32768；Windows 7、Windows 8、Windows 10、Linux、Mac Os系统外置电脑操作系统接入时，无需安装触摸驱动；整机屏幕触摸有效识别高度不超过3.5mm,，即触摸物体距离玻璃外表面高度不超过3.5mm时，触摸屏识别为点击操作；触摸屏具有防遮挡功能，触摸接收器在单点或多点遮挡后仍能正常书写；</w:t>
            </w:r>
            <w:r>
              <w:rPr>
                <w:rStyle w:val="16"/>
                <w:b w:val="0"/>
                <w:bCs w:val="0"/>
                <w:sz w:val="21"/>
                <w:szCs w:val="21"/>
                <w:lang w:val="en-US" w:eastAsia="zh-CN" w:bidi="ar"/>
              </w:rPr>
              <w:br w:type="textWrapping"/>
            </w:r>
            <w:r>
              <w:rPr>
                <w:rStyle w:val="16"/>
                <w:b w:val="0"/>
                <w:bCs w:val="0"/>
                <w:sz w:val="21"/>
                <w:szCs w:val="21"/>
                <w:lang w:val="en-US" w:eastAsia="zh-CN" w:bidi="ar"/>
              </w:rPr>
              <w:t>26、★整机具备前置Type-C接口，通过Type-C接口实现音视频输入，外接电脑设备经双头Type-C线连接至整机，即可把外接电脑设备画面投到整机上，同时在整机上操作画面，可实现触摸电脑的操作，无需再连接触控USB线。外接电脑设备经双头Type-C线连接至整机，可调用整机内置的摄像头、麦克风、扬声器，在外接电脑即可控制整机拍摄教室画面。前置Type-C接口，支持通过不带转换转置的外部线缆，实现外接电脑HDMI信号的接入显示。支持通过Type-C接口U盘进行文件传输，兼容Type-C接口手机充电。（提供国家广播电视产品质量监督检验中心所出具的权威检测报告复印件并加盖厂家公章）</w:t>
            </w:r>
            <w:r>
              <w:rPr>
                <w:rStyle w:val="16"/>
                <w:b w:val="0"/>
                <w:bCs w:val="0"/>
                <w:sz w:val="21"/>
                <w:szCs w:val="21"/>
                <w:lang w:val="en-US" w:eastAsia="zh-CN" w:bidi="ar"/>
              </w:rPr>
              <w:br w:type="textWrapping"/>
            </w:r>
            <w:r>
              <w:rPr>
                <w:rStyle w:val="16"/>
                <w:b w:val="0"/>
                <w:bCs w:val="0"/>
                <w:sz w:val="21"/>
                <w:szCs w:val="21"/>
                <w:lang w:val="en-US" w:eastAsia="zh-CN" w:bidi="ar"/>
              </w:rPr>
              <w:t>27、★整机关机状态下，通过长按电源键进入设置界面后，可点击屏幕选择恢复Android系统及Windows操作系统到出厂默认状态，无需额外工具辅助（提供国家广播电视产品质量监督检验中心所出具的权威检测报告复印件并加盖厂家公章）；</w:t>
            </w:r>
            <w:r>
              <w:rPr>
                <w:rStyle w:val="16"/>
                <w:b w:val="0"/>
                <w:bCs w:val="0"/>
                <w:sz w:val="21"/>
                <w:szCs w:val="21"/>
                <w:lang w:val="en-US" w:eastAsia="zh-CN" w:bidi="ar"/>
              </w:rPr>
              <w:br w:type="textWrapping"/>
            </w:r>
            <w:r>
              <w:rPr>
                <w:rStyle w:val="16"/>
                <w:b w:val="0"/>
                <w:bCs w:val="0"/>
                <w:sz w:val="21"/>
                <w:szCs w:val="21"/>
                <w:lang w:val="en-US" w:eastAsia="zh-CN" w:bidi="ar"/>
              </w:rPr>
              <w:t>28、支持通道自动跳转功能，如整机处于正常使用状态，HDMI信号接入时，能自动识别并切换到对应的HDMI信号源通道，且断开后能回到上一通道。支持通道记忆功能，开机默认回到最近一次关机时的显示通道。在HDMI、Android以及Windows信号源模式下，整机屏幕支持手势下移实现半屏显示，半屏显示时可通过点击上方屏幕返回全屏。支持外接信号输入时自动唤醒功能，整机处于关机通电状态，外接电脑显示信号通过HDMI传输线连接至整机时，整机可智能识别外接电脑设备信号输入并自动开机；</w:t>
            </w:r>
            <w:r>
              <w:rPr>
                <w:rStyle w:val="16"/>
                <w:b w:val="0"/>
                <w:bCs w:val="0"/>
                <w:sz w:val="21"/>
                <w:szCs w:val="21"/>
                <w:lang w:val="en-US" w:eastAsia="zh-CN" w:bidi="ar"/>
              </w:rPr>
              <w:br w:type="textWrapping"/>
            </w:r>
            <w:r>
              <w:rPr>
                <w:rStyle w:val="16"/>
                <w:b w:val="0"/>
                <w:bCs w:val="0"/>
                <w:sz w:val="21"/>
                <w:szCs w:val="21"/>
                <w:lang w:val="en-US" w:eastAsia="zh-CN" w:bidi="ar"/>
              </w:rPr>
              <w:t>29、整机内置专业硬件自检维护工具（非第三方工具），支持对触摸框和PC模块进行检测，并针对不同模块给出问题代码提示；（提供国家广播电视产品质量监督检验中心所出具的权威检测报告复印件并加盖厂家公章）；</w:t>
            </w:r>
            <w:r>
              <w:rPr>
                <w:rStyle w:val="16"/>
                <w:b w:val="0"/>
                <w:bCs w:val="0"/>
                <w:sz w:val="21"/>
                <w:szCs w:val="21"/>
                <w:lang w:val="en-US" w:eastAsia="zh-CN" w:bidi="ar"/>
              </w:rPr>
              <w:br w:type="textWrapping"/>
            </w:r>
            <w:r>
              <w:rPr>
                <w:rStyle w:val="16"/>
                <w:b w:val="0"/>
                <w:bCs w:val="0"/>
                <w:sz w:val="21"/>
                <w:szCs w:val="21"/>
                <w:lang w:val="en-US" w:eastAsia="zh-CN" w:bidi="ar"/>
              </w:rPr>
              <w:t>30、当整机处于黑暗环境中并无人操作，一分钟后整机将可以自动进入熄屏模式。支持将自定义图片设置为开机画面。</w:t>
            </w:r>
            <w:r>
              <w:rPr>
                <w:rStyle w:val="16"/>
                <w:b w:val="0"/>
                <w:bCs w:val="0"/>
                <w:sz w:val="21"/>
                <w:szCs w:val="21"/>
                <w:lang w:val="en-US" w:eastAsia="zh-CN" w:bidi="ar"/>
              </w:rPr>
              <w:br w:type="textWrapping"/>
            </w:r>
            <w:r>
              <w:rPr>
                <w:rStyle w:val="16"/>
                <w:b w:val="0"/>
                <w:bCs w:val="0"/>
                <w:sz w:val="21"/>
                <w:szCs w:val="21"/>
                <w:lang w:val="en-US" w:eastAsia="zh-CN" w:bidi="ar"/>
              </w:rPr>
              <w:t>31、采用全物理钢化玻璃，有效保护屏幕显示画面；整机采用防眩光玻璃，屏幕支持防眩光功能；整机书写面板采用防眩光全钢化防爆玻璃面板，面板的碎片状态、抗冲击性、霰弹袋冲击性能、耐热冲击性能均通过国家强制玻璃标准，表面应力≥100Mpa,适应学校复杂环境，保障教学安全。</w:t>
            </w:r>
            <w:r>
              <w:rPr>
                <w:rStyle w:val="16"/>
                <w:b w:val="0"/>
                <w:bCs w:val="0"/>
                <w:sz w:val="21"/>
                <w:szCs w:val="21"/>
                <w:lang w:val="en-US" w:eastAsia="zh-CN" w:bidi="ar"/>
              </w:rPr>
              <w:br w:type="textWrapping"/>
            </w:r>
            <w:r>
              <w:rPr>
                <w:rStyle w:val="15"/>
                <w:b w:val="0"/>
                <w:bCs w:val="0"/>
                <w:sz w:val="21"/>
                <w:szCs w:val="21"/>
                <w:lang w:val="en-US" w:eastAsia="zh-CN" w:bidi="ar"/>
              </w:rPr>
              <w:t>二、内嵌安卓系统</w:t>
            </w:r>
            <w:r>
              <w:rPr>
                <w:rStyle w:val="16"/>
                <w:b w:val="0"/>
                <w:bCs w:val="0"/>
                <w:sz w:val="21"/>
                <w:szCs w:val="21"/>
                <w:lang w:val="en-US" w:eastAsia="zh-CN" w:bidi="ar"/>
              </w:rPr>
              <w:br w:type="textWrapping"/>
            </w:r>
            <w:r>
              <w:rPr>
                <w:rStyle w:val="16"/>
                <w:b w:val="0"/>
                <w:bCs w:val="0"/>
                <w:sz w:val="21"/>
                <w:szCs w:val="21"/>
                <w:lang w:val="en-US" w:eastAsia="zh-CN" w:bidi="ar"/>
              </w:rPr>
              <w:t>32、嵌入式Android操作系统下，白板支持对已经书写的笔迹和形状的颜色进行更换；</w:t>
            </w:r>
            <w:r>
              <w:rPr>
                <w:rStyle w:val="16"/>
                <w:b w:val="0"/>
                <w:bCs w:val="0"/>
                <w:sz w:val="21"/>
                <w:szCs w:val="21"/>
                <w:lang w:val="en-US" w:eastAsia="zh-CN" w:bidi="ar"/>
              </w:rPr>
              <w:br w:type="textWrapping"/>
            </w:r>
            <w:r>
              <w:rPr>
                <w:rStyle w:val="16"/>
                <w:b w:val="0"/>
                <w:bCs w:val="0"/>
                <w:sz w:val="21"/>
                <w:szCs w:val="21"/>
                <w:lang w:val="en-US" w:eastAsia="zh-CN" w:bidi="ar"/>
              </w:rPr>
              <w:t>33、嵌入式Android操作系统下，互动白板支持不同背景颜色，同时提供学科背景，如：五线谱、信纸、田字格、英文格、篮球和足球场地平面图；</w:t>
            </w:r>
            <w:r>
              <w:rPr>
                <w:rStyle w:val="16"/>
                <w:b w:val="0"/>
                <w:bCs w:val="0"/>
                <w:sz w:val="21"/>
                <w:szCs w:val="21"/>
                <w:lang w:val="en-US" w:eastAsia="zh-CN" w:bidi="ar"/>
              </w:rPr>
              <w:br w:type="textWrapping"/>
            </w:r>
            <w:r>
              <w:rPr>
                <w:rStyle w:val="16"/>
                <w:b w:val="0"/>
                <w:bCs w:val="0"/>
                <w:sz w:val="21"/>
                <w:szCs w:val="21"/>
                <w:lang w:val="en-US" w:eastAsia="zh-CN" w:bidi="ar"/>
              </w:rPr>
              <w:t>34、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Style w:val="16"/>
                <w:b w:val="0"/>
                <w:bCs w:val="0"/>
                <w:sz w:val="21"/>
                <w:szCs w:val="21"/>
                <w:lang w:val="en-US" w:eastAsia="zh-CN" w:bidi="ar"/>
              </w:rPr>
              <w:br w:type="textWrapping"/>
            </w:r>
            <w:r>
              <w:rPr>
                <w:rStyle w:val="16"/>
                <w:b w:val="0"/>
                <w:bCs w:val="0"/>
                <w:sz w:val="21"/>
                <w:szCs w:val="21"/>
                <w:lang w:val="en-US" w:eastAsia="zh-CN" w:bidi="ar"/>
              </w:rPr>
              <w:t>35、无PC状态下，嵌入式系统内置互动白板支持全局漫游，并能在工具栏中对全局内容进行预览和移动。无PC状态下，嵌入式Android操作系统下可实现windows系统中常用的教学应用功能，如白板书写、WPS软件使用和网页浏览。</w:t>
            </w:r>
            <w:r>
              <w:rPr>
                <w:rStyle w:val="16"/>
                <w:b w:val="0"/>
                <w:bCs w:val="0"/>
                <w:sz w:val="21"/>
                <w:szCs w:val="21"/>
                <w:lang w:val="en-US" w:eastAsia="zh-CN" w:bidi="ar"/>
              </w:rPr>
              <w:br w:type="textWrapping"/>
            </w:r>
            <w:r>
              <w:rPr>
                <w:rStyle w:val="16"/>
                <w:b w:val="0"/>
                <w:bCs w:val="0"/>
                <w:sz w:val="21"/>
                <w:szCs w:val="21"/>
                <w:lang w:val="en-US" w:eastAsia="zh-CN" w:bidi="ar"/>
              </w:rPr>
              <w:t>36、在嵌入式Android操作系统下，能对TV多媒体USB所读取到的文件进行自动归类，可分类查找文档、板书、图片、音视频，检索后可直接在界面中打开。</w:t>
            </w:r>
            <w:r>
              <w:rPr>
                <w:rStyle w:val="16"/>
                <w:b w:val="0"/>
                <w:bCs w:val="0"/>
                <w:sz w:val="21"/>
                <w:szCs w:val="21"/>
                <w:lang w:val="en-US" w:eastAsia="zh-CN" w:bidi="ar"/>
              </w:rPr>
              <w:br w:type="textWrapping"/>
            </w:r>
            <w:r>
              <w:rPr>
                <w:rStyle w:val="15"/>
                <w:b w:val="0"/>
                <w:bCs w:val="0"/>
                <w:sz w:val="21"/>
                <w:szCs w:val="21"/>
                <w:lang w:val="en-US" w:eastAsia="zh-CN" w:bidi="ar"/>
              </w:rPr>
              <w:t>三、人机交互界面</w:t>
            </w:r>
            <w:r>
              <w:rPr>
                <w:rStyle w:val="16"/>
                <w:b w:val="0"/>
                <w:bCs w:val="0"/>
                <w:sz w:val="21"/>
                <w:szCs w:val="21"/>
                <w:lang w:val="en-US" w:eastAsia="zh-CN" w:bidi="ar"/>
              </w:rPr>
              <w:br w:type="textWrapping"/>
            </w:r>
            <w:r>
              <w:rPr>
                <w:rStyle w:val="16"/>
                <w:b w:val="0"/>
                <w:bCs w:val="0"/>
                <w:sz w:val="21"/>
                <w:szCs w:val="21"/>
                <w:lang w:val="en-US" w:eastAsia="zh-CN" w:bidi="ar"/>
              </w:rPr>
              <w:t>37、侧边栏交互界面；</w:t>
            </w:r>
            <w:r>
              <w:rPr>
                <w:rStyle w:val="16"/>
                <w:b w:val="0"/>
                <w:bCs w:val="0"/>
                <w:sz w:val="21"/>
                <w:szCs w:val="21"/>
                <w:lang w:val="en-US" w:eastAsia="zh-CN" w:bidi="ar"/>
              </w:rPr>
              <w:br w:type="textWrapping"/>
            </w:r>
            <w:r>
              <w:rPr>
                <w:rStyle w:val="16"/>
                <w:b w:val="0"/>
                <w:bCs w:val="0"/>
                <w:sz w:val="21"/>
                <w:szCs w:val="21"/>
                <w:lang w:val="en-US" w:eastAsia="zh-CN" w:bidi="ar"/>
              </w:rPr>
              <w:t>（1）、★整机内置全通道侧边栏快捷菜单，实时显示天气情况、日期、小工具、快捷设置、应用软件、亮度/音量调节、教室物联入口等，在任意显示通道下均可通过侧边栏一键进入该触摸菜单。（当配有PC模块时，还具有快捷应用入口的显示和快捷切换）（提供国家广播电视产品质量监督检验中心所出具的权威检测报告复印件并加盖厂家公章）；</w:t>
            </w:r>
            <w:r>
              <w:rPr>
                <w:rStyle w:val="16"/>
                <w:b w:val="0"/>
                <w:bCs w:val="0"/>
                <w:sz w:val="21"/>
                <w:szCs w:val="21"/>
                <w:lang w:val="en-US" w:eastAsia="zh-CN" w:bidi="ar"/>
              </w:rPr>
              <w:br w:type="textWrapping"/>
            </w:r>
            <w:r>
              <w:rPr>
                <w:rStyle w:val="16"/>
                <w:b w:val="0"/>
                <w:bCs w:val="0"/>
                <w:sz w:val="21"/>
                <w:szCs w:val="21"/>
                <w:lang w:val="en-US" w:eastAsia="zh-CN" w:bidi="ar"/>
              </w:rPr>
              <w:t>（2）、整机全通道侧边栏快捷菜单包含如下小工具：批注、截屏、计时、降半屏、放大镜、日历（在Android及其他非PC通道时，还具备答题、倒数日、节拍器小工具）；</w:t>
            </w:r>
            <w:r>
              <w:rPr>
                <w:rStyle w:val="16"/>
                <w:b w:val="0"/>
                <w:bCs w:val="0"/>
                <w:sz w:val="21"/>
                <w:szCs w:val="21"/>
                <w:lang w:val="en-US" w:eastAsia="zh-CN" w:bidi="ar"/>
              </w:rPr>
              <w:br w:type="textWrapping"/>
            </w:r>
            <w:r>
              <w:rPr>
                <w:rStyle w:val="16"/>
                <w:b w:val="0"/>
                <w:bCs w:val="0"/>
                <w:sz w:val="21"/>
                <w:szCs w:val="21"/>
                <w:lang w:val="en-US" w:eastAsia="zh-CN" w:bidi="ar"/>
              </w:rPr>
              <w:t>（3）、整机全通道侧边栏快捷菜单中可以随时调起切换智能息屏、纸质护眼模式、经典护眼模式、自动亮度模式，并可支持快捷调节音量、亮度；</w:t>
            </w:r>
            <w:r>
              <w:rPr>
                <w:rStyle w:val="16"/>
                <w:b w:val="0"/>
                <w:bCs w:val="0"/>
                <w:sz w:val="21"/>
                <w:szCs w:val="21"/>
                <w:lang w:val="en-US" w:eastAsia="zh-CN" w:bidi="ar"/>
              </w:rPr>
              <w:br w:type="textWrapping"/>
            </w:r>
            <w:r>
              <w:rPr>
                <w:rStyle w:val="16"/>
                <w:b w:val="0"/>
                <w:bCs w:val="0"/>
                <w:sz w:val="21"/>
                <w:szCs w:val="21"/>
                <w:lang w:val="en-US" w:eastAsia="zh-CN" w:bidi="ar"/>
              </w:rPr>
              <w:t>（4）、整机全通道侧边栏快捷菜单中可以实时查看物联设备的连接情况，点击任意一台设备图标即可调出中控菜单进行管控；（提供国家广播电视产品质量监督检验中心所出具的权威检测报告复印件并加盖厂家公章）</w:t>
            </w:r>
            <w:r>
              <w:rPr>
                <w:rStyle w:val="16"/>
                <w:b w:val="0"/>
                <w:bCs w:val="0"/>
                <w:sz w:val="21"/>
                <w:szCs w:val="21"/>
                <w:lang w:val="en-US" w:eastAsia="zh-CN" w:bidi="ar"/>
              </w:rPr>
              <w:br w:type="textWrapping"/>
            </w:r>
            <w:r>
              <w:rPr>
                <w:rStyle w:val="16"/>
                <w:b w:val="0"/>
                <w:bCs w:val="0"/>
                <w:sz w:val="21"/>
                <w:szCs w:val="21"/>
                <w:lang w:val="en-US" w:eastAsia="zh-CN" w:bidi="ar"/>
              </w:rPr>
              <w:t>（5）、整机全通道侧边栏支持在任意通道、页面使用批注小工具进行批注讲解，可切换书写笔颜色、截屏保存批注内容、快速清屏，可根据手与屏幕的接触面积自动调整板擦工具的大小。</w:t>
            </w:r>
            <w:r>
              <w:rPr>
                <w:rStyle w:val="16"/>
                <w:b w:val="0"/>
                <w:bCs w:val="0"/>
                <w:sz w:val="21"/>
                <w:szCs w:val="21"/>
                <w:lang w:val="en-US" w:eastAsia="zh-CN" w:bidi="ar"/>
              </w:rPr>
              <w:br w:type="textWrapping"/>
            </w:r>
            <w:r>
              <w:rPr>
                <w:rStyle w:val="16"/>
                <w:b w:val="0"/>
                <w:bCs w:val="0"/>
                <w:sz w:val="21"/>
                <w:szCs w:val="21"/>
                <w:lang w:val="en-US" w:eastAsia="zh-CN" w:bidi="ar"/>
              </w:rPr>
              <w:t>（6）、整机全通道侧边栏支持自行选择所需截取屏幕范围，点击截屏即可成功截取屏幕，并自动保存。整机全通道侧边栏提供秒表正计时，点击开始计时便自动开始，并实时显示时间；支持倒计时，输入某特定时间值，可精确到秒，点击开始即进入倒计时。整机全通道侧边栏支持快速将设备屏幕降低为半屏幕状态，点击上半屏幕可以快速返回全屏状态。整机全通道侧边栏支持放大任意区域内容；并可支持对未选中区域关灯处理，实现聚光灯效果。整机安卓和全部外接通道（HDMI、type-c）下侧边栏支持设置任意倒数日。整机全通道侧边栏支持打开日历，快速查看日期。</w:t>
            </w:r>
            <w:r>
              <w:rPr>
                <w:rStyle w:val="16"/>
                <w:b w:val="0"/>
                <w:bCs w:val="0"/>
                <w:sz w:val="21"/>
                <w:szCs w:val="21"/>
                <w:lang w:val="en-US" w:eastAsia="zh-CN" w:bidi="ar"/>
              </w:rPr>
              <w:br w:type="textWrapping"/>
            </w:r>
            <w:r>
              <w:rPr>
                <w:rStyle w:val="16"/>
                <w:b w:val="0"/>
                <w:bCs w:val="0"/>
                <w:sz w:val="21"/>
                <w:szCs w:val="21"/>
                <w:lang w:val="en-US" w:eastAsia="zh-CN" w:bidi="ar"/>
              </w:rPr>
              <w:t>（7）、★整机安卓和全部外接通道（HDMI、type-c）下侧边栏支持通过扫描二维码加入班级，老师设置题型，学生回答后提交，教师查看正确率比例及详细讲解；支持随机抽选、实时弹幕；支持管理当前班级成员；支持导出学生报告；整机全通道侧边栏支持在音乐课，学生跟随节拍器打节奏；支持设置节拍、轻重、节拍播放速度。（提供国家广播电视产品质量监督检验中心所出具的权威检测报告复印件并加盖厂家公章）</w:t>
            </w:r>
            <w:r>
              <w:rPr>
                <w:rStyle w:val="16"/>
                <w:b w:val="0"/>
                <w:bCs w:val="0"/>
                <w:sz w:val="21"/>
                <w:szCs w:val="21"/>
                <w:lang w:val="en-US" w:eastAsia="zh-CN" w:bidi="ar"/>
              </w:rPr>
              <w:br w:type="textWrapping"/>
            </w:r>
            <w:r>
              <w:rPr>
                <w:rStyle w:val="16"/>
                <w:b w:val="0"/>
                <w:bCs w:val="0"/>
                <w:sz w:val="21"/>
                <w:szCs w:val="21"/>
                <w:lang w:val="en-US" w:eastAsia="zh-CN" w:bidi="ar"/>
              </w:rPr>
              <w:t>38、教学桌面交互界面；</w:t>
            </w:r>
            <w:r>
              <w:rPr>
                <w:rStyle w:val="16"/>
                <w:b w:val="0"/>
                <w:bCs w:val="0"/>
                <w:sz w:val="21"/>
                <w:szCs w:val="21"/>
                <w:lang w:val="en-US" w:eastAsia="zh-CN" w:bidi="ar"/>
              </w:rPr>
              <w:br w:type="textWrapping"/>
            </w:r>
            <w:r>
              <w:rPr>
                <w:rStyle w:val="16"/>
                <w:b w:val="0"/>
                <w:bCs w:val="0"/>
                <w:sz w:val="21"/>
                <w:szCs w:val="21"/>
                <w:lang w:val="en-US" w:eastAsia="zh-CN" w:bidi="ar"/>
              </w:rPr>
              <w:t>（1）★整机设备开机启动后，自动进入教学桌面，支持账号登录、退出，自动获取个人云端教学课件列表、并可进入校本资源库。（提供国家广播电视产品质量监督检验中心所出具的权威检测报告复印件并加盖厂家公章）</w:t>
            </w:r>
            <w:r>
              <w:rPr>
                <w:rStyle w:val="16"/>
                <w:b w:val="0"/>
                <w:bCs w:val="0"/>
                <w:sz w:val="21"/>
                <w:szCs w:val="21"/>
                <w:lang w:val="en-US" w:eastAsia="zh-CN" w:bidi="ar"/>
              </w:rPr>
              <w:br w:type="textWrapping"/>
            </w:r>
            <w:r>
              <w:rPr>
                <w:rStyle w:val="16"/>
                <w:b w:val="0"/>
                <w:bCs w:val="0"/>
                <w:sz w:val="21"/>
                <w:szCs w:val="21"/>
                <w:lang w:val="en-US" w:eastAsia="zh-CN" w:bidi="ar"/>
              </w:rPr>
              <w:t>（2）整机设备支持多种身份识别方式，支持通过账号登录、手机扫码登录，并支持账号安全登录检测；</w:t>
            </w:r>
            <w:r>
              <w:rPr>
                <w:rStyle w:val="16"/>
                <w:b w:val="0"/>
                <w:bCs w:val="0"/>
                <w:sz w:val="21"/>
                <w:szCs w:val="21"/>
                <w:lang w:val="en-US" w:eastAsia="zh-CN" w:bidi="ar"/>
              </w:rPr>
              <w:br w:type="textWrapping"/>
            </w:r>
            <w:r>
              <w:rPr>
                <w:rStyle w:val="16"/>
                <w:b w:val="0"/>
                <w:bCs w:val="0"/>
                <w:sz w:val="21"/>
                <w:szCs w:val="21"/>
                <w:lang w:val="en-US" w:eastAsia="zh-CN" w:bidi="ar"/>
              </w:rPr>
              <w:t>（3）整机设备支持统一互通的用户身份认证服务，账号登录后，打开教学白板软件、学生行为评价软件的教学应用工具时无需再次输入账号密码重复登录。</w:t>
            </w:r>
            <w:r>
              <w:rPr>
                <w:rStyle w:val="16"/>
                <w:b w:val="0"/>
                <w:bCs w:val="0"/>
                <w:sz w:val="21"/>
                <w:szCs w:val="21"/>
                <w:lang w:val="en-US" w:eastAsia="zh-CN" w:bidi="ar"/>
              </w:rPr>
              <w:br w:type="textWrapping"/>
            </w:r>
            <w:r>
              <w:rPr>
                <w:rStyle w:val="16"/>
                <w:b w:val="0"/>
                <w:bCs w:val="0"/>
                <w:sz w:val="21"/>
                <w:szCs w:val="21"/>
                <w:lang w:val="en-US" w:eastAsia="zh-CN" w:bidi="ar"/>
              </w:rPr>
              <w:t>（4）教学桌面支持教学常用的教学白板软件、文件管理软件、学生行为评价软件、随机抽选软件，以便于快速开启授课；并提供快速进入本机所有应用的入口，满足不同教师授课需要。</w:t>
            </w:r>
            <w:r>
              <w:rPr>
                <w:rStyle w:val="16"/>
                <w:b w:val="0"/>
                <w:bCs w:val="0"/>
                <w:sz w:val="21"/>
                <w:szCs w:val="21"/>
                <w:lang w:val="en-US" w:eastAsia="zh-CN" w:bidi="ar"/>
              </w:rPr>
              <w:br w:type="textWrapping"/>
            </w:r>
            <w:r>
              <w:rPr>
                <w:rStyle w:val="16"/>
                <w:b w:val="0"/>
                <w:bCs w:val="0"/>
                <w:sz w:val="21"/>
                <w:szCs w:val="21"/>
                <w:lang w:val="en-US" w:eastAsia="zh-CN" w:bidi="ar"/>
              </w:rPr>
              <w:t>（5）整机设备教学桌面的教师登录账号后，可自动获取并在桌面显示最近使用的教学课件，点击任意课件可直接进入授课模式；并支持查看所有个人教学课件资源。</w:t>
            </w:r>
            <w:r>
              <w:rPr>
                <w:rStyle w:val="16"/>
                <w:b w:val="0"/>
                <w:bCs w:val="0"/>
                <w:sz w:val="21"/>
                <w:szCs w:val="21"/>
                <w:lang w:val="en-US" w:eastAsia="zh-CN" w:bidi="ar"/>
              </w:rPr>
              <w:br w:type="textWrapping"/>
            </w:r>
            <w:r>
              <w:rPr>
                <w:rStyle w:val="16"/>
                <w:b w:val="0"/>
                <w:bCs w:val="0"/>
                <w:sz w:val="21"/>
                <w:szCs w:val="21"/>
                <w:lang w:val="en-US" w:eastAsia="zh-CN" w:bidi="ar"/>
              </w:rPr>
              <w:t>（6）整机设备教学桌面中的文件管理，支持同时显示本地磁盘、移动类存储设备、学校资源库、教师个人云空间的文件资源。</w:t>
            </w:r>
            <w:r>
              <w:rPr>
                <w:rStyle w:val="16"/>
                <w:b w:val="0"/>
                <w:bCs w:val="0"/>
                <w:sz w:val="21"/>
                <w:szCs w:val="21"/>
                <w:lang w:val="en-US" w:eastAsia="zh-CN" w:bidi="ar"/>
              </w:rPr>
              <w:br w:type="textWrapping"/>
            </w:r>
            <w:r>
              <w:rPr>
                <w:rStyle w:val="16"/>
                <w:b w:val="0"/>
                <w:bCs w:val="0"/>
                <w:sz w:val="21"/>
                <w:szCs w:val="21"/>
                <w:lang w:val="en-US" w:eastAsia="zh-CN" w:bidi="ar"/>
              </w:rPr>
              <w:t>（7）整机支持在设备上获取并自动识别教室内所有人员，通过随机算法抽选1人。</w:t>
            </w:r>
            <w:r>
              <w:rPr>
                <w:rStyle w:val="16"/>
                <w:b w:val="0"/>
                <w:bCs w:val="0"/>
                <w:sz w:val="21"/>
                <w:szCs w:val="21"/>
                <w:lang w:val="en-US" w:eastAsia="zh-CN" w:bidi="ar"/>
              </w:rPr>
              <w:br w:type="textWrapping"/>
            </w:r>
            <w:r>
              <w:rPr>
                <w:rStyle w:val="16"/>
                <w:b w:val="0"/>
                <w:bCs w:val="0"/>
                <w:sz w:val="21"/>
                <w:szCs w:val="21"/>
                <w:lang w:val="en-US" w:eastAsia="zh-CN" w:bidi="ar"/>
              </w:rPr>
              <w:t>39、设备中控交互界面；</w:t>
            </w:r>
            <w:r>
              <w:rPr>
                <w:rStyle w:val="16"/>
                <w:b w:val="0"/>
                <w:bCs w:val="0"/>
                <w:sz w:val="21"/>
                <w:szCs w:val="21"/>
                <w:lang w:val="en-US" w:eastAsia="zh-CN" w:bidi="ar"/>
              </w:rPr>
              <w:br w:type="textWrapping"/>
            </w:r>
            <w:r>
              <w:rPr>
                <w:rStyle w:val="16"/>
                <w:b w:val="0"/>
                <w:bCs w:val="0"/>
                <w:sz w:val="21"/>
                <w:szCs w:val="21"/>
                <w:lang w:val="en-US" w:eastAsia="zh-CN" w:bidi="ar"/>
              </w:rPr>
              <w:t>（1）★整机内置触摸中控菜单，支持信号源通道切换、护眼、声音调节等功能，在任意显示通道下均可通过手势在屏幕上调取该触摸菜单。整机具备智能手势识别功能，在任意信号源通道下均可识别五指上、下、左、右方向手势，五指画O、画~、左右晃动、缩/放方向手势滑动并调用相应功能。支持将各手势滑动方向自定义设置为无操作、熄屏、批注、桌面、半屏模式。（提供国家广播电视产品质量监督检验中心所出具的权威检测报告复印件并加盖厂家公章）</w:t>
            </w:r>
            <w:r>
              <w:rPr>
                <w:rStyle w:val="16"/>
                <w:b w:val="0"/>
                <w:bCs w:val="0"/>
                <w:sz w:val="21"/>
                <w:szCs w:val="21"/>
                <w:lang w:val="en-US" w:eastAsia="zh-CN" w:bidi="ar"/>
              </w:rPr>
              <w:br w:type="textWrapping"/>
            </w:r>
            <w:r>
              <w:rPr>
                <w:rStyle w:val="16"/>
                <w:b w:val="0"/>
                <w:bCs w:val="0"/>
                <w:sz w:val="21"/>
                <w:szCs w:val="21"/>
                <w:lang w:val="en-US" w:eastAsia="zh-CN" w:bidi="ar"/>
              </w:rPr>
              <w:t>（2）整机支持同一品牌的视频展台通过WiFi、USB等方式连接，支持一键打开/关闭讲台软件；在任意通道下均可实时查看视频展台连接状态，当设备连接/断开连接时，提供实时反馈提示；同时支持读取视频展台设备型号，对应显示设备实物图片。</w:t>
            </w:r>
            <w:r>
              <w:rPr>
                <w:rStyle w:val="16"/>
                <w:b w:val="0"/>
                <w:bCs w:val="0"/>
                <w:sz w:val="21"/>
                <w:szCs w:val="21"/>
                <w:lang w:val="en-US" w:eastAsia="zh-CN" w:bidi="ar"/>
              </w:rPr>
              <w:br w:type="textWrapping"/>
            </w:r>
            <w:r>
              <w:rPr>
                <w:rStyle w:val="16"/>
                <w:b w:val="0"/>
                <w:bCs w:val="0"/>
                <w:sz w:val="21"/>
                <w:szCs w:val="21"/>
                <w:lang w:val="en-US" w:eastAsia="zh-CN" w:bidi="ar"/>
              </w:rPr>
              <w:t>（3）整机支持同一品牌通过BT、红外等方式连接音箱、麦克风，支持实时显示/控制音箱音量、麦克风音量；在任意通道下均可实时查看音箱、麦克风连接状态，当设备连接/断开连接时，提供实时反馈提示，并在反馈提示中显示麦克风实时电量；支持读取音箱/麦克风型号，对应显示设备实物图片。支持同一品牌音箱音量的智能调节，当麦克风接入时，自动调整合适的音箱音量且带有麦克风电量智能提醒，当麦克风电量过低时，提供低电量反馈提示，支持麦克风自动判断同一房间内的整机和音箱，自动匹配连接。</w:t>
            </w:r>
            <w:r>
              <w:rPr>
                <w:rStyle w:val="16"/>
                <w:b w:val="0"/>
                <w:bCs w:val="0"/>
                <w:sz w:val="21"/>
                <w:szCs w:val="21"/>
                <w:lang w:val="en-US" w:eastAsia="zh-CN" w:bidi="ar"/>
              </w:rPr>
              <w:br w:type="textWrapping"/>
            </w:r>
            <w:r>
              <w:rPr>
                <w:rStyle w:val="16"/>
                <w:b w:val="0"/>
                <w:bCs w:val="0"/>
                <w:sz w:val="21"/>
                <w:szCs w:val="21"/>
                <w:lang w:val="en-US" w:eastAsia="zh-CN" w:bidi="ar"/>
              </w:rPr>
              <w:t>（4）整机支持同一品牌智能笔，通过 BLE(蓝牙 低能耗技术)、USB Dongle(通用串口总线 接收器)等方式连接，当整机和智能笔均支持BLE功能时，支持指定区域内智能笔自动 发现、自动连接，并支持读取智能笔型号， 对应显示设备实物图片。</w:t>
            </w:r>
            <w:r>
              <w:rPr>
                <w:rStyle w:val="16"/>
                <w:b w:val="0"/>
                <w:bCs w:val="0"/>
                <w:sz w:val="21"/>
                <w:szCs w:val="21"/>
                <w:lang w:val="en-US" w:eastAsia="zh-CN" w:bidi="ar"/>
              </w:rPr>
              <w:br w:type="textWrapping"/>
            </w:r>
            <w:r>
              <w:rPr>
                <w:rStyle w:val="16"/>
                <w:b w:val="0"/>
                <w:bCs w:val="0"/>
                <w:sz w:val="21"/>
                <w:szCs w:val="21"/>
                <w:lang w:val="en-US" w:eastAsia="zh-CN" w:bidi="ar"/>
              </w:rPr>
              <w:t>（5）整机支持同一品牌传屏器，通过 BLE(蓝牙 低能耗技术)、Type-C、USB 等方式连接，当整机和传屏器均支持BLE功能时，在指定区域内传屏器可自动发现、自动连接。</w:t>
            </w:r>
            <w:r>
              <w:rPr>
                <w:rStyle w:val="16"/>
                <w:b w:val="0"/>
                <w:bCs w:val="0"/>
                <w:sz w:val="21"/>
                <w:szCs w:val="21"/>
                <w:lang w:val="en-US" w:eastAsia="zh-CN" w:bidi="ar"/>
              </w:rPr>
              <w:br w:type="textWrapping"/>
            </w:r>
            <w:r>
              <w:rPr>
                <w:rStyle w:val="16"/>
                <w:b w:val="0"/>
                <w:bCs w:val="0"/>
                <w:sz w:val="21"/>
                <w:szCs w:val="21"/>
                <w:lang w:val="en-US" w:eastAsia="zh-CN" w:bidi="ar"/>
              </w:rPr>
              <w:t>四</w:t>
            </w:r>
            <w:r>
              <w:rPr>
                <w:rStyle w:val="15"/>
                <w:b w:val="0"/>
                <w:bCs w:val="0"/>
                <w:sz w:val="21"/>
                <w:szCs w:val="21"/>
                <w:lang w:val="en-US" w:eastAsia="zh-CN" w:bidi="ar"/>
              </w:rPr>
              <w:t>、电脑模块OPS</w:t>
            </w:r>
            <w:r>
              <w:rPr>
                <w:rStyle w:val="15"/>
                <w:b w:val="0"/>
                <w:bCs w:val="0"/>
                <w:sz w:val="21"/>
                <w:szCs w:val="21"/>
                <w:lang w:val="en-US" w:eastAsia="zh-CN" w:bidi="ar"/>
              </w:rPr>
              <w:br w:type="textWrapping"/>
            </w:r>
            <w:r>
              <w:rPr>
                <w:rStyle w:val="16"/>
                <w:b w:val="0"/>
                <w:bCs w:val="0"/>
                <w:sz w:val="21"/>
                <w:szCs w:val="21"/>
                <w:lang w:val="en-US" w:eastAsia="zh-CN" w:bidi="ar"/>
              </w:rPr>
              <w:t>40、★主板南桥采用H310芯片组，搭载Intel酷睿系列 i</w:t>
            </w:r>
            <w:r>
              <w:rPr>
                <w:rStyle w:val="16"/>
                <w:rFonts w:hint="eastAsia"/>
                <w:b w:val="0"/>
                <w:bCs w:val="0"/>
                <w:sz w:val="21"/>
                <w:szCs w:val="21"/>
                <w:lang w:val="en-US" w:eastAsia="zh-CN" w:bidi="ar"/>
              </w:rPr>
              <w:t xml:space="preserve">7 </w:t>
            </w:r>
            <w:r>
              <w:rPr>
                <w:rStyle w:val="16"/>
                <w:b w:val="0"/>
                <w:bCs w:val="0"/>
                <w:sz w:val="21"/>
                <w:szCs w:val="21"/>
                <w:lang w:val="en-US" w:eastAsia="zh-CN" w:bidi="ar"/>
              </w:rPr>
              <w:t>CPU 第</w:t>
            </w:r>
            <w:r>
              <w:rPr>
                <w:rStyle w:val="16"/>
                <w:rFonts w:hint="eastAsia"/>
                <w:b w:val="0"/>
                <w:bCs w:val="0"/>
                <w:sz w:val="21"/>
                <w:szCs w:val="21"/>
                <w:lang w:val="en-US" w:eastAsia="zh-CN" w:bidi="ar"/>
              </w:rPr>
              <w:t>13</w:t>
            </w:r>
            <w:r>
              <w:rPr>
                <w:rStyle w:val="16"/>
                <w:b w:val="0"/>
                <w:bCs w:val="0"/>
                <w:sz w:val="21"/>
                <w:szCs w:val="21"/>
                <w:lang w:val="en-US" w:eastAsia="zh-CN" w:bidi="ar"/>
              </w:rPr>
              <w:t>代及以上；内存：</w:t>
            </w:r>
            <w:r>
              <w:rPr>
                <w:rStyle w:val="16"/>
                <w:rFonts w:hint="eastAsia"/>
                <w:b w:val="0"/>
                <w:bCs w:val="0"/>
                <w:sz w:val="21"/>
                <w:szCs w:val="21"/>
                <w:lang w:val="en-US" w:eastAsia="zh-CN" w:bidi="ar"/>
              </w:rPr>
              <w:t>16</w:t>
            </w:r>
            <w:r>
              <w:rPr>
                <w:rStyle w:val="16"/>
                <w:b w:val="0"/>
                <w:bCs w:val="0"/>
                <w:sz w:val="21"/>
                <w:szCs w:val="21"/>
                <w:lang w:val="en-US" w:eastAsia="zh-CN" w:bidi="ar"/>
              </w:rPr>
              <w:t>GB DDR4笔记本内存或以上配置；硬盘：</w:t>
            </w:r>
            <w:r>
              <w:rPr>
                <w:rStyle w:val="16"/>
                <w:rFonts w:hint="eastAsia"/>
                <w:b w:val="0"/>
                <w:bCs w:val="0"/>
                <w:sz w:val="21"/>
                <w:szCs w:val="21"/>
                <w:lang w:val="en-US" w:eastAsia="zh-CN" w:bidi="ar"/>
              </w:rPr>
              <w:t>512</w:t>
            </w:r>
            <w:r>
              <w:rPr>
                <w:rStyle w:val="16"/>
                <w:b w:val="0"/>
                <w:bCs w:val="0"/>
                <w:sz w:val="21"/>
                <w:szCs w:val="21"/>
                <w:lang w:val="en-US" w:eastAsia="zh-CN" w:bidi="ar"/>
              </w:rPr>
              <w:t>GB或以上SSD固态硬盘；</w:t>
            </w:r>
            <w:r>
              <w:rPr>
                <w:rStyle w:val="16"/>
                <w:b w:val="0"/>
                <w:bCs w:val="0"/>
                <w:sz w:val="21"/>
                <w:szCs w:val="21"/>
                <w:lang w:val="en-US" w:eastAsia="zh-CN" w:bidi="ar"/>
              </w:rPr>
              <w:br w:type="textWrapping"/>
            </w:r>
            <w:r>
              <w:rPr>
                <w:rStyle w:val="16"/>
                <w:b w:val="0"/>
                <w:bCs w:val="0"/>
                <w:sz w:val="21"/>
                <w:szCs w:val="21"/>
                <w:lang w:val="en-US" w:eastAsia="zh-CN" w:bidi="ar"/>
              </w:rPr>
              <w:t>41、★PC模块可抽拉式插入整机，可实现无单独接线的插拔。（提供国家广播电视产品质量监督检验中心所出具的权威检测报告复印件并加盖厂家公章）</w:t>
            </w:r>
            <w:r>
              <w:rPr>
                <w:rStyle w:val="16"/>
                <w:b w:val="0"/>
                <w:bCs w:val="0"/>
                <w:sz w:val="21"/>
                <w:szCs w:val="21"/>
                <w:lang w:val="en-US" w:eastAsia="zh-CN" w:bidi="ar"/>
              </w:rPr>
              <w:br w:type="textWrapping"/>
            </w:r>
            <w:r>
              <w:rPr>
                <w:rStyle w:val="16"/>
                <w:b w:val="0"/>
                <w:bCs w:val="0"/>
                <w:sz w:val="21"/>
                <w:szCs w:val="21"/>
                <w:lang w:val="en-US" w:eastAsia="zh-CN" w:bidi="ar"/>
              </w:rPr>
              <w:t>42、★和整机的连接采用万兆级接口，传输速率≥10Gbps；和整机的连接接口针脚数≤40pin，尺寸≤28.1mm*5.3mm；（提供国家级检测机构所出具的权威检测报告复印件并加盖厂家公章）；</w:t>
            </w:r>
            <w:r>
              <w:rPr>
                <w:rStyle w:val="16"/>
                <w:b w:val="0"/>
                <w:bCs w:val="0"/>
                <w:sz w:val="21"/>
                <w:szCs w:val="21"/>
                <w:lang w:val="en-US" w:eastAsia="zh-CN" w:bidi="ar"/>
              </w:rPr>
              <w:br w:type="textWrapping"/>
            </w:r>
            <w:r>
              <w:rPr>
                <w:rStyle w:val="16"/>
                <w:b w:val="0"/>
                <w:bCs w:val="0"/>
                <w:sz w:val="21"/>
                <w:szCs w:val="21"/>
                <w:lang w:val="en-US" w:eastAsia="zh-CN" w:bidi="ar"/>
              </w:rPr>
              <w:t>43、★采用按压式卡扣，无需工具就可快速拆卸电脑模块。（提供国家广播电视产品质量监督检验中心所出具的权威检测报告复印件并加盖厂家公章）</w:t>
            </w:r>
            <w:r>
              <w:rPr>
                <w:rStyle w:val="16"/>
                <w:b w:val="0"/>
                <w:bCs w:val="0"/>
                <w:sz w:val="21"/>
                <w:szCs w:val="21"/>
                <w:lang w:val="en-US" w:eastAsia="zh-CN" w:bidi="ar"/>
              </w:rPr>
              <w:br w:type="textWrapping"/>
            </w:r>
            <w:r>
              <w:rPr>
                <w:rStyle w:val="16"/>
                <w:b w:val="0"/>
                <w:bCs w:val="0"/>
                <w:sz w:val="21"/>
                <w:szCs w:val="21"/>
                <w:lang w:val="en-US" w:eastAsia="zh-CN" w:bidi="ar"/>
              </w:rPr>
              <w:t>44、具有独立非外扩展的视频输出接口：≥1路HDMI ；具有独立非外扩展的电脑USB接口：≥3路USB。PC模块的USB接口须为冗余备份接口，在正常使用整机的内置摄像头、内置麦克风功能时，USB接口不被占用，确保教师有足够的接口外接存储设备及显示设备；</w:t>
            </w:r>
            <w:r>
              <w:rPr>
                <w:rStyle w:val="15"/>
                <w:b w:val="0"/>
                <w:bCs w:val="0"/>
                <w:sz w:val="21"/>
                <w:szCs w:val="21"/>
                <w:lang w:val="en-US" w:eastAsia="zh-CN" w:bidi="ar"/>
              </w:rPr>
              <w:br w:type="textWrapping"/>
            </w:r>
            <w:r>
              <w:rPr>
                <w:rStyle w:val="15"/>
                <w:b w:val="0"/>
                <w:bCs w:val="0"/>
                <w:sz w:val="21"/>
                <w:szCs w:val="21"/>
                <w:lang w:val="en-US" w:eastAsia="zh-CN" w:bidi="ar"/>
              </w:rPr>
              <w:t>五、整机设备质保和要求</w:t>
            </w:r>
            <w:r>
              <w:rPr>
                <w:rStyle w:val="16"/>
                <w:b w:val="0"/>
                <w:bCs w:val="0"/>
                <w:sz w:val="21"/>
                <w:szCs w:val="21"/>
                <w:lang w:val="en-US" w:eastAsia="zh-CN" w:bidi="ar"/>
              </w:rPr>
              <w:br w:type="textWrapping"/>
            </w:r>
            <w:r>
              <w:rPr>
                <w:rStyle w:val="16"/>
                <w:b w:val="0"/>
                <w:bCs w:val="0"/>
                <w:sz w:val="21"/>
                <w:szCs w:val="21"/>
                <w:lang w:val="en-US" w:eastAsia="zh-CN" w:bidi="ar"/>
              </w:rPr>
              <w:t>45、为保证设备的稳定性和兼容性，本次采购OPS和整机必须统一品牌；</w:t>
            </w:r>
            <w:r>
              <w:rPr>
                <w:rStyle w:val="16"/>
                <w:b w:val="0"/>
                <w:bCs w:val="0"/>
                <w:sz w:val="21"/>
                <w:szCs w:val="21"/>
                <w:lang w:val="en-US" w:eastAsia="zh-CN" w:bidi="ar"/>
              </w:rPr>
              <w:br w:type="textWrapping"/>
            </w:r>
            <w:r>
              <w:rPr>
                <w:rStyle w:val="16"/>
                <w:b w:val="0"/>
                <w:bCs w:val="0"/>
                <w:sz w:val="21"/>
                <w:szCs w:val="21"/>
                <w:lang w:val="en-US" w:eastAsia="zh-CN" w:bidi="ar"/>
              </w:rPr>
              <w:t>46、整机提供3年质保，提供设备厂家售后服务承诺函；</w:t>
            </w:r>
          </w:p>
        </w:tc>
        <w:tc>
          <w:tcPr>
            <w:tcW w:w="589" w:type="dxa"/>
            <w:vAlign w:val="top"/>
          </w:tcPr>
          <w:p w14:paraId="4B66097A">
            <w:pPr>
              <w:spacing w:line="434" w:lineRule="auto"/>
              <w:rPr>
                <w:rFonts w:ascii="Arial"/>
                <w:b w:val="0"/>
                <w:bCs w:val="0"/>
                <w:sz w:val="21"/>
                <w:szCs w:val="21"/>
              </w:rPr>
            </w:pPr>
          </w:p>
          <w:p w14:paraId="5E056C22">
            <w:pPr>
              <w:pStyle w:val="14"/>
              <w:spacing w:before="65" w:line="221" w:lineRule="auto"/>
              <w:ind w:left="157"/>
              <w:rPr>
                <w:b w:val="0"/>
                <w:bCs w:val="0"/>
                <w:sz w:val="21"/>
                <w:szCs w:val="21"/>
              </w:rPr>
            </w:pPr>
            <w:r>
              <w:rPr>
                <w:rFonts w:hint="eastAsia"/>
                <w:b w:val="0"/>
                <w:bCs w:val="0"/>
                <w:spacing w:val="7"/>
                <w:sz w:val="21"/>
                <w:szCs w:val="21"/>
                <w:lang w:val="en-US" w:eastAsia="zh-CN"/>
              </w:rPr>
              <w:t>8</w:t>
            </w:r>
            <w:r>
              <w:rPr>
                <w:b w:val="0"/>
                <w:bCs w:val="0"/>
                <w:spacing w:val="7"/>
                <w:sz w:val="21"/>
                <w:szCs w:val="21"/>
              </w:rPr>
              <w:t>台</w:t>
            </w:r>
          </w:p>
        </w:tc>
        <w:tc>
          <w:tcPr>
            <w:tcW w:w="857" w:type="dxa"/>
            <w:vAlign w:val="top"/>
          </w:tcPr>
          <w:p w14:paraId="7154E202">
            <w:pPr>
              <w:rPr>
                <w:rFonts w:ascii="Arial"/>
                <w:b w:val="0"/>
                <w:bCs w:val="0"/>
                <w:sz w:val="21"/>
                <w:szCs w:val="21"/>
              </w:rPr>
            </w:pPr>
          </w:p>
          <w:p w14:paraId="7761CE12">
            <w:pPr>
              <w:spacing w:line="241" w:lineRule="auto"/>
              <w:rPr>
                <w:rFonts w:ascii="Arial"/>
                <w:b w:val="0"/>
                <w:bCs w:val="0"/>
                <w:sz w:val="21"/>
                <w:szCs w:val="21"/>
              </w:rPr>
            </w:pPr>
          </w:p>
          <w:p w14:paraId="5883F2B6">
            <w:pPr>
              <w:pStyle w:val="14"/>
              <w:spacing w:before="65" w:line="184" w:lineRule="auto"/>
              <w:ind w:left="117"/>
              <w:rPr>
                <w:rFonts w:hint="default" w:eastAsia="宋体"/>
                <w:b w:val="0"/>
                <w:bCs w:val="0"/>
                <w:sz w:val="21"/>
                <w:szCs w:val="21"/>
                <w:lang w:val="en-US" w:eastAsia="zh-CN"/>
              </w:rPr>
            </w:pPr>
            <w:r>
              <w:rPr>
                <w:rFonts w:hint="eastAsia"/>
                <w:b w:val="0"/>
                <w:bCs w:val="0"/>
                <w:sz w:val="21"/>
                <w:szCs w:val="21"/>
                <w:lang w:val="en-US" w:eastAsia="zh-CN"/>
              </w:rPr>
              <w:t>18750</w:t>
            </w:r>
          </w:p>
        </w:tc>
        <w:tc>
          <w:tcPr>
            <w:tcW w:w="964" w:type="dxa"/>
            <w:vAlign w:val="top"/>
          </w:tcPr>
          <w:p w14:paraId="3925E093">
            <w:pPr>
              <w:rPr>
                <w:rFonts w:ascii="Arial"/>
                <w:b w:val="0"/>
                <w:bCs w:val="0"/>
                <w:sz w:val="21"/>
                <w:szCs w:val="21"/>
              </w:rPr>
            </w:pPr>
          </w:p>
          <w:p w14:paraId="7E20EC27">
            <w:pPr>
              <w:spacing w:line="241" w:lineRule="auto"/>
              <w:rPr>
                <w:rFonts w:ascii="Arial"/>
                <w:b w:val="0"/>
                <w:bCs w:val="0"/>
                <w:sz w:val="21"/>
                <w:szCs w:val="21"/>
              </w:rPr>
            </w:pPr>
          </w:p>
          <w:p w14:paraId="6272B740">
            <w:pPr>
              <w:pStyle w:val="14"/>
              <w:spacing w:before="65" w:line="184" w:lineRule="auto"/>
              <w:ind w:left="128"/>
              <w:rPr>
                <w:rFonts w:hint="default" w:eastAsia="宋体"/>
                <w:b w:val="0"/>
                <w:bCs w:val="0"/>
                <w:sz w:val="21"/>
                <w:szCs w:val="21"/>
                <w:lang w:val="en-US" w:eastAsia="zh-CN"/>
              </w:rPr>
            </w:pPr>
            <w:r>
              <w:rPr>
                <w:rFonts w:hint="eastAsia"/>
                <w:b w:val="0"/>
                <w:bCs w:val="0"/>
                <w:sz w:val="21"/>
                <w:szCs w:val="21"/>
                <w:lang w:val="en-US" w:eastAsia="zh-CN"/>
              </w:rPr>
              <w:t>150000</w:t>
            </w:r>
          </w:p>
        </w:tc>
        <w:tc>
          <w:tcPr>
            <w:tcW w:w="964" w:type="dxa"/>
            <w:vAlign w:val="top"/>
          </w:tcPr>
          <w:p w14:paraId="318DB73C">
            <w:pPr>
              <w:pStyle w:val="14"/>
              <w:spacing w:before="65" w:line="184" w:lineRule="auto"/>
              <w:ind w:left="128"/>
              <w:rPr>
                <w:rFonts w:hint="eastAsia"/>
                <w:b w:val="0"/>
                <w:bCs w:val="0"/>
                <w:sz w:val="21"/>
                <w:szCs w:val="21"/>
                <w:lang w:val="en-US" w:eastAsia="zh-CN"/>
              </w:rPr>
            </w:pPr>
          </w:p>
        </w:tc>
      </w:tr>
      <w:tr w14:paraId="588EA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5" w:hRule="atLeast"/>
        </w:trPr>
        <w:tc>
          <w:tcPr>
            <w:tcW w:w="644" w:type="dxa"/>
            <w:vAlign w:val="top"/>
          </w:tcPr>
          <w:p w14:paraId="4A4F2027">
            <w:pPr>
              <w:spacing w:line="256" w:lineRule="auto"/>
              <w:rPr>
                <w:rFonts w:ascii="Arial"/>
                <w:b w:val="0"/>
                <w:bCs w:val="0"/>
                <w:sz w:val="21"/>
                <w:szCs w:val="21"/>
              </w:rPr>
            </w:pPr>
          </w:p>
          <w:p w14:paraId="143262F6">
            <w:pPr>
              <w:spacing w:line="256" w:lineRule="auto"/>
              <w:rPr>
                <w:rFonts w:ascii="Arial"/>
                <w:b w:val="0"/>
                <w:bCs w:val="0"/>
                <w:sz w:val="21"/>
                <w:szCs w:val="21"/>
              </w:rPr>
            </w:pPr>
          </w:p>
          <w:p w14:paraId="63A97495">
            <w:pPr>
              <w:spacing w:line="256" w:lineRule="auto"/>
              <w:rPr>
                <w:rFonts w:ascii="Arial"/>
                <w:b w:val="0"/>
                <w:bCs w:val="0"/>
                <w:sz w:val="21"/>
                <w:szCs w:val="21"/>
              </w:rPr>
            </w:pPr>
          </w:p>
          <w:p w14:paraId="12B9062B">
            <w:pPr>
              <w:spacing w:line="256" w:lineRule="auto"/>
              <w:rPr>
                <w:rFonts w:ascii="Arial"/>
                <w:b w:val="0"/>
                <w:bCs w:val="0"/>
                <w:sz w:val="21"/>
                <w:szCs w:val="21"/>
              </w:rPr>
            </w:pPr>
          </w:p>
          <w:p w14:paraId="3624B1C7">
            <w:pPr>
              <w:spacing w:line="256" w:lineRule="auto"/>
              <w:rPr>
                <w:rFonts w:ascii="Arial"/>
                <w:b w:val="0"/>
                <w:bCs w:val="0"/>
                <w:sz w:val="21"/>
                <w:szCs w:val="21"/>
              </w:rPr>
            </w:pPr>
          </w:p>
          <w:p w14:paraId="11819097">
            <w:pPr>
              <w:spacing w:line="256" w:lineRule="auto"/>
              <w:rPr>
                <w:rFonts w:ascii="Arial"/>
                <w:b w:val="0"/>
                <w:bCs w:val="0"/>
                <w:sz w:val="21"/>
                <w:szCs w:val="21"/>
              </w:rPr>
            </w:pPr>
          </w:p>
          <w:p w14:paraId="34865A51">
            <w:pPr>
              <w:spacing w:line="256" w:lineRule="auto"/>
              <w:rPr>
                <w:rFonts w:ascii="Arial"/>
                <w:b w:val="0"/>
                <w:bCs w:val="0"/>
                <w:sz w:val="21"/>
                <w:szCs w:val="21"/>
              </w:rPr>
            </w:pPr>
          </w:p>
          <w:p w14:paraId="744D3F3E">
            <w:pPr>
              <w:spacing w:line="256" w:lineRule="auto"/>
              <w:rPr>
                <w:rFonts w:ascii="Arial"/>
                <w:b w:val="0"/>
                <w:bCs w:val="0"/>
                <w:sz w:val="21"/>
                <w:szCs w:val="21"/>
              </w:rPr>
            </w:pPr>
          </w:p>
          <w:p w14:paraId="2112CC0F">
            <w:pPr>
              <w:spacing w:line="256" w:lineRule="auto"/>
              <w:rPr>
                <w:rFonts w:ascii="Arial"/>
                <w:b w:val="0"/>
                <w:bCs w:val="0"/>
                <w:sz w:val="21"/>
                <w:szCs w:val="21"/>
              </w:rPr>
            </w:pPr>
          </w:p>
          <w:p w14:paraId="741FDC6C">
            <w:pPr>
              <w:spacing w:line="257" w:lineRule="auto"/>
              <w:rPr>
                <w:rFonts w:ascii="Arial"/>
                <w:b w:val="0"/>
                <w:bCs w:val="0"/>
                <w:sz w:val="21"/>
                <w:szCs w:val="21"/>
              </w:rPr>
            </w:pPr>
          </w:p>
          <w:p w14:paraId="6BD8ECA7">
            <w:pPr>
              <w:pStyle w:val="14"/>
              <w:spacing w:before="65" w:line="183" w:lineRule="auto"/>
              <w:ind w:left="114"/>
              <w:rPr>
                <w:b w:val="0"/>
                <w:bCs w:val="0"/>
                <w:sz w:val="21"/>
                <w:szCs w:val="21"/>
              </w:rPr>
            </w:pPr>
            <w:r>
              <w:rPr>
                <w:b w:val="0"/>
                <w:bCs w:val="0"/>
                <w:sz w:val="21"/>
                <w:szCs w:val="21"/>
              </w:rPr>
              <w:t>2</w:t>
            </w:r>
          </w:p>
        </w:tc>
        <w:tc>
          <w:tcPr>
            <w:tcW w:w="832" w:type="dxa"/>
            <w:vAlign w:val="top"/>
          </w:tcPr>
          <w:p w14:paraId="54F17343">
            <w:pPr>
              <w:spacing w:line="251" w:lineRule="auto"/>
              <w:rPr>
                <w:rFonts w:ascii="Arial"/>
                <w:b w:val="0"/>
                <w:bCs w:val="0"/>
                <w:sz w:val="21"/>
                <w:szCs w:val="21"/>
              </w:rPr>
            </w:pPr>
          </w:p>
          <w:p w14:paraId="2A5312F7">
            <w:pPr>
              <w:spacing w:line="252" w:lineRule="auto"/>
              <w:rPr>
                <w:rFonts w:ascii="Arial"/>
                <w:b w:val="0"/>
                <w:bCs w:val="0"/>
                <w:sz w:val="21"/>
                <w:szCs w:val="21"/>
              </w:rPr>
            </w:pPr>
          </w:p>
          <w:p w14:paraId="1F7F01B2">
            <w:pPr>
              <w:spacing w:line="252" w:lineRule="auto"/>
              <w:rPr>
                <w:rFonts w:ascii="Arial"/>
                <w:b w:val="0"/>
                <w:bCs w:val="0"/>
                <w:sz w:val="21"/>
                <w:szCs w:val="21"/>
              </w:rPr>
            </w:pPr>
          </w:p>
          <w:p w14:paraId="09548240">
            <w:pPr>
              <w:spacing w:line="252" w:lineRule="auto"/>
              <w:rPr>
                <w:rFonts w:ascii="Arial"/>
                <w:b w:val="0"/>
                <w:bCs w:val="0"/>
                <w:sz w:val="21"/>
                <w:szCs w:val="21"/>
              </w:rPr>
            </w:pPr>
          </w:p>
          <w:p w14:paraId="32874B36">
            <w:pPr>
              <w:spacing w:line="252" w:lineRule="auto"/>
              <w:rPr>
                <w:rFonts w:ascii="Arial"/>
                <w:b w:val="0"/>
                <w:bCs w:val="0"/>
                <w:sz w:val="21"/>
                <w:szCs w:val="21"/>
              </w:rPr>
            </w:pPr>
          </w:p>
          <w:p w14:paraId="1AA91058">
            <w:pPr>
              <w:spacing w:line="252" w:lineRule="auto"/>
              <w:rPr>
                <w:rFonts w:ascii="Arial"/>
                <w:b w:val="0"/>
                <w:bCs w:val="0"/>
                <w:sz w:val="21"/>
                <w:szCs w:val="21"/>
              </w:rPr>
            </w:pPr>
          </w:p>
          <w:p w14:paraId="072A109A">
            <w:pPr>
              <w:spacing w:line="252" w:lineRule="auto"/>
              <w:rPr>
                <w:rFonts w:ascii="Arial"/>
                <w:b w:val="0"/>
                <w:bCs w:val="0"/>
                <w:sz w:val="21"/>
                <w:szCs w:val="21"/>
              </w:rPr>
            </w:pPr>
          </w:p>
          <w:p w14:paraId="05E449D6">
            <w:pPr>
              <w:pStyle w:val="14"/>
              <w:spacing w:before="65" w:line="262" w:lineRule="auto"/>
              <w:ind w:left="111" w:firstLine="18"/>
              <w:rPr>
                <w:rFonts w:hint="eastAsia" w:eastAsia="宋体"/>
                <w:b w:val="0"/>
                <w:bCs w:val="0"/>
                <w:sz w:val="21"/>
                <w:szCs w:val="21"/>
                <w:lang w:val="en-US" w:eastAsia="zh-CN"/>
              </w:rPr>
            </w:pPr>
            <w:r>
              <w:rPr>
                <w:rFonts w:hint="eastAsia"/>
                <w:b w:val="0"/>
                <w:bCs w:val="0"/>
                <w:sz w:val="21"/>
                <w:szCs w:val="21"/>
                <w:lang w:val="en-US" w:eastAsia="zh-CN"/>
              </w:rPr>
              <w:t>户外P5大屏</w:t>
            </w:r>
          </w:p>
        </w:tc>
        <w:tc>
          <w:tcPr>
            <w:tcW w:w="6825" w:type="dxa"/>
            <w:vAlign w:val="top"/>
          </w:tcPr>
          <w:p w14:paraId="2DED4B4B">
            <w:pPr>
              <w:pStyle w:val="14"/>
              <w:spacing w:before="9" w:line="250" w:lineRule="auto"/>
              <w:ind w:left="141" w:right="53" w:hanging="49"/>
              <w:jc w:val="both"/>
              <w:rPr>
                <w:rFonts w:hint="eastAsia"/>
                <w:b w:val="0"/>
                <w:bCs w:val="0"/>
                <w:sz w:val="21"/>
                <w:szCs w:val="21"/>
              </w:rPr>
            </w:pPr>
            <w:r>
              <w:rPr>
                <w:rFonts w:hint="eastAsia"/>
                <w:b w:val="0"/>
                <w:bCs w:val="0"/>
                <w:sz w:val="21"/>
                <w:szCs w:val="21"/>
              </w:rPr>
              <w:t>屏幕尺寸：4.16m*3.84m</w:t>
            </w:r>
          </w:p>
          <w:p w14:paraId="2CE013D0">
            <w:pPr>
              <w:pStyle w:val="14"/>
              <w:spacing w:before="9" w:line="250" w:lineRule="auto"/>
              <w:ind w:left="141" w:right="53" w:hanging="49"/>
              <w:jc w:val="both"/>
              <w:rPr>
                <w:rFonts w:hint="eastAsia"/>
                <w:b w:val="0"/>
                <w:bCs w:val="0"/>
                <w:sz w:val="21"/>
                <w:szCs w:val="21"/>
              </w:rPr>
            </w:pPr>
            <w:r>
              <w:rPr>
                <w:rFonts w:hint="eastAsia"/>
                <w:b w:val="0"/>
                <w:bCs w:val="0"/>
                <w:sz w:val="21"/>
                <w:szCs w:val="21"/>
              </w:rPr>
              <w:t>★像素构成：表贴三合一2121（1R1G1B）；</w:t>
            </w:r>
          </w:p>
          <w:p w14:paraId="07F7FD82">
            <w:pPr>
              <w:pStyle w:val="14"/>
              <w:spacing w:before="9" w:line="250" w:lineRule="auto"/>
              <w:ind w:left="141" w:right="53" w:hanging="49"/>
              <w:jc w:val="both"/>
              <w:rPr>
                <w:rFonts w:hint="eastAsia"/>
                <w:b w:val="0"/>
                <w:bCs w:val="0"/>
                <w:sz w:val="21"/>
                <w:szCs w:val="21"/>
              </w:rPr>
            </w:pPr>
            <w:r>
              <w:rPr>
                <w:rFonts w:hint="eastAsia"/>
                <w:b w:val="0"/>
                <w:bCs w:val="0"/>
                <w:sz w:val="21"/>
                <w:szCs w:val="21"/>
              </w:rPr>
              <w:t>★点间距：≤5mm</w:t>
            </w:r>
          </w:p>
          <w:p w14:paraId="66A41A05">
            <w:pPr>
              <w:pStyle w:val="14"/>
              <w:spacing w:before="9" w:line="250" w:lineRule="auto"/>
              <w:ind w:left="141" w:right="53" w:hanging="49"/>
              <w:jc w:val="both"/>
              <w:rPr>
                <w:rFonts w:hint="eastAsia"/>
                <w:b w:val="0"/>
                <w:bCs w:val="0"/>
                <w:sz w:val="21"/>
                <w:szCs w:val="21"/>
              </w:rPr>
            </w:pPr>
            <w:r>
              <w:rPr>
                <w:rFonts w:hint="eastAsia"/>
                <w:b w:val="0"/>
                <w:bCs w:val="0"/>
                <w:sz w:val="21"/>
                <w:szCs w:val="21"/>
              </w:rPr>
              <w:t>★像素密度：40000点/㎡；</w:t>
            </w:r>
          </w:p>
          <w:p w14:paraId="448779D7">
            <w:pPr>
              <w:pStyle w:val="14"/>
              <w:spacing w:before="9" w:line="250" w:lineRule="auto"/>
              <w:ind w:left="141" w:right="53" w:hanging="49"/>
              <w:jc w:val="both"/>
              <w:rPr>
                <w:rFonts w:hint="eastAsia"/>
                <w:b w:val="0"/>
                <w:bCs w:val="0"/>
                <w:sz w:val="21"/>
                <w:szCs w:val="21"/>
              </w:rPr>
            </w:pPr>
            <w:r>
              <w:rPr>
                <w:rFonts w:hint="eastAsia"/>
                <w:b w:val="0"/>
                <w:bCs w:val="0"/>
                <w:sz w:val="21"/>
                <w:szCs w:val="21"/>
              </w:rPr>
              <w:t xml:space="preserve"> 扫描方式：1/10扫</w:t>
            </w:r>
          </w:p>
          <w:p w14:paraId="70AB7B81">
            <w:pPr>
              <w:pStyle w:val="14"/>
              <w:spacing w:before="9" w:line="250" w:lineRule="auto"/>
              <w:ind w:left="141" w:right="53" w:hanging="49"/>
              <w:jc w:val="both"/>
              <w:rPr>
                <w:rFonts w:hint="eastAsia"/>
                <w:b w:val="0"/>
                <w:bCs w:val="0"/>
                <w:sz w:val="21"/>
                <w:szCs w:val="21"/>
              </w:rPr>
            </w:pPr>
            <w:r>
              <w:rPr>
                <w:rFonts w:hint="eastAsia"/>
                <w:b w:val="0"/>
                <w:bCs w:val="0"/>
                <w:sz w:val="21"/>
                <w:szCs w:val="21"/>
              </w:rPr>
              <w:t>★模组分辨率：64*32；</w:t>
            </w:r>
          </w:p>
          <w:p w14:paraId="1C95EF15">
            <w:pPr>
              <w:pStyle w:val="14"/>
              <w:spacing w:before="9" w:line="250" w:lineRule="auto"/>
              <w:ind w:left="141" w:right="53" w:hanging="49"/>
              <w:jc w:val="both"/>
              <w:rPr>
                <w:rFonts w:hint="eastAsia"/>
                <w:b w:val="0"/>
                <w:bCs w:val="0"/>
                <w:sz w:val="21"/>
                <w:szCs w:val="21"/>
              </w:rPr>
            </w:pPr>
            <w:r>
              <w:rPr>
                <w:rFonts w:hint="eastAsia"/>
                <w:b w:val="0"/>
                <w:bCs w:val="0"/>
                <w:sz w:val="21"/>
                <w:szCs w:val="21"/>
              </w:rPr>
              <w:t>★模组尺寸：320*160mm；</w:t>
            </w:r>
          </w:p>
          <w:p w14:paraId="15957693">
            <w:pPr>
              <w:pStyle w:val="14"/>
              <w:spacing w:before="9" w:line="250" w:lineRule="auto"/>
              <w:ind w:left="141" w:right="53" w:hanging="49"/>
              <w:jc w:val="both"/>
              <w:rPr>
                <w:rFonts w:hint="eastAsia"/>
                <w:b w:val="0"/>
                <w:bCs w:val="0"/>
                <w:sz w:val="21"/>
                <w:szCs w:val="21"/>
              </w:rPr>
            </w:pPr>
            <w:r>
              <w:rPr>
                <w:rFonts w:hint="eastAsia"/>
                <w:b w:val="0"/>
                <w:bCs w:val="0"/>
                <w:sz w:val="21"/>
                <w:szCs w:val="21"/>
              </w:rPr>
              <w:t>★光学性能：基色主波长误差为C 级 ΔλD≤5，视角（水平、垂直）：H≥160°V≥140°；</w:t>
            </w:r>
          </w:p>
          <w:p w14:paraId="7936DA59">
            <w:pPr>
              <w:pStyle w:val="14"/>
              <w:spacing w:before="9" w:line="250" w:lineRule="auto"/>
              <w:ind w:left="141" w:right="53" w:hanging="49"/>
              <w:jc w:val="both"/>
              <w:rPr>
                <w:rFonts w:hint="eastAsia"/>
                <w:b w:val="0"/>
                <w:bCs w:val="0"/>
                <w:sz w:val="21"/>
                <w:szCs w:val="21"/>
              </w:rPr>
            </w:pPr>
            <w:r>
              <w:rPr>
                <w:rFonts w:hint="eastAsia"/>
                <w:b w:val="0"/>
                <w:bCs w:val="0"/>
                <w:sz w:val="21"/>
                <w:szCs w:val="21"/>
              </w:rPr>
              <w:t>★机械性能：平整度：≤0.2mm，箱体间缝隙≤0.1mm，像素中心距相对偏差&lt;3%；</w:t>
            </w:r>
          </w:p>
          <w:p w14:paraId="386967AB">
            <w:pPr>
              <w:pStyle w:val="14"/>
              <w:spacing w:before="9" w:line="250" w:lineRule="auto"/>
              <w:ind w:left="141" w:right="53" w:hanging="49"/>
              <w:jc w:val="both"/>
              <w:rPr>
                <w:rFonts w:hint="eastAsia"/>
                <w:b w:val="0"/>
                <w:bCs w:val="0"/>
                <w:sz w:val="21"/>
                <w:szCs w:val="21"/>
              </w:rPr>
            </w:pPr>
            <w:r>
              <w:rPr>
                <w:rFonts w:hint="eastAsia"/>
                <w:b w:val="0"/>
                <w:bCs w:val="0"/>
                <w:sz w:val="21"/>
                <w:szCs w:val="21"/>
              </w:rPr>
              <w:t>★最大功耗：≤645W/㎡；平均功耗323W/㎡，睡眠模式功率密度≤100W/㎡；能源效率：≥3cd/W；</w:t>
            </w:r>
          </w:p>
          <w:p w14:paraId="2F4CC27F">
            <w:pPr>
              <w:pStyle w:val="14"/>
              <w:spacing w:before="9" w:line="250" w:lineRule="auto"/>
              <w:ind w:left="141" w:right="53" w:hanging="49"/>
              <w:jc w:val="both"/>
              <w:rPr>
                <w:rFonts w:hint="eastAsia"/>
                <w:b w:val="0"/>
                <w:bCs w:val="0"/>
                <w:sz w:val="21"/>
                <w:szCs w:val="21"/>
              </w:rPr>
            </w:pPr>
            <w:r>
              <w:rPr>
                <w:rFonts w:hint="eastAsia"/>
                <w:b w:val="0"/>
                <w:bCs w:val="0"/>
                <w:sz w:val="21"/>
                <w:szCs w:val="21"/>
              </w:rPr>
              <w:t>★光学特性：亮度均匀性≥97%，白场色坐标符合SJ/T 11141-2017 5.10.5规定，亮度鉴别等级：C 级以上，最大对比度：≥5000：1；</w:t>
            </w:r>
          </w:p>
          <w:p w14:paraId="38833216">
            <w:pPr>
              <w:pStyle w:val="14"/>
              <w:spacing w:before="9" w:line="250" w:lineRule="auto"/>
              <w:ind w:left="141" w:right="53" w:hanging="49"/>
              <w:jc w:val="both"/>
              <w:rPr>
                <w:rFonts w:hint="eastAsia"/>
                <w:b w:val="0"/>
                <w:bCs w:val="0"/>
                <w:sz w:val="21"/>
                <w:szCs w:val="21"/>
              </w:rPr>
            </w:pPr>
            <w:r>
              <w:rPr>
                <w:rFonts w:hint="eastAsia"/>
                <w:b w:val="0"/>
                <w:bCs w:val="0"/>
                <w:sz w:val="21"/>
                <w:szCs w:val="21"/>
              </w:rPr>
              <w:t>★色温：3000-18000可调；</w:t>
            </w:r>
          </w:p>
          <w:p w14:paraId="38523EC8">
            <w:pPr>
              <w:pStyle w:val="14"/>
              <w:spacing w:before="9" w:line="250" w:lineRule="auto"/>
              <w:ind w:left="141" w:right="53" w:hanging="49"/>
              <w:jc w:val="both"/>
              <w:rPr>
                <w:rFonts w:hint="eastAsia"/>
                <w:b w:val="0"/>
                <w:bCs w:val="0"/>
                <w:sz w:val="21"/>
                <w:szCs w:val="21"/>
              </w:rPr>
            </w:pPr>
            <w:r>
              <w:rPr>
                <w:rFonts w:hint="eastAsia"/>
                <w:b w:val="0"/>
                <w:bCs w:val="0"/>
                <w:sz w:val="21"/>
                <w:szCs w:val="21"/>
              </w:rPr>
              <w:t>★电性能：换帧频率：60Hz；刷新频率：≥3840Hz；彩色信号处理位数16bit；</w:t>
            </w:r>
          </w:p>
          <w:p w14:paraId="2F1D167F">
            <w:pPr>
              <w:pStyle w:val="14"/>
              <w:spacing w:before="9" w:line="250" w:lineRule="auto"/>
              <w:ind w:left="141" w:right="53" w:hanging="49"/>
              <w:jc w:val="both"/>
              <w:rPr>
                <w:rFonts w:hint="eastAsia"/>
                <w:b w:val="0"/>
                <w:bCs w:val="0"/>
                <w:sz w:val="21"/>
                <w:szCs w:val="21"/>
              </w:rPr>
            </w:pPr>
            <w:r>
              <w:rPr>
                <w:rFonts w:hint="eastAsia"/>
                <w:b w:val="0"/>
                <w:bCs w:val="0"/>
                <w:sz w:val="21"/>
                <w:szCs w:val="21"/>
              </w:rPr>
              <w:t>★白平衡亮度：≥4500cd/㎡；</w:t>
            </w:r>
          </w:p>
          <w:p w14:paraId="59897F2F">
            <w:pPr>
              <w:pStyle w:val="14"/>
              <w:spacing w:before="9" w:line="250" w:lineRule="auto"/>
              <w:ind w:left="141" w:right="53" w:hanging="49"/>
              <w:jc w:val="both"/>
              <w:rPr>
                <w:rFonts w:hint="eastAsia"/>
                <w:b w:val="0"/>
                <w:bCs w:val="0"/>
                <w:sz w:val="21"/>
                <w:szCs w:val="21"/>
              </w:rPr>
            </w:pPr>
            <w:r>
              <w:rPr>
                <w:rFonts w:hint="eastAsia"/>
                <w:b w:val="0"/>
                <w:bCs w:val="0"/>
                <w:sz w:val="21"/>
                <w:szCs w:val="21"/>
              </w:rPr>
              <w:t xml:space="preserve">★平均失效间隔工作时间：≥10000hrs；       </w:t>
            </w:r>
          </w:p>
          <w:p w14:paraId="4D18AFCF">
            <w:pPr>
              <w:pStyle w:val="14"/>
              <w:spacing w:before="9" w:line="250" w:lineRule="auto"/>
              <w:ind w:left="141" w:right="53" w:hanging="49"/>
              <w:jc w:val="both"/>
              <w:rPr>
                <w:rFonts w:hint="eastAsia"/>
                <w:b w:val="0"/>
                <w:bCs w:val="0"/>
                <w:sz w:val="21"/>
                <w:szCs w:val="21"/>
              </w:rPr>
            </w:pPr>
            <w:r>
              <w:rPr>
                <w:rFonts w:hint="eastAsia"/>
                <w:b w:val="0"/>
                <w:bCs w:val="0"/>
                <w:sz w:val="21"/>
                <w:szCs w:val="21"/>
              </w:rPr>
              <w:t>★电源效率：效率＞85%</w:t>
            </w:r>
          </w:p>
          <w:p w14:paraId="48805182">
            <w:pPr>
              <w:pStyle w:val="14"/>
              <w:spacing w:before="9" w:line="250" w:lineRule="auto"/>
              <w:ind w:left="141" w:right="53" w:hanging="49"/>
              <w:jc w:val="both"/>
              <w:rPr>
                <w:rFonts w:hint="eastAsia"/>
                <w:b w:val="0"/>
                <w:bCs w:val="0"/>
                <w:sz w:val="21"/>
                <w:szCs w:val="21"/>
              </w:rPr>
            </w:pPr>
            <w:r>
              <w:rPr>
                <w:rFonts w:hint="eastAsia"/>
                <w:b w:val="0"/>
                <w:bCs w:val="0"/>
                <w:sz w:val="21"/>
                <w:szCs w:val="21"/>
              </w:rPr>
              <w:t>★对地漏电流：对地漏电流：I（漏）≤3.5mA/㎡</w:t>
            </w:r>
          </w:p>
          <w:p w14:paraId="7B6146DD">
            <w:pPr>
              <w:pStyle w:val="14"/>
              <w:spacing w:before="9" w:line="250" w:lineRule="auto"/>
              <w:ind w:left="141" w:right="53" w:hanging="49"/>
              <w:jc w:val="both"/>
              <w:rPr>
                <w:rFonts w:hint="eastAsia"/>
                <w:b w:val="0"/>
                <w:bCs w:val="0"/>
                <w:sz w:val="21"/>
                <w:szCs w:val="21"/>
              </w:rPr>
            </w:pPr>
            <w:r>
              <w:rPr>
                <w:rFonts w:hint="eastAsia"/>
                <w:b w:val="0"/>
                <w:bCs w:val="0"/>
                <w:sz w:val="21"/>
                <w:szCs w:val="21"/>
              </w:rPr>
              <w:t>★人眼视觉舒适度 VICO 指数≤1。</w:t>
            </w:r>
          </w:p>
          <w:p w14:paraId="711C442A">
            <w:pPr>
              <w:pStyle w:val="14"/>
              <w:spacing w:before="9" w:line="250" w:lineRule="auto"/>
              <w:ind w:left="141" w:right="53" w:hanging="49"/>
              <w:jc w:val="both"/>
              <w:rPr>
                <w:rFonts w:hint="eastAsia"/>
                <w:b w:val="0"/>
                <w:bCs w:val="0"/>
                <w:sz w:val="21"/>
                <w:szCs w:val="21"/>
              </w:rPr>
            </w:pPr>
            <w:r>
              <w:rPr>
                <w:rFonts w:hint="eastAsia"/>
                <w:b w:val="0"/>
                <w:bCs w:val="0"/>
                <w:sz w:val="21"/>
                <w:szCs w:val="21"/>
              </w:rPr>
              <w:t>★工作噪音声压级 处理距离 r=1.0 米，噪音声压级≤6dB。</w:t>
            </w:r>
          </w:p>
          <w:p w14:paraId="0ECC66C5">
            <w:pPr>
              <w:pStyle w:val="14"/>
              <w:spacing w:before="9" w:line="250" w:lineRule="auto"/>
              <w:ind w:left="141" w:right="53" w:hanging="49"/>
              <w:jc w:val="both"/>
              <w:rPr>
                <w:rFonts w:hint="eastAsia"/>
                <w:b w:val="0"/>
                <w:bCs w:val="0"/>
                <w:sz w:val="21"/>
                <w:szCs w:val="21"/>
              </w:rPr>
            </w:pPr>
            <w:r>
              <w:rPr>
                <w:rFonts w:hint="eastAsia"/>
                <w:b w:val="0"/>
                <w:bCs w:val="0"/>
                <w:sz w:val="21"/>
                <w:szCs w:val="21"/>
              </w:rPr>
              <w:t>（以上参数本项标有★的技术参数需提供由国家权威机构ILAC-MRA、CNAS、CMA认证并出具的检测报告复印件并加盖原厂公章复印件备查。)</w:t>
            </w:r>
          </w:p>
          <w:p w14:paraId="59A19FBD">
            <w:pPr>
              <w:pStyle w:val="14"/>
              <w:spacing w:before="9" w:line="250" w:lineRule="auto"/>
              <w:ind w:left="141" w:right="53" w:hanging="49"/>
              <w:jc w:val="both"/>
              <w:rPr>
                <w:rFonts w:hint="eastAsia"/>
                <w:b w:val="0"/>
                <w:bCs w:val="0"/>
                <w:sz w:val="21"/>
                <w:szCs w:val="21"/>
              </w:rPr>
            </w:pPr>
          </w:p>
          <w:p w14:paraId="43E0DC7C">
            <w:pPr>
              <w:pStyle w:val="14"/>
              <w:spacing w:before="9" w:line="250" w:lineRule="auto"/>
              <w:ind w:left="141" w:right="53" w:hanging="49"/>
              <w:jc w:val="both"/>
              <w:rPr>
                <w:rFonts w:hint="eastAsia"/>
                <w:b w:val="0"/>
                <w:bCs w:val="0"/>
                <w:sz w:val="21"/>
                <w:szCs w:val="21"/>
              </w:rPr>
            </w:pPr>
            <w:r>
              <w:rPr>
                <w:rFonts w:hint="eastAsia"/>
                <w:b w:val="0"/>
                <w:bCs w:val="0"/>
                <w:sz w:val="21"/>
                <w:szCs w:val="21"/>
              </w:rPr>
              <w:t>★为了提高LED显示屏使用寿命，所投LED显示屏需通过以下灯珠试验：灯珠耐焊耐热试验：Tmax=260℃，回流焊 2 次，灯珠引脚无氧化， 焊接正常，灯珠胶体正常，点亮正常；灯珠常温寿命试验：Tc=25℃ Ifr=10mA IFg=10mA Ifb=10mA通电 1000H，灯珠点亮无异常；灯珠冷热冲击试验：-50℃～130℃各 15min 200 次，光电特性及表面构造正常，点亮正常；灯珠高温贮存试验：Ta=100℃ 贮存 500H，灯珠点亮无异常；灯珠抗静电（ESD）测试：HBM 模式：ESD＞2000V，灯珠点亮无异常；灯珠漏电流试验：反向电压 Vr=10V漏电流 0.2uA，符合要求；灯珠红墨水试验：回流焊 1 次，纯红墨水常温浸泡 24H，无渗透（需提供由国家权威机构ILAC-MRA、CNAS、CMA认证并出具的检测报告复印件并加盖原厂公章复印件备查）；</w:t>
            </w:r>
          </w:p>
          <w:p w14:paraId="21AF27EB">
            <w:pPr>
              <w:pStyle w:val="14"/>
              <w:spacing w:before="9" w:line="250" w:lineRule="auto"/>
              <w:ind w:left="141" w:right="53" w:hanging="49"/>
              <w:jc w:val="both"/>
              <w:rPr>
                <w:rFonts w:hint="eastAsia"/>
                <w:b w:val="0"/>
                <w:bCs w:val="0"/>
                <w:sz w:val="21"/>
                <w:szCs w:val="21"/>
              </w:rPr>
            </w:pPr>
            <w:r>
              <w:rPr>
                <w:rFonts w:hint="eastAsia"/>
                <w:b w:val="0"/>
                <w:bCs w:val="0"/>
                <w:sz w:val="21"/>
                <w:szCs w:val="21"/>
              </w:rPr>
              <w:t xml:space="preserve">★为满足用户不同的亮度需求，所投LED显示屏需具有亮度调节功能，可实现 0%-100%亮度可调，屏幕亮度具有随环境照度的变化自动调整和任意设置亮度的功能（需提供由国家权威机构ILAC-MRA、CNAS、CMA认证并出具的检测报告复印件并加盖原厂公章复印件备查）；  </w:t>
            </w:r>
          </w:p>
          <w:p w14:paraId="178EEDED">
            <w:pPr>
              <w:pStyle w:val="14"/>
              <w:spacing w:before="9" w:line="250" w:lineRule="auto"/>
              <w:ind w:left="141" w:right="53" w:hanging="49"/>
              <w:jc w:val="both"/>
              <w:rPr>
                <w:rFonts w:hint="eastAsia"/>
                <w:b w:val="0"/>
                <w:bCs w:val="0"/>
                <w:sz w:val="21"/>
                <w:szCs w:val="21"/>
              </w:rPr>
            </w:pPr>
            <w:r>
              <w:rPr>
                <w:rFonts w:hint="eastAsia"/>
                <w:b w:val="0"/>
                <w:bCs w:val="0"/>
                <w:sz w:val="21"/>
                <w:szCs w:val="21"/>
              </w:rPr>
              <w:t>★所投LED显示屏需通过接地电阻测试：保护接地导体和保护连接导体应当有足够，的承载电流的能力，接地导体及其端子不得有过大的电阻。在样机保护接地端子和可触及金属外壳之间施加 32A 电流，持续 2min，测得的阻值不应大于 0.1Ω；检测结果：接地端子-接地部件最远端：0.072Ω（需提供由国家权威机构ILAC-MRA、CNAS、CMA认证并出具的检测报告复印件并加盖原厂公章复印件备查）；</w:t>
            </w:r>
          </w:p>
          <w:p w14:paraId="63621178">
            <w:pPr>
              <w:pStyle w:val="14"/>
              <w:spacing w:before="9" w:line="250" w:lineRule="auto"/>
              <w:ind w:left="141" w:right="53" w:hanging="49"/>
              <w:jc w:val="both"/>
              <w:rPr>
                <w:rFonts w:hint="eastAsia"/>
                <w:b w:val="0"/>
                <w:bCs w:val="0"/>
                <w:sz w:val="21"/>
                <w:szCs w:val="21"/>
              </w:rPr>
            </w:pPr>
            <w:r>
              <w:rPr>
                <w:rFonts w:hint="eastAsia"/>
                <w:b w:val="0"/>
                <w:bCs w:val="0"/>
                <w:sz w:val="21"/>
                <w:szCs w:val="21"/>
              </w:rPr>
              <w:t>★所投LED显示屏需通过抗电强度试验：试验电压施加在带电部件和易触及部件之间，非金属部件用金属箔覆盖。抗电强度实验是在设备处于充分发热状态下进行。加到被试绝缘体上的实验电压应当从零逐渐升 高到规定的电压值，对非金属部件 3000Vac、对接地金属部件施加 1500Vac，然后在该电压值上保持 60s。判定：在试验期间，不应出现击穿（需提供由国家权威机构ILAC-MRA、CNAS、CMA认证并出具的检测报告复印件并加盖原厂公章复印件备查）；</w:t>
            </w:r>
          </w:p>
          <w:p w14:paraId="1AD574B4">
            <w:pPr>
              <w:pStyle w:val="14"/>
              <w:spacing w:before="9" w:line="250" w:lineRule="auto"/>
              <w:ind w:left="141" w:right="53" w:hanging="49"/>
              <w:jc w:val="both"/>
              <w:rPr>
                <w:rFonts w:hint="eastAsia"/>
                <w:b w:val="0"/>
                <w:bCs w:val="0"/>
                <w:sz w:val="21"/>
                <w:szCs w:val="21"/>
              </w:rPr>
            </w:pPr>
            <w:r>
              <w:rPr>
                <w:rFonts w:hint="eastAsia"/>
                <w:b w:val="0"/>
                <w:bCs w:val="0"/>
                <w:sz w:val="21"/>
                <w:szCs w:val="21"/>
              </w:rPr>
              <w:t>★因LED显示屏是电子产品，必须通过国家电源端子骚扰电压（EMC）测试、电信端口传导共模（非对称）骚扰电压限值（EMC）测试、电信端口传导共模（非对称）骚扰电流限值（EMC）测试、辐射骚扰（EMC）测试，均符合GB/T9254.1-2021Class A 限值要求（需提供由国家权威机构ILAC-MRA、CNAS、CMA认证并出具的检测报告复印件并加盖原厂公章复印件备查）；</w:t>
            </w:r>
          </w:p>
          <w:p w14:paraId="32B6AC4F">
            <w:pPr>
              <w:pStyle w:val="14"/>
              <w:spacing w:before="9" w:line="250" w:lineRule="auto"/>
              <w:ind w:left="141" w:right="53" w:hanging="49"/>
              <w:jc w:val="both"/>
              <w:rPr>
                <w:rFonts w:hint="eastAsia"/>
                <w:b w:val="0"/>
                <w:bCs w:val="0"/>
                <w:sz w:val="21"/>
                <w:szCs w:val="21"/>
              </w:rPr>
            </w:pPr>
            <w:r>
              <w:rPr>
                <w:rFonts w:hint="eastAsia"/>
                <w:b w:val="0"/>
                <w:bCs w:val="0"/>
                <w:sz w:val="21"/>
                <w:szCs w:val="21"/>
              </w:rPr>
              <w:t>★为了保证客户室内安全无火灾隐患，LED显示屏产品必须通过国家阻燃（防火）试验：PCB 板样品点燃无滴落物，能在 10S 内熄灭，阻燃等级为 UL94V-0（需提供由国家权威机构ILAC-MRA、CNAS、CMA认证并出具的检测报告复印件并加盖原厂公章复印件备查）；</w:t>
            </w:r>
          </w:p>
          <w:p w14:paraId="42AE4F81">
            <w:pPr>
              <w:pStyle w:val="14"/>
              <w:spacing w:before="9" w:line="250" w:lineRule="auto"/>
              <w:ind w:left="141" w:right="53" w:hanging="49"/>
              <w:jc w:val="both"/>
              <w:rPr>
                <w:rFonts w:hint="eastAsia"/>
                <w:b w:val="0"/>
                <w:bCs w:val="0"/>
                <w:sz w:val="21"/>
                <w:szCs w:val="21"/>
              </w:rPr>
            </w:pPr>
            <w:r>
              <w:rPr>
                <w:rFonts w:hint="eastAsia"/>
                <w:b w:val="0"/>
                <w:bCs w:val="0"/>
                <w:sz w:val="21"/>
                <w:szCs w:val="21"/>
              </w:rPr>
              <w:t>★为保证用户使用安全，所投LED显示屏需具有安全防护功能：具有防尘、防腐蚀、防虫、防静电、防撞、抗震动、防电磁干扰、抗雷击等功能，具有电源过压、过流、断电保护、分布上电措施、具有实时监控温度、故障报警功能（需提供由国家权威机构ILAC-MRA、CNAS、CMA认证并出具的检测报告复印件并加盖原厂公章复印件备查）；</w:t>
            </w:r>
          </w:p>
          <w:p w14:paraId="2C66F3F3">
            <w:pPr>
              <w:pStyle w:val="14"/>
              <w:spacing w:before="9" w:line="250" w:lineRule="auto"/>
              <w:ind w:left="141" w:right="53" w:hanging="49"/>
              <w:jc w:val="both"/>
              <w:rPr>
                <w:rFonts w:hint="eastAsia"/>
                <w:b w:val="0"/>
                <w:bCs w:val="0"/>
                <w:sz w:val="21"/>
                <w:szCs w:val="21"/>
              </w:rPr>
            </w:pPr>
            <w:r>
              <w:rPr>
                <w:rFonts w:hint="eastAsia"/>
                <w:b w:val="0"/>
                <w:bCs w:val="0"/>
                <w:sz w:val="21"/>
                <w:szCs w:val="21"/>
              </w:rPr>
              <w:t>★为更快地满足客户使用需求，所投LED显示屏响应时间为纳秒级，可急速响应（需提供由国家权威机构ILAC-MRA、CNAS、CMA认证并出具的检测报告复印件并加盖原厂公章复印件备查）；</w:t>
            </w:r>
          </w:p>
          <w:p w14:paraId="6B4B966F">
            <w:pPr>
              <w:pStyle w:val="14"/>
              <w:spacing w:before="9" w:line="250" w:lineRule="auto"/>
              <w:ind w:left="141" w:right="53" w:hanging="49"/>
              <w:jc w:val="both"/>
              <w:rPr>
                <w:rFonts w:hint="eastAsia"/>
                <w:b w:val="0"/>
                <w:bCs w:val="0"/>
                <w:sz w:val="21"/>
                <w:szCs w:val="21"/>
              </w:rPr>
            </w:pPr>
            <w:r>
              <w:rPr>
                <w:rFonts w:hint="eastAsia"/>
                <w:b w:val="0"/>
                <w:bCs w:val="0"/>
                <w:sz w:val="21"/>
                <w:szCs w:val="21"/>
              </w:rPr>
              <w:t>★为提升用户体验，所投LED显示屏需具有以下软件功能：1、LED 显示屏可实时监控显示屏工作状态， 具有故障自动报警功能。2、LED 显示屏具有多点测温系统，均衡散热，防止局部温度过高造成色彩漂移，并提高显示屏寿命。3、LED 显示屏具有电源温度控制系统，提供电源实时温度监控，超出设定温度自动报警，防止过温失效。4、支持视频、音频、图像、文字、Flash、Gif 等形式的媒体文件播放；支持 Microsoft office 的 Word、Excel、PPT 显示；支持时钟、计时、天气预报显示；支持外部视频信号（TV、AV、S-Video、复合视频）播放； 支持多页面多分区节目编辑。5、可具有亮度/对比度/色度/视觉修正等图像调整功能（需提供由国家权威机构ILAC-MRA、CNAS、CMA认证并出具的检测报告复印件并加盖原厂公章复印件备查）；</w:t>
            </w:r>
          </w:p>
          <w:p w14:paraId="5086FDEF">
            <w:pPr>
              <w:pStyle w:val="14"/>
              <w:spacing w:before="9" w:line="250" w:lineRule="auto"/>
              <w:ind w:left="141" w:right="53" w:hanging="49"/>
              <w:jc w:val="both"/>
              <w:rPr>
                <w:rFonts w:hint="eastAsia"/>
                <w:b w:val="0"/>
                <w:bCs w:val="0"/>
                <w:sz w:val="21"/>
                <w:szCs w:val="21"/>
              </w:rPr>
            </w:pPr>
            <w:r>
              <w:rPr>
                <w:rFonts w:hint="eastAsia"/>
                <w:b w:val="0"/>
                <w:bCs w:val="0"/>
                <w:sz w:val="21"/>
                <w:szCs w:val="21"/>
              </w:rPr>
              <w:t>★因投标产品为电子元器件，所以需具有除湿功能：长时间没有使用屏体，可以通过屏体控制系统的除湿模式来实现屏体除湿，即使屏体从10%到 100%亮度逐级显示，达到排除 LED屏体内部湿气的效果，保护 LED 显示屏（需提供由国家权威机构ILAC-MRA、CNAS、CMA认证并出具的检测报告复印件并加盖原厂公章复印件备查）；</w:t>
            </w:r>
          </w:p>
          <w:p w14:paraId="10BEB1A3">
            <w:pPr>
              <w:pStyle w:val="14"/>
              <w:spacing w:before="9" w:line="250" w:lineRule="auto"/>
              <w:ind w:left="141" w:right="53" w:hanging="49"/>
              <w:jc w:val="both"/>
              <w:rPr>
                <w:rFonts w:hint="eastAsia"/>
                <w:b w:val="0"/>
                <w:bCs w:val="0"/>
                <w:sz w:val="21"/>
                <w:szCs w:val="21"/>
              </w:rPr>
            </w:pPr>
            <w:r>
              <w:rPr>
                <w:rFonts w:hint="eastAsia"/>
                <w:b w:val="0"/>
                <w:bCs w:val="0"/>
                <w:sz w:val="21"/>
                <w:szCs w:val="21"/>
              </w:rPr>
              <w:t>★为实现更佳的显示效果，所投LED显示屏需具有图像处理：1、图像有降噪、增强、运动补偿、色坐标变换处理、钝化处理；2、无几何失真和非线性失真现象、消鬼影拖尾，无毛毛虫、鬼影跟随现象（需提供由国家权威机构ILAC-MRA、CNAS、CMA认证并出具的检测报告复印件并加盖原厂公章复印件备查）；</w:t>
            </w:r>
          </w:p>
          <w:p w14:paraId="64042DC4">
            <w:pPr>
              <w:pStyle w:val="14"/>
              <w:spacing w:before="9" w:line="250" w:lineRule="auto"/>
              <w:ind w:left="141" w:right="53" w:hanging="49"/>
              <w:jc w:val="both"/>
              <w:rPr>
                <w:rFonts w:hint="eastAsia"/>
                <w:b w:val="0"/>
                <w:bCs w:val="0"/>
                <w:sz w:val="21"/>
                <w:szCs w:val="21"/>
              </w:rPr>
            </w:pPr>
            <w:r>
              <w:rPr>
                <w:rFonts w:hint="eastAsia"/>
                <w:b w:val="0"/>
                <w:bCs w:val="0"/>
                <w:sz w:val="21"/>
                <w:szCs w:val="21"/>
              </w:rPr>
              <w:t>★为节省用户时间，所投LED显示屏需具有快速连屏功能，更换显示模组、控制卡， 无需再次写入屏体数据参数便可自适应恢复原有数据参数（需提供由国家权威机构ILAC-MRA、CNAS、CMA认证并出具的检测报告复印件并加盖原厂公章复印件备查）；</w:t>
            </w:r>
          </w:p>
          <w:p w14:paraId="63FBD3B2">
            <w:pPr>
              <w:pStyle w:val="14"/>
              <w:spacing w:before="9" w:line="250" w:lineRule="auto"/>
              <w:ind w:left="141" w:right="53" w:hanging="49"/>
              <w:jc w:val="both"/>
              <w:rPr>
                <w:rFonts w:hint="eastAsia"/>
                <w:b w:val="0"/>
                <w:bCs w:val="0"/>
                <w:sz w:val="21"/>
                <w:szCs w:val="21"/>
              </w:rPr>
            </w:pPr>
            <w:r>
              <w:rPr>
                <w:rFonts w:hint="eastAsia"/>
                <w:b w:val="0"/>
                <w:bCs w:val="0"/>
                <w:sz w:val="21"/>
                <w:szCs w:val="21"/>
              </w:rPr>
              <w:t>★为保证屏体可长时间正常工作，所投LED显示屏需具有消隐功能：正常工作时支持消除毛毛虫（列消影）功能，LED 显示屏正常工作时具备消除鬼影和拖尾（行消影和列消影）功能（需提供由国家权威机构ILAC-MRA、CNAS、CMA认证并出具的检测报告复印件并加盖原厂公章复印件备查）；</w:t>
            </w:r>
          </w:p>
          <w:p w14:paraId="7375AF05">
            <w:pPr>
              <w:pStyle w:val="14"/>
              <w:spacing w:before="9" w:line="250" w:lineRule="auto"/>
              <w:ind w:left="141" w:right="53" w:hanging="49"/>
              <w:jc w:val="both"/>
              <w:rPr>
                <w:rFonts w:hint="eastAsia"/>
                <w:b w:val="0"/>
                <w:bCs w:val="0"/>
                <w:sz w:val="21"/>
                <w:szCs w:val="21"/>
              </w:rPr>
            </w:pPr>
            <w:r>
              <w:rPr>
                <w:rFonts w:hint="eastAsia"/>
                <w:b w:val="0"/>
                <w:bCs w:val="0"/>
                <w:sz w:val="21"/>
                <w:szCs w:val="21"/>
              </w:rPr>
              <w:t>★所投LED显示屏符合 IEC 62471:2006标准的光生物安全要求（需提供由国家权威机构ILAC-MRA、CNAS、CMA认证并出具的检测报告复印件并加盖原厂公章复印件备查）；</w:t>
            </w:r>
          </w:p>
          <w:p w14:paraId="5A470E52">
            <w:pPr>
              <w:pStyle w:val="14"/>
              <w:spacing w:before="9" w:line="250" w:lineRule="auto"/>
              <w:ind w:left="141" w:right="53" w:hanging="49"/>
              <w:jc w:val="both"/>
              <w:rPr>
                <w:rFonts w:hint="eastAsia"/>
                <w:b w:val="0"/>
                <w:bCs w:val="0"/>
                <w:sz w:val="21"/>
                <w:szCs w:val="21"/>
              </w:rPr>
            </w:pPr>
            <w:r>
              <w:rPr>
                <w:rFonts w:hint="eastAsia"/>
                <w:b w:val="0"/>
                <w:bCs w:val="0"/>
                <w:sz w:val="21"/>
                <w:szCs w:val="21"/>
              </w:rPr>
              <w:t>★为了观众身体不受蓝光伤害，LED显示屏必须通过蓝光无风险危害检测：蓝光对皮肤和眼睛紫外线危害、宽波段的光源对视网膜危害、蓝光对皮肤表面及角膜和视网膜的曝辐射值检测（需提供由国家权威机构ILAC-MRA、CNAS、CMA认证并出具的检测报告复印件并加盖原厂公章复印件备查）；</w:t>
            </w:r>
          </w:p>
          <w:p w14:paraId="5FB92D92">
            <w:pPr>
              <w:pStyle w:val="14"/>
              <w:spacing w:before="9" w:line="250" w:lineRule="auto"/>
              <w:ind w:left="141" w:right="53" w:hanging="49"/>
              <w:jc w:val="both"/>
              <w:rPr>
                <w:rFonts w:hint="eastAsia"/>
                <w:b w:val="0"/>
                <w:bCs w:val="0"/>
                <w:sz w:val="21"/>
                <w:szCs w:val="21"/>
              </w:rPr>
            </w:pPr>
            <w:r>
              <w:rPr>
                <w:rFonts w:hint="eastAsia"/>
                <w:b w:val="0"/>
                <w:bCs w:val="0"/>
                <w:sz w:val="21"/>
                <w:szCs w:val="21"/>
              </w:rPr>
              <w:t>提供厂家所投产品的建筑业企业资质证书（机电工程施工总承包叁级、钢结构工程专业承包叁级）（生产厂家复印件并加盖公章)</w:t>
            </w:r>
          </w:p>
          <w:p w14:paraId="192C03C8">
            <w:pPr>
              <w:pStyle w:val="14"/>
              <w:spacing w:before="9" w:line="250" w:lineRule="auto"/>
              <w:ind w:left="141" w:right="53" w:hanging="49"/>
              <w:jc w:val="both"/>
              <w:rPr>
                <w:rFonts w:hint="eastAsia"/>
                <w:b w:val="0"/>
                <w:bCs w:val="0"/>
                <w:sz w:val="21"/>
                <w:szCs w:val="21"/>
              </w:rPr>
            </w:pPr>
            <w:r>
              <w:rPr>
                <w:rFonts w:hint="eastAsia"/>
                <w:b w:val="0"/>
                <w:bCs w:val="0"/>
                <w:sz w:val="21"/>
                <w:szCs w:val="21"/>
              </w:rPr>
              <w:t>所投LED显示屏厂家所建立的信用管理体系经审核符合Q/ZYX001-2018标准适用条款的要求，被评为资信等级AAA级单位，获得企业资信等级证书；</w:t>
            </w:r>
          </w:p>
          <w:p w14:paraId="6D259625">
            <w:pPr>
              <w:pStyle w:val="14"/>
              <w:spacing w:before="9" w:line="250" w:lineRule="auto"/>
              <w:ind w:left="141" w:right="53" w:hanging="49"/>
              <w:jc w:val="both"/>
              <w:rPr>
                <w:rFonts w:hint="eastAsia"/>
                <w:b w:val="0"/>
                <w:bCs w:val="0"/>
                <w:sz w:val="21"/>
                <w:szCs w:val="21"/>
              </w:rPr>
            </w:pPr>
            <w:r>
              <w:rPr>
                <w:rFonts w:hint="eastAsia"/>
                <w:b w:val="0"/>
                <w:bCs w:val="0"/>
                <w:sz w:val="21"/>
                <w:szCs w:val="21"/>
              </w:rPr>
              <w:t>因所投LED显示屏厂家凭借优秀品质、产品多样化、创新技术和优质服务塑造出了知名品牌，在采购市场取得不俗业绩，深得政府用户的信赖与好评，被评为“政府优秀采购商”，提供证书复印件并加盖原厂公章；</w:t>
            </w:r>
          </w:p>
          <w:p w14:paraId="0698B86A">
            <w:pPr>
              <w:pStyle w:val="14"/>
              <w:spacing w:before="9" w:line="250" w:lineRule="auto"/>
              <w:ind w:left="141" w:right="53" w:hanging="49"/>
              <w:jc w:val="both"/>
              <w:rPr>
                <w:rFonts w:hint="eastAsia"/>
                <w:b w:val="0"/>
                <w:bCs w:val="0"/>
                <w:sz w:val="21"/>
                <w:szCs w:val="21"/>
              </w:rPr>
            </w:pPr>
            <w:r>
              <w:rPr>
                <w:rFonts w:hint="eastAsia"/>
                <w:b w:val="0"/>
                <w:bCs w:val="0"/>
                <w:sz w:val="21"/>
                <w:szCs w:val="21"/>
              </w:rPr>
              <w:t>提供生产厂家获得中国管理科学研究院行业发展研究所，中国市场学会流通专业委员会，中国行业领先品牌企业推荐活动组委会联合颁发的“新型低功耗高均匀度LED显示屏”证书；</w:t>
            </w:r>
          </w:p>
          <w:p w14:paraId="2728C72E">
            <w:pPr>
              <w:pStyle w:val="14"/>
              <w:spacing w:before="9" w:line="250" w:lineRule="auto"/>
              <w:ind w:left="141" w:right="53" w:hanging="49"/>
              <w:jc w:val="both"/>
              <w:rPr>
                <w:rFonts w:hint="eastAsia"/>
                <w:b w:val="0"/>
                <w:bCs w:val="0"/>
                <w:sz w:val="21"/>
                <w:szCs w:val="21"/>
              </w:rPr>
            </w:pPr>
            <w:r>
              <w:rPr>
                <w:rFonts w:hint="eastAsia"/>
                <w:b w:val="0"/>
                <w:bCs w:val="0"/>
                <w:sz w:val="21"/>
                <w:szCs w:val="21"/>
              </w:rPr>
              <w:t>提供生产厂家获得中国管理科学研究院行业发展研究所，中国市场学会流通专业委员会，中国行业领先品牌企业推荐活动组委会联合颁发的“低灰高亮节能LED显示屏模组”荣誉证书。</w:t>
            </w:r>
          </w:p>
          <w:p w14:paraId="608F75BC">
            <w:pPr>
              <w:pStyle w:val="14"/>
              <w:spacing w:before="9" w:line="250" w:lineRule="auto"/>
              <w:ind w:left="141" w:right="53" w:hanging="49"/>
              <w:jc w:val="both"/>
              <w:rPr>
                <w:rFonts w:hint="eastAsia"/>
                <w:b w:val="0"/>
                <w:bCs w:val="0"/>
                <w:sz w:val="21"/>
                <w:szCs w:val="21"/>
              </w:rPr>
            </w:pPr>
            <w:r>
              <w:rPr>
                <w:rFonts w:hint="eastAsia"/>
                <w:b w:val="0"/>
                <w:bCs w:val="0"/>
                <w:sz w:val="21"/>
                <w:szCs w:val="21"/>
              </w:rPr>
              <w:t xml:space="preserve">所投LED显示屏生产厂家获得安全生产标准化三级企业证书，（生产厂家复印件并加盖公章)； </w:t>
            </w:r>
          </w:p>
          <w:p w14:paraId="2DEC8258">
            <w:pPr>
              <w:pStyle w:val="14"/>
              <w:spacing w:before="9" w:line="250" w:lineRule="auto"/>
              <w:ind w:left="141" w:right="53" w:hanging="49"/>
              <w:jc w:val="both"/>
              <w:rPr>
                <w:rFonts w:hint="eastAsia"/>
                <w:b w:val="0"/>
                <w:bCs w:val="0"/>
                <w:sz w:val="21"/>
                <w:szCs w:val="21"/>
              </w:rPr>
            </w:pPr>
            <w:r>
              <w:rPr>
                <w:rFonts w:hint="eastAsia"/>
                <w:b w:val="0"/>
                <w:bCs w:val="0"/>
                <w:sz w:val="21"/>
                <w:szCs w:val="21"/>
              </w:rPr>
              <w:t>所投LED显示屏生产厂家提供计算机软件著作权登记证书（具有计算机信息显示软件、LED显示屏智能控制系统）（生产厂家复印件并加盖公章）</w:t>
            </w:r>
          </w:p>
          <w:p w14:paraId="58C2FC1B">
            <w:pPr>
              <w:pStyle w:val="14"/>
              <w:spacing w:before="9" w:line="250" w:lineRule="auto"/>
              <w:ind w:left="141" w:right="53" w:hanging="49"/>
              <w:jc w:val="both"/>
              <w:rPr>
                <w:rFonts w:hint="eastAsia"/>
                <w:b w:val="0"/>
                <w:bCs w:val="0"/>
                <w:sz w:val="21"/>
                <w:szCs w:val="21"/>
              </w:rPr>
            </w:pPr>
            <w:r>
              <w:rPr>
                <w:rFonts w:hint="eastAsia"/>
                <w:b w:val="0"/>
                <w:bCs w:val="0"/>
                <w:sz w:val="21"/>
                <w:szCs w:val="21"/>
              </w:rPr>
              <w:t>有害物质过程管理体系认证证书；</w:t>
            </w:r>
          </w:p>
          <w:p w14:paraId="69EEAA10">
            <w:pPr>
              <w:pStyle w:val="14"/>
              <w:spacing w:before="9" w:line="250" w:lineRule="auto"/>
              <w:ind w:left="141" w:right="53" w:hanging="49"/>
              <w:jc w:val="both"/>
              <w:rPr>
                <w:rFonts w:hint="default"/>
                <w:b w:val="0"/>
                <w:bCs w:val="0"/>
                <w:sz w:val="21"/>
                <w:szCs w:val="21"/>
                <w:lang w:val="en-US" w:eastAsia="zh-CN"/>
              </w:rPr>
            </w:pPr>
            <w:r>
              <w:rPr>
                <w:rFonts w:hint="eastAsia"/>
                <w:b w:val="0"/>
                <w:bCs w:val="0"/>
                <w:sz w:val="21"/>
                <w:szCs w:val="21"/>
              </w:rPr>
              <w:t>音视频集成工程企业能力登记贰级；</w:t>
            </w:r>
          </w:p>
        </w:tc>
        <w:tc>
          <w:tcPr>
            <w:tcW w:w="589" w:type="dxa"/>
            <w:vAlign w:val="top"/>
          </w:tcPr>
          <w:p w14:paraId="60CB36DF">
            <w:pPr>
              <w:spacing w:line="251" w:lineRule="auto"/>
              <w:rPr>
                <w:rFonts w:ascii="Arial"/>
                <w:b w:val="0"/>
                <w:bCs w:val="0"/>
                <w:sz w:val="21"/>
                <w:szCs w:val="21"/>
              </w:rPr>
            </w:pPr>
          </w:p>
          <w:p w14:paraId="5AC9E90F">
            <w:pPr>
              <w:spacing w:line="251" w:lineRule="auto"/>
              <w:rPr>
                <w:rFonts w:ascii="Arial"/>
                <w:b w:val="0"/>
                <w:bCs w:val="0"/>
                <w:sz w:val="21"/>
                <w:szCs w:val="21"/>
              </w:rPr>
            </w:pPr>
          </w:p>
          <w:p w14:paraId="51B94C36">
            <w:pPr>
              <w:spacing w:line="251" w:lineRule="auto"/>
              <w:rPr>
                <w:rFonts w:ascii="Arial"/>
                <w:b w:val="0"/>
                <w:bCs w:val="0"/>
                <w:sz w:val="21"/>
                <w:szCs w:val="21"/>
              </w:rPr>
            </w:pPr>
          </w:p>
          <w:p w14:paraId="498F49D9">
            <w:pPr>
              <w:spacing w:line="251" w:lineRule="auto"/>
              <w:rPr>
                <w:rFonts w:ascii="Arial"/>
                <w:b w:val="0"/>
                <w:bCs w:val="0"/>
                <w:sz w:val="21"/>
                <w:szCs w:val="21"/>
              </w:rPr>
            </w:pPr>
          </w:p>
          <w:p w14:paraId="2A42EB6B">
            <w:pPr>
              <w:spacing w:line="251" w:lineRule="auto"/>
              <w:rPr>
                <w:rFonts w:ascii="Arial"/>
                <w:b w:val="0"/>
                <w:bCs w:val="0"/>
                <w:sz w:val="21"/>
                <w:szCs w:val="21"/>
              </w:rPr>
            </w:pPr>
          </w:p>
          <w:p w14:paraId="155317A8">
            <w:pPr>
              <w:spacing w:line="251" w:lineRule="auto"/>
              <w:rPr>
                <w:rFonts w:ascii="Arial"/>
                <w:b w:val="0"/>
                <w:bCs w:val="0"/>
                <w:sz w:val="21"/>
                <w:szCs w:val="21"/>
              </w:rPr>
            </w:pPr>
          </w:p>
          <w:p w14:paraId="10467F9B">
            <w:pPr>
              <w:spacing w:line="251" w:lineRule="auto"/>
              <w:rPr>
                <w:rFonts w:ascii="Arial"/>
                <w:b w:val="0"/>
                <w:bCs w:val="0"/>
                <w:sz w:val="21"/>
                <w:szCs w:val="21"/>
              </w:rPr>
            </w:pPr>
          </w:p>
          <w:p w14:paraId="072110FE">
            <w:pPr>
              <w:spacing w:line="251" w:lineRule="auto"/>
              <w:rPr>
                <w:rFonts w:ascii="Arial"/>
                <w:b w:val="0"/>
                <w:bCs w:val="0"/>
                <w:sz w:val="21"/>
                <w:szCs w:val="21"/>
              </w:rPr>
            </w:pPr>
          </w:p>
          <w:p w14:paraId="08830AF1">
            <w:pPr>
              <w:spacing w:line="252" w:lineRule="auto"/>
              <w:rPr>
                <w:rFonts w:ascii="Arial"/>
                <w:b w:val="0"/>
                <w:bCs w:val="0"/>
                <w:sz w:val="21"/>
                <w:szCs w:val="21"/>
              </w:rPr>
            </w:pPr>
          </w:p>
          <w:p w14:paraId="5D15B7C4">
            <w:pPr>
              <w:spacing w:line="252" w:lineRule="auto"/>
              <w:rPr>
                <w:rFonts w:ascii="Arial"/>
                <w:b w:val="0"/>
                <w:bCs w:val="0"/>
                <w:sz w:val="21"/>
                <w:szCs w:val="21"/>
              </w:rPr>
            </w:pPr>
          </w:p>
          <w:p w14:paraId="459B300F">
            <w:pPr>
              <w:pStyle w:val="14"/>
              <w:spacing w:before="65" w:line="221" w:lineRule="auto"/>
              <w:ind w:left="157"/>
              <w:rPr>
                <w:rFonts w:hint="default" w:eastAsia="宋体"/>
                <w:b w:val="0"/>
                <w:bCs w:val="0"/>
                <w:sz w:val="21"/>
                <w:szCs w:val="21"/>
                <w:lang w:val="en-US" w:eastAsia="zh-CN"/>
              </w:rPr>
            </w:pPr>
            <w:r>
              <w:rPr>
                <w:rFonts w:hint="eastAsia"/>
                <w:b w:val="0"/>
                <w:bCs w:val="0"/>
                <w:spacing w:val="7"/>
                <w:sz w:val="21"/>
                <w:szCs w:val="21"/>
                <w:lang w:val="en-US" w:eastAsia="zh-CN"/>
              </w:rPr>
              <w:t>1台（15.97m</w:t>
            </w:r>
            <w:r>
              <w:rPr>
                <w:rFonts w:hint="eastAsia"/>
                <w:b w:val="0"/>
                <w:bCs w:val="0"/>
                <w:spacing w:val="7"/>
                <w:sz w:val="21"/>
                <w:szCs w:val="21"/>
                <w:vertAlign w:val="superscript"/>
                <w:lang w:val="en-US" w:eastAsia="zh-CN"/>
              </w:rPr>
              <w:t>2</w:t>
            </w:r>
            <w:r>
              <w:rPr>
                <w:rFonts w:hint="eastAsia"/>
                <w:b w:val="0"/>
                <w:bCs w:val="0"/>
                <w:spacing w:val="7"/>
                <w:sz w:val="21"/>
                <w:szCs w:val="21"/>
                <w:lang w:val="en-US" w:eastAsia="zh-CN"/>
              </w:rPr>
              <w:t>）</w:t>
            </w:r>
          </w:p>
        </w:tc>
        <w:tc>
          <w:tcPr>
            <w:tcW w:w="857" w:type="dxa"/>
            <w:vAlign w:val="top"/>
          </w:tcPr>
          <w:p w14:paraId="59BA8600">
            <w:pPr>
              <w:spacing w:line="256" w:lineRule="auto"/>
              <w:rPr>
                <w:rFonts w:ascii="Arial"/>
                <w:b w:val="0"/>
                <w:bCs w:val="0"/>
                <w:sz w:val="21"/>
                <w:szCs w:val="21"/>
              </w:rPr>
            </w:pPr>
          </w:p>
          <w:p w14:paraId="1425A386">
            <w:pPr>
              <w:spacing w:line="256" w:lineRule="auto"/>
              <w:rPr>
                <w:rFonts w:ascii="Arial"/>
                <w:b w:val="0"/>
                <w:bCs w:val="0"/>
                <w:sz w:val="21"/>
                <w:szCs w:val="21"/>
              </w:rPr>
            </w:pPr>
          </w:p>
          <w:p w14:paraId="7C9C51D0">
            <w:pPr>
              <w:spacing w:line="256" w:lineRule="auto"/>
              <w:rPr>
                <w:rFonts w:ascii="Arial"/>
                <w:b w:val="0"/>
                <w:bCs w:val="0"/>
                <w:sz w:val="21"/>
                <w:szCs w:val="21"/>
              </w:rPr>
            </w:pPr>
          </w:p>
          <w:p w14:paraId="7652D009">
            <w:pPr>
              <w:spacing w:line="256" w:lineRule="auto"/>
              <w:rPr>
                <w:rFonts w:ascii="Arial"/>
                <w:b w:val="0"/>
                <w:bCs w:val="0"/>
                <w:sz w:val="21"/>
                <w:szCs w:val="21"/>
              </w:rPr>
            </w:pPr>
          </w:p>
          <w:p w14:paraId="75EACA51">
            <w:pPr>
              <w:spacing w:line="256" w:lineRule="auto"/>
              <w:rPr>
                <w:rFonts w:ascii="Arial"/>
                <w:b w:val="0"/>
                <w:bCs w:val="0"/>
                <w:sz w:val="21"/>
                <w:szCs w:val="21"/>
              </w:rPr>
            </w:pPr>
          </w:p>
          <w:p w14:paraId="69DB23C4">
            <w:pPr>
              <w:spacing w:line="256" w:lineRule="auto"/>
              <w:rPr>
                <w:rFonts w:ascii="Arial"/>
                <w:b w:val="0"/>
                <w:bCs w:val="0"/>
                <w:sz w:val="21"/>
                <w:szCs w:val="21"/>
              </w:rPr>
            </w:pPr>
          </w:p>
          <w:p w14:paraId="69F17413">
            <w:pPr>
              <w:spacing w:line="256" w:lineRule="auto"/>
              <w:rPr>
                <w:rFonts w:ascii="Arial"/>
                <w:b w:val="0"/>
                <w:bCs w:val="0"/>
                <w:sz w:val="21"/>
                <w:szCs w:val="21"/>
              </w:rPr>
            </w:pPr>
          </w:p>
          <w:p w14:paraId="467593CE">
            <w:pPr>
              <w:spacing w:line="256" w:lineRule="auto"/>
              <w:rPr>
                <w:rFonts w:ascii="Arial"/>
                <w:b w:val="0"/>
                <w:bCs w:val="0"/>
                <w:sz w:val="21"/>
                <w:szCs w:val="21"/>
              </w:rPr>
            </w:pPr>
          </w:p>
          <w:p w14:paraId="6DEF13C5">
            <w:pPr>
              <w:spacing w:line="256" w:lineRule="auto"/>
              <w:rPr>
                <w:rFonts w:ascii="Arial"/>
                <w:b w:val="0"/>
                <w:bCs w:val="0"/>
                <w:sz w:val="21"/>
                <w:szCs w:val="21"/>
              </w:rPr>
            </w:pPr>
          </w:p>
          <w:p w14:paraId="5071D540">
            <w:pPr>
              <w:spacing w:line="257" w:lineRule="auto"/>
              <w:rPr>
                <w:rFonts w:ascii="Arial"/>
                <w:b w:val="0"/>
                <w:bCs w:val="0"/>
                <w:sz w:val="21"/>
                <w:szCs w:val="21"/>
              </w:rPr>
            </w:pPr>
          </w:p>
          <w:p w14:paraId="774AAFC2">
            <w:pPr>
              <w:pStyle w:val="14"/>
              <w:spacing w:before="65" w:line="183" w:lineRule="auto"/>
              <w:ind w:left="117"/>
              <w:rPr>
                <w:rFonts w:hint="default" w:eastAsia="宋体"/>
                <w:b w:val="0"/>
                <w:bCs w:val="0"/>
                <w:sz w:val="21"/>
                <w:szCs w:val="21"/>
                <w:lang w:val="en-US" w:eastAsia="zh-CN"/>
              </w:rPr>
            </w:pPr>
            <w:r>
              <w:rPr>
                <w:rFonts w:hint="eastAsia"/>
                <w:b w:val="0"/>
                <w:bCs w:val="0"/>
                <w:sz w:val="21"/>
                <w:szCs w:val="21"/>
                <w:lang w:val="en-US" w:eastAsia="zh-CN"/>
              </w:rPr>
              <w:t>100000</w:t>
            </w:r>
          </w:p>
        </w:tc>
        <w:tc>
          <w:tcPr>
            <w:tcW w:w="964" w:type="dxa"/>
            <w:vAlign w:val="top"/>
          </w:tcPr>
          <w:p w14:paraId="4FBC88BD">
            <w:pPr>
              <w:spacing w:line="256" w:lineRule="auto"/>
              <w:rPr>
                <w:rFonts w:ascii="Arial"/>
                <w:b w:val="0"/>
                <w:bCs w:val="0"/>
                <w:sz w:val="21"/>
                <w:szCs w:val="21"/>
              </w:rPr>
            </w:pPr>
          </w:p>
          <w:p w14:paraId="685A4A48">
            <w:pPr>
              <w:spacing w:line="256" w:lineRule="auto"/>
              <w:rPr>
                <w:rFonts w:ascii="Arial"/>
                <w:b w:val="0"/>
                <w:bCs w:val="0"/>
                <w:sz w:val="21"/>
                <w:szCs w:val="21"/>
              </w:rPr>
            </w:pPr>
          </w:p>
          <w:p w14:paraId="2121AA4D">
            <w:pPr>
              <w:spacing w:line="256" w:lineRule="auto"/>
              <w:rPr>
                <w:rFonts w:ascii="Arial"/>
                <w:b w:val="0"/>
                <w:bCs w:val="0"/>
                <w:sz w:val="21"/>
                <w:szCs w:val="21"/>
              </w:rPr>
            </w:pPr>
          </w:p>
          <w:p w14:paraId="057CDDC8">
            <w:pPr>
              <w:spacing w:line="256" w:lineRule="auto"/>
              <w:rPr>
                <w:rFonts w:ascii="Arial"/>
                <w:b w:val="0"/>
                <w:bCs w:val="0"/>
                <w:sz w:val="21"/>
                <w:szCs w:val="21"/>
              </w:rPr>
            </w:pPr>
          </w:p>
          <w:p w14:paraId="617547D3">
            <w:pPr>
              <w:spacing w:line="256" w:lineRule="auto"/>
              <w:rPr>
                <w:rFonts w:ascii="Arial"/>
                <w:b w:val="0"/>
                <w:bCs w:val="0"/>
                <w:sz w:val="21"/>
                <w:szCs w:val="21"/>
              </w:rPr>
            </w:pPr>
          </w:p>
          <w:p w14:paraId="5FC4E2B8">
            <w:pPr>
              <w:spacing w:line="256" w:lineRule="auto"/>
              <w:rPr>
                <w:rFonts w:ascii="Arial"/>
                <w:b w:val="0"/>
                <w:bCs w:val="0"/>
                <w:sz w:val="21"/>
                <w:szCs w:val="21"/>
              </w:rPr>
            </w:pPr>
          </w:p>
          <w:p w14:paraId="7925259E">
            <w:pPr>
              <w:spacing w:line="256" w:lineRule="auto"/>
              <w:rPr>
                <w:rFonts w:ascii="Arial"/>
                <w:b w:val="0"/>
                <w:bCs w:val="0"/>
                <w:sz w:val="21"/>
                <w:szCs w:val="21"/>
              </w:rPr>
            </w:pPr>
          </w:p>
          <w:p w14:paraId="6FEF5B30">
            <w:pPr>
              <w:spacing w:line="256" w:lineRule="auto"/>
              <w:rPr>
                <w:rFonts w:ascii="Arial"/>
                <w:b w:val="0"/>
                <w:bCs w:val="0"/>
                <w:sz w:val="21"/>
                <w:szCs w:val="21"/>
              </w:rPr>
            </w:pPr>
          </w:p>
          <w:p w14:paraId="7C98A69F">
            <w:pPr>
              <w:spacing w:line="256" w:lineRule="auto"/>
              <w:rPr>
                <w:rFonts w:ascii="Arial"/>
                <w:b w:val="0"/>
                <w:bCs w:val="0"/>
                <w:sz w:val="21"/>
                <w:szCs w:val="21"/>
              </w:rPr>
            </w:pPr>
          </w:p>
          <w:p w14:paraId="5EFC27DF">
            <w:pPr>
              <w:spacing w:line="257" w:lineRule="auto"/>
              <w:rPr>
                <w:rFonts w:ascii="Arial"/>
                <w:b w:val="0"/>
                <w:bCs w:val="0"/>
                <w:sz w:val="21"/>
                <w:szCs w:val="21"/>
              </w:rPr>
            </w:pPr>
          </w:p>
          <w:p w14:paraId="4D07D50C">
            <w:pPr>
              <w:pStyle w:val="14"/>
              <w:spacing w:before="65" w:line="183" w:lineRule="auto"/>
              <w:ind w:left="128"/>
              <w:rPr>
                <w:rFonts w:hint="default" w:eastAsia="宋体"/>
                <w:b w:val="0"/>
                <w:bCs w:val="0"/>
                <w:sz w:val="21"/>
                <w:szCs w:val="21"/>
                <w:lang w:val="en-US" w:eastAsia="zh-CN"/>
              </w:rPr>
            </w:pPr>
            <w:r>
              <w:rPr>
                <w:rFonts w:hint="eastAsia"/>
                <w:b w:val="0"/>
                <w:bCs w:val="0"/>
                <w:sz w:val="21"/>
                <w:szCs w:val="21"/>
                <w:lang w:val="en-US" w:eastAsia="zh-CN"/>
              </w:rPr>
              <w:t>100000</w:t>
            </w:r>
          </w:p>
        </w:tc>
        <w:tc>
          <w:tcPr>
            <w:tcW w:w="964" w:type="dxa"/>
            <w:vAlign w:val="top"/>
          </w:tcPr>
          <w:p w14:paraId="100DC7C1">
            <w:pPr>
              <w:pStyle w:val="14"/>
              <w:spacing w:before="65" w:line="183" w:lineRule="auto"/>
              <w:ind w:left="128"/>
              <w:rPr>
                <w:rFonts w:hint="eastAsia"/>
                <w:b w:val="0"/>
                <w:bCs w:val="0"/>
                <w:sz w:val="21"/>
                <w:szCs w:val="21"/>
                <w:lang w:val="en-US" w:eastAsia="zh-CN"/>
              </w:rPr>
            </w:pPr>
          </w:p>
        </w:tc>
      </w:tr>
      <w:tr w14:paraId="3ECC6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5" w:hRule="atLeast"/>
        </w:trPr>
        <w:tc>
          <w:tcPr>
            <w:tcW w:w="644" w:type="dxa"/>
            <w:vAlign w:val="top"/>
          </w:tcPr>
          <w:p w14:paraId="0D68ED7B">
            <w:pPr>
              <w:pStyle w:val="14"/>
              <w:spacing w:before="65" w:line="183" w:lineRule="auto"/>
              <w:ind w:left="114"/>
              <w:rPr>
                <w:b w:val="0"/>
                <w:bCs w:val="0"/>
                <w:sz w:val="21"/>
                <w:szCs w:val="21"/>
              </w:rPr>
            </w:pPr>
          </w:p>
        </w:tc>
        <w:tc>
          <w:tcPr>
            <w:tcW w:w="832" w:type="dxa"/>
            <w:vAlign w:val="top"/>
          </w:tcPr>
          <w:p w14:paraId="2C042AAE">
            <w:pPr>
              <w:pStyle w:val="14"/>
              <w:spacing w:before="65" w:line="262" w:lineRule="auto"/>
              <w:ind w:left="111" w:firstLine="18"/>
              <w:rPr>
                <w:rFonts w:hint="eastAsia"/>
                <w:b w:val="0"/>
                <w:bCs w:val="0"/>
                <w:sz w:val="21"/>
                <w:szCs w:val="21"/>
                <w:lang w:val="en-US" w:eastAsia="zh-CN"/>
              </w:rPr>
            </w:pPr>
          </w:p>
        </w:tc>
        <w:tc>
          <w:tcPr>
            <w:tcW w:w="6825" w:type="dxa"/>
            <w:vAlign w:val="top"/>
          </w:tcPr>
          <w:p w14:paraId="372CDE10">
            <w:pPr>
              <w:pStyle w:val="14"/>
              <w:spacing w:before="9" w:line="250" w:lineRule="auto"/>
              <w:ind w:left="141" w:right="53" w:hanging="49"/>
              <w:jc w:val="both"/>
              <w:rPr>
                <w:rFonts w:hint="eastAsia"/>
                <w:b w:val="0"/>
                <w:bCs w:val="0"/>
                <w:sz w:val="21"/>
                <w:szCs w:val="21"/>
              </w:rPr>
            </w:pPr>
            <w:r>
              <w:rPr>
                <w:rFonts w:hint="eastAsia"/>
                <w:b w:val="0"/>
                <w:bCs w:val="0"/>
                <w:sz w:val="21"/>
                <w:szCs w:val="21"/>
              </w:rPr>
              <w:t>1、单卡16个标准HUB75E接口，输出32组RGB数据。</w:t>
            </w:r>
          </w:p>
          <w:p w14:paraId="365D61EF">
            <w:pPr>
              <w:pStyle w:val="14"/>
              <w:spacing w:before="9" w:line="250" w:lineRule="auto"/>
              <w:ind w:left="141" w:right="53" w:hanging="49"/>
              <w:jc w:val="both"/>
              <w:rPr>
                <w:rFonts w:hint="eastAsia"/>
                <w:b w:val="0"/>
                <w:bCs w:val="0"/>
                <w:sz w:val="21"/>
                <w:szCs w:val="21"/>
              </w:rPr>
            </w:pPr>
            <w:r>
              <w:rPr>
                <w:rFonts w:hint="eastAsia"/>
                <w:b w:val="0"/>
                <w:bCs w:val="0"/>
                <w:sz w:val="21"/>
                <w:szCs w:val="21"/>
              </w:rPr>
              <w:t>★2、支持向导式设置，用户根据软件提示即可完成操作，便于完成模组的点亮。（需提供带有CNAS、ilac-MRA、CMA标识的检测报告）</w:t>
            </w:r>
          </w:p>
          <w:p w14:paraId="41CE0463">
            <w:pPr>
              <w:pStyle w:val="14"/>
              <w:spacing w:before="9" w:line="250" w:lineRule="auto"/>
              <w:ind w:left="141" w:right="53" w:hanging="49"/>
              <w:jc w:val="both"/>
              <w:rPr>
                <w:rFonts w:hint="eastAsia"/>
                <w:b w:val="0"/>
                <w:bCs w:val="0"/>
                <w:sz w:val="21"/>
                <w:szCs w:val="21"/>
              </w:rPr>
            </w:pPr>
            <w:r>
              <w:rPr>
                <w:rFonts w:hint="eastAsia"/>
                <w:b w:val="0"/>
                <w:bCs w:val="0"/>
                <w:sz w:val="21"/>
                <w:szCs w:val="21"/>
              </w:rPr>
              <w:t>★3、发送端到显示端延迟低至一帧，避免系统延迟导致的画面不同步问题。（需提供带有CNAS、ilac-MRA、CMA标识的检测报告）</w:t>
            </w:r>
          </w:p>
          <w:p w14:paraId="74F767E6">
            <w:pPr>
              <w:pStyle w:val="14"/>
              <w:spacing w:before="9" w:line="250" w:lineRule="auto"/>
              <w:ind w:left="141" w:right="53" w:hanging="49"/>
              <w:jc w:val="both"/>
              <w:rPr>
                <w:rFonts w:hint="eastAsia"/>
                <w:b w:val="0"/>
                <w:bCs w:val="0"/>
                <w:sz w:val="21"/>
                <w:szCs w:val="21"/>
              </w:rPr>
            </w:pPr>
            <w:r>
              <w:rPr>
                <w:rFonts w:hint="eastAsia"/>
                <w:b w:val="0"/>
                <w:bCs w:val="0"/>
                <w:sz w:val="21"/>
                <w:szCs w:val="21"/>
              </w:rPr>
              <w:t>4、为保障屏幕色彩一致性，支持亮度、色度逐点校正，提供校正低灰补偿，保障低灰显示效果。</w:t>
            </w:r>
          </w:p>
          <w:p w14:paraId="3CA7396A">
            <w:pPr>
              <w:pStyle w:val="14"/>
              <w:spacing w:before="9" w:line="250" w:lineRule="auto"/>
              <w:ind w:left="141" w:right="53" w:hanging="49"/>
              <w:jc w:val="both"/>
              <w:rPr>
                <w:rFonts w:hint="eastAsia"/>
                <w:b w:val="0"/>
                <w:bCs w:val="0"/>
                <w:sz w:val="21"/>
                <w:szCs w:val="21"/>
              </w:rPr>
            </w:pPr>
            <w:r>
              <w:rPr>
                <w:rFonts w:hint="eastAsia"/>
                <w:b w:val="0"/>
                <w:bCs w:val="0"/>
                <w:sz w:val="21"/>
                <w:szCs w:val="21"/>
              </w:rPr>
              <w:t>5、支持一键修缝功能，可消除显示单元间的亮暗线，且不影响原始校正系数。</w:t>
            </w:r>
          </w:p>
          <w:p w14:paraId="6DFDAF15">
            <w:pPr>
              <w:pStyle w:val="14"/>
              <w:spacing w:before="9" w:line="250" w:lineRule="auto"/>
              <w:ind w:left="141" w:right="53" w:hanging="49"/>
              <w:jc w:val="both"/>
              <w:rPr>
                <w:rFonts w:hint="eastAsia"/>
                <w:b w:val="0"/>
                <w:bCs w:val="0"/>
                <w:sz w:val="21"/>
                <w:szCs w:val="21"/>
              </w:rPr>
            </w:pPr>
            <w:r>
              <w:rPr>
                <w:rFonts w:hint="eastAsia"/>
                <w:b w:val="0"/>
                <w:bCs w:val="0"/>
                <w:sz w:val="21"/>
                <w:szCs w:val="21"/>
              </w:rPr>
              <w:t>6、支持静态屏到128扫之间的任意扫描类型。</w:t>
            </w:r>
          </w:p>
          <w:p w14:paraId="61AD6E27">
            <w:pPr>
              <w:pStyle w:val="14"/>
              <w:spacing w:before="9" w:line="250" w:lineRule="auto"/>
              <w:ind w:left="141" w:right="53" w:hanging="49"/>
              <w:jc w:val="both"/>
              <w:rPr>
                <w:rFonts w:hint="eastAsia"/>
                <w:b w:val="0"/>
                <w:bCs w:val="0"/>
                <w:sz w:val="21"/>
                <w:szCs w:val="21"/>
              </w:rPr>
            </w:pPr>
            <w:r>
              <w:rPr>
                <w:rFonts w:hint="eastAsia"/>
                <w:b w:val="0"/>
                <w:bCs w:val="0"/>
                <w:sz w:val="21"/>
                <w:szCs w:val="21"/>
              </w:rPr>
              <w:t>★7、为方便调试与维护，产品应支持智能串线功能，无需了解接收卡串线顺序，用户可根据屏幕闪烁提示，在软件上完成映射设置。（需提供带有CNAS、ilac-MRA、CMA标识的检测报告）</w:t>
            </w:r>
          </w:p>
          <w:p w14:paraId="01F25CAC">
            <w:pPr>
              <w:pStyle w:val="14"/>
              <w:spacing w:before="9" w:line="250" w:lineRule="auto"/>
              <w:ind w:left="141" w:right="53" w:hanging="49"/>
              <w:jc w:val="both"/>
              <w:rPr>
                <w:rFonts w:hint="eastAsia"/>
                <w:b w:val="0"/>
                <w:bCs w:val="0"/>
                <w:sz w:val="21"/>
                <w:szCs w:val="21"/>
              </w:rPr>
            </w:pPr>
            <w:r>
              <w:rPr>
                <w:rFonts w:hint="eastAsia"/>
                <w:b w:val="0"/>
                <w:bCs w:val="0"/>
                <w:sz w:val="21"/>
                <w:szCs w:val="21"/>
              </w:rPr>
              <w:t>8、支持抽点显示与数据偏移，可完成异形屏带载，搭配专用异形发送设备时还可实现高保真图像变形显示，在异形屏幕上播放普通素材时有效避免内容缺失。</w:t>
            </w:r>
          </w:p>
          <w:p w14:paraId="5D76A457">
            <w:pPr>
              <w:pStyle w:val="14"/>
              <w:spacing w:before="9" w:line="250" w:lineRule="auto"/>
              <w:ind w:left="141" w:right="53" w:hanging="49"/>
              <w:jc w:val="both"/>
              <w:rPr>
                <w:rFonts w:hint="eastAsia"/>
                <w:b w:val="0"/>
                <w:bCs w:val="0"/>
                <w:sz w:val="21"/>
                <w:szCs w:val="21"/>
              </w:rPr>
            </w:pPr>
            <w:r>
              <w:rPr>
                <w:rFonts w:hint="eastAsia"/>
                <w:b w:val="0"/>
                <w:bCs w:val="0"/>
                <w:sz w:val="21"/>
                <w:szCs w:val="21"/>
              </w:rPr>
              <w:t>★9、支持一键回读与修复，维护更换卡时无需对其重新调试，可一键回读所有配置文件信息从而快速恢复参数设置。（需提供带有CNAS、ilac-MRA、CMA标识的检测报告）</w:t>
            </w:r>
          </w:p>
          <w:p w14:paraId="6AAE425D">
            <w:pPr>
              <w:pStyle w:val="14"/>
              <w:spacing w:before="9" w:line="250" w:lineRule="auto"/>
              <w:ind w:left="141" w:right="53" w:hanging="49"/>
              <w:jc w:val="both"/>
              <w:rPr>
                <w:rFonts w:hint="eastAsia"/>
                <w:b w:val="0"/>
                <w:bCs w:val="0"/>
                <w:sz w:val="21"/>
                <w:szCs w:val="21"/>
              </w:rPr>
            </w:pPr>
            <w:r>
              <w:rPr>
                <w:rFonts w:hint="eastAsia"/>
                <w:b w:val="0"/>
                <w:bCs w:val="0"/>
                <w:sz w:val="21"/>
                <w:szCs w:val="21"/>
              </w:rPr>
              <w:t>★10、为方便调试与维护，产品系统可通过智能识别待连接的显示屏照片的方式快速显示屏连接设置时。（需提供带有CNAS、ilac-MRA、CMA标识的检测报告）</w:t>
            </w:r>
          </w:p>
          <w:p w14:paraId="7AD5D1F9">
            <w:pPr>
              <w:pStyle w:val="14"/>
              <w:spacing w:before="9" w:line="250" w:lineRule="auto"/>
              <w:ind w:left="141" w:right="53" w:hanging="49"/>
              <w:jc w:val="both"/>
              <w:rPr>
                <w:rFonts w:hint="eastAsia"/>
                <w:b w:val="0"/>
                <w:bCs w:val="0"/>
                <w:sz w:val="21"/>
                <w:szCs w:val="21"/>
              </w:rPr>
            </w:pPr>
            <w:r>
              <w:rPr>
                <w:rFonts w:hint="eastAsia"/>
                <w:b w:val="0"/>
                <w:bCs w:val="0"/>
                <w:sz w:val="21"/>
                <w:szCs w:val="21"/>
              </w:rPr>
              <w:t>11、可对产品网络通信状态进行实时检测，反馈数据包总数、错误包数及网线连接顺序、在线接收卡数量等数据。</w:t>
            </w:r>
          </w:p>
          <w:p w14:paraId="376C9980">
            <w:pPr>
              <w:pStyle w:val="14"/>
              <w:spacing w:before="9" w:line="250" w:lineRule="auto"/>
              <w:ind w:left="141" w:right="53" w:hanging="49"/>
              <w:jc w:val="both"/>
              <w:rPr>
                <w:rFonts w:hint="eastAsia"/>
                <w:b w:val="0"/>
                <w:bCs w:val="0"/>
                <w:sz w:val="21"/>
                <w:szCs w:val="21"/>
              </w:rPr>
            </w:pPr>
            <w:r>
              <w:rPr>
                <w:rFonts w:hint="eastAsia"/>
                <w:b w:val="0"/>
                <w:bCs w:val="0"/>
                <w:sz w:val="21"/>
                <w:szCs w:val="21"/>
              </w:rPr>
              <w:t>12、支持接收卡网口备份功能，备份状态下，接收卡网络数据为双向传输，保障显示屏播出正常。</w:t>
            </w:r>
          </w:p>
          <w:p w14:paraId="3D1CD2F1">
            <w:pPr>
              <w:pStyle w:val="14"/>
              <w:spacing w:before="9" w:line="250" w:lineRule="auto"/>
              <w:ind w:left="141" w:right="53" w:hanging="49"/>
              <w:jc w:val="both"/>
              <w:rPr>
                <w:rFonts w:hint="eastAsia"/>
                <w:b w:val="0"/>
                <w:bCs w:val="0"/>
                <w:sz w:val="21"/>
                <w:szCs w:val="21"/>
              </w:rPr>
            </w:pPr>
            <w:r>
              <w:rPr>
                <w:rFonts w:hint="eastAsia"/>
                <w:b w:val="0"/>
                <w:bCs w:val="0"/>
                <w:sz w:val="21"/>
                <w:szCs w:val="21"/>
              </w:rPr>
              <w:t>★13、支持程序升级断电保护功能，保证产品后续升级的安全性。（需提供带有CNAS、ilac-MRA、CMA标识的检测报告）</w:t>
            </w:r>
          </w:p>
          <w:p w14:paraId="6C388C01">
            <w:pPr>
              <w:pStyle w:val="14"/>
              <w:spacing w:before="9" w:line="250" w:lineRule="auto"/>
              <w:ind w:left="141" w:right="53" w:hanging="49"/>
              <w:jc w:val="both"/>
              <w:rPr>
                <w:rFonts w:hint="eastAsia"/>
                <w:b w:val="0"/>
                <w:bCs w:val="0"/>
                <w:sz w:val="21"/>
                <w:szCs w:val="21"/>
              </w:rPr>
            </w:pPr>
            <w:r>
              <w:rPr>
                <w:rFonts w:hint="eastAsia"/>
                <w:b w:val="0"/>
                <w:bCs w:val="0"/>
                <w:sz w:val="21"/>
                <w:szCs w:val="21"/>
              </w:rPr>
              <w:t>★14、为保障显示效果，接收卡的亮度有效率与刷新率、灰度等级相对独立，可单独对亮度有效率进行调节而不引起其他两项参数变化。（需提供带有CNAS、ilac-MRA、CMA标识的检测报告）</w:t>
            </w:r>
          </w:p>
          <w:p w14:paraId="03FB0B36">
            <w:pPr>
              <w:pStyle w:val="14"/>
              <w:spacing w:before="9" w:line="250" w:lineRule="auto"/>
              <w:ind w:left="141" w:right="53" w:hanging="49"/>
              <w:jc w:val="both"/>
              <w:rPr>
                <w:rFonts w:hint="eastAsia"/>
                <w:b w:val="0"/>
                <w:bCs w:val="0"/>
                <w:sz w:val="21"/>
                <w:szCs w:val="21"/>
              </w:rPr>
            </w:pPr>
            <w:r>
              <w:rPr>
                <w:rFonts w:hint="eastAsia"/>
                <w:b w:val="0"/>
                <w:bCs w:val="0"/>
                <w:sz w:val="21"/>
                <w:szCs w:val="21"/>
              </w:rPr>
              <w:t>15、为保证产品使用安全，产品具备抗电击及能量危险防护特性。</w:t>
            </w:r>
          </w:p>
          <w:p w14:paraId="61F2497B">
            <w:pPr>
              <w:pStyle w:val="14"/>
              <w:spacing w:before="9" w:line="250" w:lineRule="auto"/>
              <w:ind w:left="141" w:right="53" w:hanging="49"/>
              <w:jc w:val="both"/>
              <w:rPr>
                <w:rFonts w:hint="eastAsia"/>
                <w:b w:val="0"/>
                <w:bCs w:val="0"/>
                <w:sz w:val="21"/>
                <w:szCs w:val="21"/>
              </w:rPr>
            </w:pPr>
            <w:r>
              <w:rPr>
                <w:rFonts w:hint="eastAsia"/>
                <w:b w:val="0"/>
                <w:bCs w:val="0"/>
                <w:sz w:val="21"/>
                <w:szCs w:val="21"/>
              </w:rPr>
              <w:t>★16、具备色彩还原技术，能够针对LED屏显示特性，真实地展现图像原本色彩。（需提供带有CNAS、ilac-MRA、CMA标识的检测报告）</w:t>
            </w:r>
          </w:p>
          <w:p w14:paraId="64CB7B12">
            <w:pPr>
              <w:pStyle w:val="14"/>
              <w:spacing w:before="9" w:line="250" w:lineRule="auto"/>
              <w:ind w:left="141" w:right="53" w:hanging="49"/>
              <w:jc w:val="both"/>
              <w:rPr>
                <w:rFonts w:hint="eastAsia"/>
                <w:b w:val="0"/>
                <w:bCs w:val="0"/>
                <w:sz w:val="21"/>
                <w:szCs w:val="21"/>
              </w:rPr>
            </w:pPr>
            <w:r>
              <w:rPr>
                <w:rFonts w:hint="eastAsia"/>
                <w:b w:val="0"/>
                <w:bCs w:val="0"/>
                <w:sz w:val="21"/>
                <w:szCs w:val="21"/>
              </w:rPr>
              <w:t>★17、支持任意倍频技术，能够有效消除手机拍摄时出现的扫描线。（需提供带有CNAS、ilac-MRA、CMA标识的检测报告）</w:t>
            </w:r>
          </w:p>
          <w:p w14:paraId="1F33D2BE">
            <w:pPr>
              <w:pStyle w:val="14"/>
              <w:spacing w:before="9" w:line="250" w:lineRule="auto"/>
              <w:ind w:left="141" w:right="53" w:hanging="49"/>
              <w:jc w:val="both"/>
              <w:rPr>
                <w:rFonts w:hint="eastAsia"/>
                <w:b w:val="0"/>
                <w:bCs w:val="0"/>
                <w:sz w:val="21"/>
                <w:szCs w:val="21"/>
              </w:rPr>
            </w:pPr>
            <w:r>
              <w:rPr>
                <w:rFonts w:hint="eastAsia"/>
                <w:b w:val="0"/>
                <w:bCs w:val="0"/>
                <w:sz w:val="21"/>
                <w:szCs w:val="21"/>
              </w:rPr>
              <w:t>18、支持3D显示功能，配合3D发送控制器或3D图像处理器可使屏幕具备3D显示效果。</w:t>
            </w:r>
          </w:p>
          <w:p w14:paraId="3F6DBBCB">
            <w:pPr>
              <w:pStyle w:val="14"/>
              <w:spacing w:before="9" w:line="250" w:lineRule="auto"/>
              <w:ind w:left="141" w:right="53" w:hanging="49"/>
              <w:jc w:val="both"/>
              <w:rPr>
                <w:rFonts w:hint="eastAsia"/>
                <w:b w:val="0"/>
                <w:bCs w:val="0"/>
                <w:sz w:val="21"/>
                <w:szCs w:val="21"/>
              </w:rPr>
            </w:pPr>
            <w:r>
              <w:rPr>
                <w:rFonts w:hint="eastAsia"/>
                <w:b w:val="0"/>
                <w:bCs w:val="0"/>
                <w:sz w:val="21"/>
                <w:szCs w:val="21"/>
              </w:rPr>
              <w:t>19、为保证显示效果，接收卡的亮度有效率与刷新率、灰度等级相对独立，可单独对亮度有效率进行调节而不引起其他两项参数变化。</w:t>
            </w:r>
          </w:p>
          <w:p w14:paraId="064C822E">
            <w:pPr>
              <w:pStyle w:val="14"/>
              <w:spacing w:before="9" w:line="250" w:lineRule="auto"/>
              <w:ind w:left="141" w:right="53" w:hanging="49"/>
              <w:jc w:val="both"/>
              <w:rPr>
                <w:rFonts w:hint="eastAsia"/>
                <w:b w:val="0"/>
                <w:bCs w:val="0"/>
                <w:sz w:val="21"/>
                <w:szCs w:val="21"/>
              </w:rPr>
            </w:pPr>
            <w:r>
              <w:rPr>
                <w:rFonts w:hint="eastAsia"/>
                <w:b w:val="0"/>
                <w:bCs w:val="0"/>
                <w:sz w:val="21"/>
                <w:szCs w:val="21"/>
              </w:rPr>
              <w:t>★20、为保障产品使用安全，产品应具备电源反接保护电路，防范电源反接伤害。（需提供带有CNAS、ilac-MRA、CMA标识的检测报告）</w:t>
            </w:r>
          </w:p>
          <w:p w14:paraId="0FE9D98A">
            <w:pPr>
              <w:pStyle w:val="14"/>
              <w:spacing w:before="9" w:line="250" w:lineRule="auto"/>
              <w:ind w:left="141" w:right="53" w:hanging="49"/>
              <w:jc w:val="both"/>
              <w:rPr>
                <w:rFonts w:hint="eastAsia"/>
                <w:b w:val="0"/>
                <w:bCs w:val="0"/>
                <w:sz w:val="21"/>
                <w:szCs w:val="21"/>
              </w:rPr>
            </w:pPr>
            <w:r>
              <w:rPr>
                <w:rFonts w:hint="eastAsia"/>
                <w:b w:val="0"/>
                <w:bCs w:val="0"/>
                <w:sz w:val="21"/>
                <w:szCs w:val="21"/>
              </w:rPr>
              <w:t>21、为保障系统信息安全，本产品核心运算芯片采用高性能国产芯片。</w:t>
            </w:r>
          </w:p>
          <w:p w14:paraId="097D6E22">
            <w:pPr>
              <w:pStyle w:val="14"/>
              <w:spacing w:before="9" w:line="250" w:lineRule="auto"/>
              <w:ind w:left="141" w:right="53" w:hanging="49"/>
              <w:jc w:val="both"/>
              <w:rPr>
                <w:rFonts w:hint="eastAsia"/>
                <w:b w:val="0"/>
                <w:bCs w:val="0"/>
                <w:sz w:val="21"/>
                <w:szCs w:val="21"/>
              </w:rPr>
            </w:pPr>
            <w:r>
              <w:rPr>
                <w:rFonts w:hint="eastAsia"/>
                <w:b w:val="0"/>
                <w:bCs w:val="0"/>
                <w:sz w:val="21"/>
                <w:szCs w:val="21"/>
              </w:rPr>
              <w:t>★22、可配合发送端设备对图像进行实时处理，使得显示屏在播放普通SDR图像素材时可以实现HDR显示效果。（需提供带有CNAS、ilac-MRA、CMA标识的检测报告）</w:t>
            </w:r>
          </w:p>
          <w:p w14:paraId="38700DBC">
            <w:pPr>
              <w:pStyle w:val="14"/>
              <w:spacing w:before="9" w:line="250" w:lineRule="auto"/>
              <w:ind w:left="141" w:right="53" w:hanging="49"/>
              <w:jc w:val="both"/>
              <w:rPr>
                <w:rFonts w:hint="eastAsia"/>
                <w:b w:val="0"/>
                <w:bCs w:val="0"/>
                <w:sz w:val="21"/>
                <w:szCs w:val="21"/>
              </w:rPr>
            </w:pPr>
            <w:r>
              <w:rPr>
                <w:rFonts w:hint="eastAsia"/>
                <w:b w:val="0"/>
                <w:bCs w:val="0"/>
                <w:sz w:val="21"/>
                <w:szCs w:val="21"/>
              </w:rPr>
              <w:t>★23、为便于后期维护，产品支持数据组交换，可修改HUB接口数据组交换，并固化到接收卡中。（需提供带有CNAS、ilac-MRA、CMA标识的检测报告）</w:t>
            </w:r>
          </w:p>
          <w:p w14:paraId="72C0EB7B">
            <w:pPr>
              <w:pStyle w:val="14"/>
              <w:spacing w:before="9" w:line="250" w:lineRule="auto"/>
              <w:ind w:left="141" w:right="53" w:hanging="49"/>
              <w:jc w:val="both"/>
              <w:rPr>
                <w:rFonts w:hint="eastAsia"/>
                <w:b w:val="0"/>
                <w:bCs w:val="0"/>
                <w:sz w:val="21"/>
                <w:szCs w:val="21"/>
              </w:rPr>
            </w:pPr>
            <w:r>
              <w:rPr>
                <w:rFonts w:hint="eastAsia"/>
                <w:b w:val="0"/>
                <w:bCs w:val="0"/>
                <w:sz w:val="21"/>
                <w:szCs w:val="21"/>
              </w:rPr>
              <w:t>24、支持旋转接收卡画面，实现90度、180度、270度、镜像画面显示。</w:t>
            </w:r>
          </w:p>
          <w:p w14:paraId="133D8174">
            <w:pPr>
              <w:pStyle w:val="14"/>
              <w:spacing w:before="9" w:line="250" w:lineRule="auto"/>
              <w:ind w:left="141" w:right="53" w:hanging="49"/>
              <w:jc w:val="both"/>
              <w:rPr>
                <w:rFonts w:hint="eastAsia"/>
                <w:b w:val="0"/>
                <w:bCs w:val="0"/>
                <w:sz w:val="21"/>
                <w:szCs w:val="21"/>
              </w:rPr>
            </w:pPr>
            <w:r>
              <w:rPr>
                <w:rFonts w:hint="eastAsia"/>
                <w:b w:val="0"/>
                <w:bCs w:val="0"/>
                <w:sz w:val="21"/>
                <w:szCs w:val="21"/>
              </w:rPr>
              <w:t>25、支持通过按钮进入测试模板，用于模组显示测试。</w:t>
            </w:r>
          </w:p>
          <w:p w14:paraId="1AE468EF">
            <w:pPr>
              <w:pStyle w:val="14"/>
              <w:spacing w:before="9" w:line="250" w:lineRule="auto"/>
              <w:ind w:left="141" w:right="53" w:hanging="49"/>
              <w:jc w:val="both"/>
              <w:rPr>
                <w:rFonts w:hint="eastAsia"/>
                <w:b w:val="0"/>
                <w:bCs w:val="0"/>
                <w:sz w:val="21"/>
                <w:szCs w:val="21"/>
              </w:rPr>
            </w:pPr>
            <w:r>
              <w:rPr>
                <w:rFonts w:hint="eastAsia"/>
                <w:b w:val="0"/>
                <w:bCs w:val="0"/>
                <w:sz w:val="21"/>
                <w:szCs w:val="21"/>
              </w:rPr>
              <w:t xml:space="preserve">★26、序列化升级：支持编辑需要升级的接收卡序列，便于多类型接收卡统一升级维护。（需提供带有CNAS、ilac-MRA、CMA标识的检测报告） </w:t>
            </w:r>
          </w:p>
          <w:p w14:paraId="3A799177">
            <w:pPr>
              <w:pStyle w:val="14"/>
              <w:spacing w:before="9" w:line="250" w:lineRule="auto"/>
              <w:ind w:left="141" w:right="53" w:hanging="49"/>
              <w:jc w:val="both"/>
              <w:rPr>
                <w:rFonts w:hint="eastAsia"/>
                <w:b w:val="0"/>
                <w:bCs w:val="0"/>
                <w:sz w:val="21"/>
                <w:szCs w:val="21"/>
              </w:rPr>
            </w:pPr>
            <w:r>
              <w:rPr>
                <w:rFonts w:hint="eastAsia"/>
                <w:b w:val="0"/>
                <w:bCs w:val="0"/>
                <w:sz w:val="21"/>
                <w:szCs w:val="21"/>
              </w:rPr>
              <w:t>27、可提供LED控制系统计算机软件著作权登记证书。</w:t>
            </w:r>
          </w:p>
          <w:p w14:paraId="7CD614FD">
            <w:pPr>
              <w:pStyle w:val="14"/>
              <w:spacing w:before="9" w:line="250" w:lineRule="auto"/>
              <w:ind w:left="141" w:right="53" w:hanging="49"/>
              <w:jc w:val="both"/>
              <w:rPr>
                <w:rFonts w:hint="eastAsia"/>
                <w:b w:val="0"/>
                <w:bCs w:val="0"/>
                <w:sz w:val="21"/>
                <w:szCs w:val="21"/>
              </w:rPr>
            </w:pPr>
            <w:r>
              <w:rPr>
                <w:rFonts w:hint="eastAsia"/>
                <w:b w:val="0"/>
                <w:bCs w:val="0"/>
                <w:sz w:val="21"/>
                <w:szCs w:val="21"/>
              </w:rPr>
              <w:t>28、可提供控制卡生产厂家针对本项目的售后服务承诺函（加盖厂家鲜章）。</w:t>
            </w:r>
          </w:p>
          <w:p w14:paraId="39BEE3F6">
            <w:pPr>
              <w:pStyle w:val="14"/>
              <w:spacing w:before="9" w:line="250" w:lineRule="auto"/>
              <w:ind w:left="141" w:right="53" w:hanging="49"/>
              <w:jc w:val="both"/>
              <w:rPr>
                <w:rFonts w:hint="eastAsia"/>
                <w:b w:val="0"/>
                <w:bCs w:val="0"/>
                <w:sz w:val="21"/>
                <w:szCs w:val="21"/>
              </w:rPr>
            </w:pPr>
            <w:r>
              <w:rPr>
                <w:rFonts w:hint="eastAsia"/>
                <w:b w:val="0"/>
                <w:bCs w:val="0"/>
                <w:sz w:val="21"/>
                <w:szCs w:val="21"/>
              </w:rPr>
              <w:t>29、控制系统同品牌，与控制系统其他分项无缝兼容，完全满足控制系统性能需求。控制系统（含多画面拼接器、视频控制器、独立主控、同步接收卡）采用同一生产厂家同一品牌产品，严禁贴牌。</w:t>
            </w:r>
          </w:p>
          <w:p w14:paraId="78D42B82">
            <w:pPr>
              <w:pStyle w:val="14"/>
              <w:spacing w:before="9" w:line="250" w:lineRule="auto"/>
              <w:ind w:left="141" w:right="53" w:hanging="49"/>
              <w:jc w:val="both"/>
              <w:rPr>
                <w:rFonts w:hint="eastAsia"/>
                <w:b w:val="0"/>
                <w:bCs w:val="0"/>
                <w:sz w:val="21"/>
                <w:szCs w:val="21"/>
              </w:rPr>
            </w:pPr>
            <w:r>
              <w:rPr>
                <w:rFonts w:hint="eastAsia"/>
                <w:b w:val="0"/>
                <w:bCs w:val="0"/>
                <w:sz w:val="21"/>
                <w:szCs w:val="21"/>
              </w:rPr>
              <w:t>30、设备通过CQC认证、FCC认证、CE认证、RoHS2.0认证，并可提供相应证书（加盖厂家鲜章）</w:t>
            </w:r>
          </w:p>
        </w:tc>
        <w:tc>
          <w:tcPr>
            <w:tcW w:w="589" w:type="dxa"/>
            <w:vAlign w:val="top"/>
          </w:tcPr>
          <w:p w14:paraId="46D62CD2">
            <w:pPr>
              <w:pStyle w:val="14"/>
              <w:spacing w:before="65" w:line="221" w:lineRule="auto"/>
              <w:ind w:left="157"/>
              <w:rPr>
                <w:rFonts w:hint="eastAsia"/>
                <w:b w:val="0"/>
                <w:bCs w:val="0"/>
                <w:spacing w:val="7"/>
                <w:sz w:val="21"/>
                <w:szCs w:val="21"/>
                <w:lang w:val="en-US" w:eastAsia="zh-CN"/>
              </w:rPr>
            </w:pPr>
          </w:p>
        </w:tc>
        <w:tc>
          <w:tcPr>
            <w:tcW w:w="857" w:type="dxa"/>
            <w:vAlign w:val="top"/>
          </w:tcPr>
          <w:p w14:paraId="469C703B">
            <w:pPr>
              <w:pStyle w:val="14"/>
              <w:spacing w:before="65" w:line="183" w:lineRule="auto"/>
              <w:ind w:left="117"/>
              <w:rPr>
                <w:rFonts w:hint="eastAsia"/>
                <w:b w:val="0"/>
                <w:bCs w:val="0"/>
                <w:sz w:val="21"/>
                <w:szCs w:val="21"/>
                <w:lang w:val="en-US" w:eastAsia="zh-CN"/>
              </w:rPr>
            </w:pPr>
          </w:p>
        </w:tc>
        <w:tc>
          <w:tcPr>
            <w:tcW w:w="964" w:type="dxa"/>
            <w:vAlign w:val="top"/>
          </w:tcPr>
          <w:p w14:paraId="419DDCDD">
            <w:pPr>
              <w:pStyle w:val="14"/>
              <w:spacing w:before="65" w:line="183" w:lineRule="auto"/>
              <w:ind w:left="128"/>
              <w:rPr>
                <w:rFonts w:hint="eastAsia"/>
                <w:b w:val="0"/>
                <w:bCs w:val="0"/>
                <w:sz w:val="21"/>
                <w:szCs w:val="21"/>
                <w:lang w:val="en-US" w:eastAsia="zh-CN"/>
              </w:rPr>
            </w:pPr>
          </w:p>
        </w:tc>
        <w:tc>
          <w:tcPr>
            <w:tcW w:w="964" w:type="dxa"/>
            <w:vAlign w:val="top"/>
          </w:tcPr>
          <w:p w14:paraId="2B5EEDD0">
            <w:pPr>
              <w:pStyle w:val="14"/>
              <w:spacing w:before="65" w:line="183" w:lineRule="auto"/>
              <w:ind w:left="128"/>
              <w:rPr>
                <w:rFonts w:hint="eastAsia"/>
                <w:b w:val="0"/>
                <w:bCs w:val="0"/>
                <w:sz w:val="21"/>
                <w:szCs w:val="21"/>
                <w:lang w:val="en-US" w:eastAsia="zh-CN"/>
              </w:rPr>
            </w:pPr>
          </w:p>
        </w:tc>
      </w:tr>
      <w:tr w14:paraId="1D59F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5" w:hRule="atLeast"/>
        </w:trPr>
        <w:tc>
          <w:tcPr>
            <w:tcW w:w="644" w:type="dxa"/>
            <w:vAlign w:val="top"/>
          </w:tcPr>
          <w:p w14:paraId="51B117BA">
            <w:pPr>
              <w:pStyle w:val="14"/>
              <w:spacing w:before="65" w:line="183" w:lineRule="auto"/>
              <w:ind w:left="114"/>
              <w:rPr>
                <w:b w:val="0"/>
                <w:bCs w:val="0"/>
                <w:sz w:val="21"/>
                <w:szCs w:val="21"/>
              </w:rPr>
            </w:pPr>
          </w:p>
        </w:tc>
        <w:tc>
          <w:tcPr>
            <w:tcW w:w="832" w:type="dxa"/>
            <w:vAlign w:val="top"/>
          </w:tcPr>
          <w:p w14:paraId="13347541">
            <w:pPr>
              <w:pStyle w:val="14"/>
              <w:spacing w:before="65" w:line="262" w:lineRule="auto"/>
              <w:ind w:left="111" w:firstLine="18"/>
              <w:rPr>
                <w:rFonts w:hint="eastAsia"/>
                <w:b w:val="0"/>
                <w:bCs w:val="0"/>
                <w:sz w:val="21"/>
                <w:szCs w:val="21"/>
                <w:lang w:val="en-US" w:eastAsia="zh-CN"/>
              </w:rPr>
            </w:pPr>
          </w:p>
        </w:tc>
        <w:tc>
          <w:tcPr>
            <w:tcW w:w="6825" w:type="dxa"/>
            <w:vAlign w:val="top"/>
          </w:tcPr>
          <w:p w14:paraId="003F783A">
            <w:pPr>
              <w:pStyle w:val="14"/>
              <w:spacing w:before="9" w:line="250" w:lineRule="auto"/>
              <w:ind w:left="141" w:right="53" w:hanging="49"/>
              <w:jc w:val="both"/>
              <w:rPr>
                <w:rFonts w:hint="eastAsia"/>
                <w:b w:val="0"/>
                <w:bCs w:val="0"/>
                <w:sz w:val="21"/>
                <w:szCs w:val="21"/>
              </w:rPr>
            </w:pPr>
            <w:r>
              <w:rPr>
                <w:rFonts w:hint="eastAsia"/>
                <w:b w:val="0"/>
                <w:bCs w:val="0"/>
                <w:sz w:val="21"/>
                <w:szCs w:val="21"/>
              </w:rPr>
              <w:t>1、设备配备有真彩色LCD面板，可生动地显示设备状态信息。</w:t>
            </w:r>
          </w:p>
          <w:p w14:paraId="663AE6F3">
            <w:pPr>
              <w:pStyle w:val="14"/>
              <w:spacing w:before="9" w:line="250" w:lineRule="auto"/>
              <w:ind w:left="141" w:right="53" w:hanging="49"/>
              <w:jc w:val="both"/>
              <w:rPr>
                <w:rFonts w:hint="eastAsia"/>
                <w:b w:val="0"/>
                <w:bCs w:val="0"/>
                <w:sz w:val="21"/>
                <w:szCs w:val="21"/>
              </w:rPr>
            </w:pPr>
            <w:r>
              <w:rPr>
                <w:rFonts w:hint="eastAsia"/>
                <w:b w:val="0"/>
                <w:bCs w:val="0"/>
                <w:sz w:val="21"/>
                <w:szCs w:val="21"/>
              </w:rPr>
              <w:t>2、输入支持1路DVI，1路HDMI，1路VGA，1路1/8" TRS 音频。</w:t>
            </w:r>
          </w:p>
          <w:p w14:paraId="1D6053EF">
            <w:pPr>
              <w:pStyle w:val="14"/>
              <w:spacing w:before="9" w:line="250" w:lineRule="auto"/>
              <w:ind w:left="141" w:right="53" w:hanging="49"/>
              <w:jc w:val="both"/>
              <w:rPr>
                <w:rFonts w:hint="eastAsia"/>
                <w:b w:val="0"/>
                <w:bCs w:val="0"/>
                <w:sz w:val="21"/>
                <w:szCs w:val="21"/>
              </w:rPr>
            </w:pPr>
            <w:r>
              <w:rPr>
                <w:rFonts w:hint="eastAsia"/>
                <w:b w:val="0"/>
                <w:bCs w:val="0"/>
                <w:sz w:val="21"/>
                <w:szCs w:val="21"/>
              </w:rPr>
              <w:t>3、输出支持2路网口输出，整机分辨率可达130万像素，支持自定义分辨率，最宽可达4000像素，最高可达2000像素。</w:t>
            </w:r>
          </w:p>
          <w:p w14:paraId="522B72EB">
            <w:pPr>
              <w:pStyle w:val="14"/>
              <w:spacing w:before="9" w:line="250" w:lineRule="auto"/>
              <w:ind w:left="141" w:right="53" w:hanging="49"/>
              <w:jc w:val="both"/>
              <w:rPr>
                <w:rFonts w:hint="eastAsia"/>
                <w:b w:val="0"/>
                <w:bCs w:val="0"/>
                <w:sz w:val="21"/>
                <w:szCs w:val="21"/>
              </w:rPr>
            </w:pPr>
            <w:r>
              <w:rPr>
                <w:rFonts w:hint="eastAsia"/>
                <w:b w:val="0"/>
                <w:bCs w:val="0"/>
                <w:sz w:val="21"/>
                <w:szCs w:val="21"/>
              </w:rPr>
              <w:t>★4、支持无缝切换：设备在进行信号切换时，期间无黑屏、闪烁现象。（需提供带有CNAS、ilac-MRA、CMA标识的检测报告）</w:t>
            </w:r>
          </w:p>
          <w:p w14:paraId="4352EB2D">
            <w:pPr>
              <w:pStyle w:val="14"/>
              <w:spacing w:before="9" w:line="250" w:lineRule="auto"/>
              <w:ind w:left="141" w:right="53" w:hanging="49"/>
              <w:jc w:val="both"/>
              <w:rPr>
                <w:rFonts w:hint="eastAsia"/>
                <w:b w:val="0"/>
                <w:bCs w:val="0"/>
                <w:sz w:val="21"/>
                <w:szCs w:val="21"/>
              </w:rPr>
            </w:pPr>
            <w:r>
              <w:rPr>
                <w:rFonts w:hint="eastAsia"/>
                <w:b w:val="0"/>
                <w:bCs w:val="0"/>
                <w:sz w:val="21"/>
                <w:szCs w:val="21"/>
              </w:rPr>
              <w:t>★5、设备HDMI支持音频输入的同时具备独立的音频输入接口，音频输出信号可加嵌在网口输出信号当中进行传输，通过多功能卡可将音频解码。（需提供带有CNAS、ilac-MRA、CMA标识的检测报告）</w:t>
            </w:r>
          </w:p>
          <w:p w14:paraId="71F34F16">
            <w:pPr>
              <w:pStyle w:val="14"/>
              <w:spacing w:before="9" w:line="250" w:lineRule="auto"/>
              <w:ind w:left="141" w:right="53" w:hanging="49"/>
              <w:jc w:val="both"/>
              <w:rPr>
                <w:rFonts w:hint="eastAsia"/>
                <w:b w:val="0"/>
                <w:bCs w:val="0"/>
                <w:sz w:val="21"/>
                <w:szCs w:val="21"/>
              </w:rPr>
            </w:pPr>
            <w:r>
              <w:rPr>
                <w:rFonts w:hint="eastAsia"/>
                <w:b w:val="0"/>
                <w:bCs w:val="0"/>
                <w:sz w:val="21"/>
                <w:szCs w:val="21"/>
              </w:rPr>
              <w:t>6、支持U盘播放功能，插上U盘，可播放U盘当中的图片及视频文档。（需提供带有CNAS、ilac-MRA、CMA标识的检测报告）</w:t>
            </w:r>
          </w:p>
          <w:p w14:paraId="318AF87E">
            <w:pPr>
              <w:pStyle w:val="14"/>
              <w:spacing w:before="9" w:line="250" w:lineRule="auto"/>
              <w:ind w:left="141" w:right="53" w:hanging="49"/>
              <w:jc w:val="both"/>
              <w:rPr>
                <w:rFonts w:hint="eastAsia"/>
                <w:b w:val="0"/>
                <w:bCs w:val="0"/>
                <w:sz w:val="21"/>
                <w:szCs w:val="21"/>
              </w:rPr>
            </w:pPr>
            <w:r>
              <w:rPr>
                <w:rFonts w:hint="eastAsia"/>
                <w:b w:val="0"/>
                <w:bCs w:val="0"/>
                <w:sz w:val="21"/>
                <w:szCs w:val="21"/>
              </w:rPr>
              <w:t>7、支持键盘锁：可在设备上对按键进行锁定，防止施工调试后现场人员的误操作</w:t>
            </w:r>
          </w:p>
          <w:p w14:paraId="7BB25026">
            <w:pPr>
              <w:pStyle w:val="14"/>
              <w:spacing w:before="9" w:line="250" w:lineRule="auto"/>
              <w:ind w:left="141" w:right="53" w:hanging="49"/>
              <w:jc w:val="both"/>
              <w:rPr>
                <w:rFonts w:hint="eastAsia"/>
                <w:b w:val="0"/>
                <w:bCs w:val="0"/>
                <w:sz w:val="21"/>
                <w:szCs w:val="21"/>
              </w:rPr>
            </w:pPr>
            <w:r>
              <w:rPr>
                <w:rFonts w:hint="eastAsia"/>
                <w:b w:val="0"/>
                <w:bCs w:val="0"/>
                <w:sz w:val="21"/>
                <w:szCs w:val="21"/>
              </w:rPr>
              <w:t>8、支持亮度、对比度调节：可对设备整体的亮度和对比度进行调节，调节范围0-255</w:t>
            </w:r>
          </w:p>
          <w:p w14:paraId="37670A85">
            <w:pPr>
              <w:pStyle w:val="14"/>
              <w:spacing w:before="9" w:line="250" w:lineRule="auto"/>
              <w:ind w:left="141" w:right="53" w:hanging="49"/>
              <w:jc w:val="both"/>
              <w:rPr>
                <w:rFonts w:hint="eastAsia"/>
                <w:b w:val="0"/>
                <w:bCs w:val="0"/>
                <w:sz w:val="21"/>
                <w:szCs w:val="21"/>
              </w:rPr>
            </w:pPr>
            <w:r>
              <w:rPr>
                <w:rFonts w:hint="eastAsia"/>
                <w:b w:val="0"/>
                <w:bCs w:val="0"/>
                <w:sz w:val="21"/>
                <w:szCs w:val="21"/>
              </w:rPr>
              <w:t>★9、 可对画面进行任意缩小放大，画面位置可任意设定，画面内容可裁剪。具备视频补偿处理算法，画面缩小无尺寸限制，并保留图像细节，减轻画面放大多倍后产生的失焦现象 。（需提供带有CNAS、ilac-MRA、CMA标识的检测报告）</w:t>
            </w:r>
          </w:p>
          <w:p w14:paraId="6F6A15E9">
            <w:pPr>
              <w:pStyle w:val="14"/>
              <w:spacing w:before="9" w:line="250" w:lineRule="auto"/>
              <w:ind w:left="141" w:right="53" w:hanging="49"/>
              <w:jc w:val="both"/>
              <w:rPr>
                <w:rFonts w:hint="eastAsia"/>
                <w:b w:val="0"/>
                <w:bCs w:val="0"/>
                <w:sz w:val="21"/>
                <w:szCs w:val="21"/>
              </w:rPr>
            </w:pPr>
            <w:r>
              <w:rPr>
                <w:rFonts w:hint="eastAsia"/>
                <w:b w:val="0"/>
                <w:bCs w:val="0"/>
                <w:sz w:val="21"/>
                <w:szCs w:val="21"/>
              </w:rPr>
              <w:t>★10、为便于显示屏后期维护，进行设备更换时， 新的设备可直接读取已经设置好的接收卡上的参数进行自身参数适配， 无需重新设置屏幕参数。（需提供带有CNAS、ilac-MRA、CMA标识的检测报告）</w:t>
            </w:r>
          </w:p>
          <w:p w14:paraId="66848077">
            <w:pPr>
              <w:pStyle w:val="14"/>
              <w:spacing w:before="9" w:line="250" w:lineRule="auto"/>
              <w:ind w:left="141" w:right="53" w:hanging="49"/>
              <w:jc w:val="both"/>
              <w:rPr>
                <w:rFonts w:hint="eastAsia"/>
                <w:b w:val="0"/>
                <w:bCs w:val="0"/>
                <w:sz w:val="21"/>
                <w:szCs w:val="21"/>
              </w:rPr>
            </w:pPr>
            <w:r>
              <w:rPr>
                <w:rFonts w:hint="eastAsia"/>
                <w:b w:val="0"/>
                <w:bCs w:val="0"/>
                <w:sz w:val="21"/>
                <w:szCs w:val="21"/>
              </w:rPr>
              <w:t>★11、为便于显示屏后期维护，进行接收卡更换时， 设备可直接下发正确参数给更换的接收卡， 无需重新配置接收卡参数。（需提供带有CNAS、ilac-MRA、CMA标识的检测报告）</w:t>
            </w:r>
          </w:p>
          <w:p w14:paraId="6CDF0730">
            <w:pPr>
              <w:pStyle w:val="14"/>
              <w:spacing w:before="9" w:line="250" w:lineRule="auto"/>
              <w:ind w:left="141" w:right="53" w:hanging="49"/>
              <w:jc w:val="both"/>
              <w:rPr>
                <w:rFonts w:hint="eastAsia"/>
                <w:b w:val="0"/>
                <w:bCs w:val="0"/>
                <w:sz w:val="21"/>
                <w:szCs w:val="21"/>
              </w:rPr>
            </w:pPr>
            <w:r>
              <w:rPr>
                <w:rFonts w:hint="eastAsia"/>
                <w:b w:val="0"/>
                <w:bCs w:val="0"/>
                <w:sz w:val="21"/>
                <w:szCs w:val="21"/>
              </w:rPr>
              <w:t>★12、为保障设备长期安全使用，设备应支持通道保护功能，对设备输入、输出I/O接口进行保护，避免过电压、过电流的冲击；通道间相互独立，且彼此互补。（需提供带有CNAS、ilac-MRA、CMA标识的检测报告）</w:t>
            </w:r>
          </w:p>
          <w:p w14:paraId="35746330">
            <w:pPr>
              <w:pStyle w:val="14"/>
              <w:spacing w:before="9" w:line="250" w:lineRule="auto"/>
              <w:ind w:left="141" w:right="53" w:hanging="49"/>
              <w:jc w:val="both"/>
              <w:rPr>
                <w:rFonts w:hint="eastAsia"/>
                <w:b w:val="0"/>
                <w:bCs w:val="0"/>
                <w:sz w:val="21"/>
                <w:szCs w:val="21"/>
              </w:rPr>
            </w:pPr>
            <w:r>
              <w:rPr>
                <w:rFonts w:hint="eastAsia"/>
                <w:b w:val="0"/>
                <w:bCs w:val="0"/>
                <w:sz w:val="21"/>
                <w:szCs w:val="21"/>
              </w:rPr>
              <w:t>★13、设备应保证产品结构以及机械强度在使用过程中无风险，设备需要通过冲击试验、经受 750mm 高度不同方向跌落 3 次跌落试验测试，无危险呈现。设备可支持250N恒定作用力，外部防护罩可承受250N+10N的恒定作用力持续5S。（需提供带有CNAS、ilac-MRA、CMA标识的检测报告）</w:t>
            </w:r>
          </w:p>
          <w:p w14:paraId="4FAB137D">
            <w:pPr>
              <w:pStyle w:val="14"/>
              <w:spacing w:before="9" w:line="250" w:lineRule="auto"/>
              <w:ind w:left="141" w:right="53" w:hanging="49"/>
              <w:jc w:val="both"/>
              <w:rPr>
                <w:rFonts w:hint="eastAsia"/>
                <w:b w:val="0"/>
                <w:bCs w:val="0"/>
                <w:sz w:val="21"/>
                <w:szCs w:val="21"/>
              </w:rPr>
            </w:pPr>
            <w:r>
              <w:rPr>
                <w:rFonts w:hint="eastAsia"/>
                <w:b w:val="0"/>
                <w:bCs w:val="0"/>
                <w:sz w:val="21"/>
                <w:szCs w:val="21"/>
              </w:rPr>
              <w:t>★14、设备通过CQC认证，并可提供相应证书（加盖厂家鲜章）。</w:t>
            </w:r>
          </w:p>
          <w:p w14:paraId="5A248961">
            <w:pPr>
              <w:pStyle w:val="14"/>
              <w:spacing w:before="9" w:line="250" w:lineRule="auto"/>
              <w:ind w:left="141" w:right="53" w:hanging="49"/>
              <w:jc w:val="both"/>
              <w:rPr>
                <w:rFonts w:hint="eastAsia"/>
                <w:b w:val="0"/>
                <w:bCs w:val="0"/>
                <w:sz w:val="21"/>
                <w:szCs w:val="21"/>
              </w:rPr>
            </w:pPr>
            <w:r>
              <w:rPr>
                <w:rFonts w:hint="eastAsia"/>
                <w:b w:val="0"/>
                <w:bCs w:val="0"/>
                <w:sz w:val="21"/>
                <w:szCs w:val="21"/>
              </w:rPr>
              <w:t>★15、提供控制卡生产厂家针对本项目的售后服务承诺函（加盖厂家鲜章）。</w:t>
            </w:r>
          </w:p>
          <w:p w14:paraId="34F5E1D0">
            <w:pPr>
              <w:pStyle w:val="14"/>
              <w:spacing w:before="9" w:line="250" w:lineRule="auto"/>
              <w:ind w:left="141" w:right="53" w:hanging="49"/>
              <w:jc w:val="both"/>
              <w:rPr>
                <w:rFonts w:hint="eastAsia"/>
                <w:b w:val="0"/>
                <w:bCs w:val="0"/>
                <w:sz w:val="21"/>
                <w:szCs w:val="21"/>
              </w:rPr>
            </w:pPr>
            <w:r>
              <w:rPr>
                <w:rFonts w:hint="eastAsia"/>
                <w:b w:val="0"/>
                <w:bCs w:val="0"/>
                <w:sz w:val="21"/>
                <w:szCs w:val="21"/>
              </w:rPr>
              <w:t>★16、为保证系统稳定，操作简单方便，以及售后服务统一可靠，控制系统（视频控制器）必须具备优秀的前端视频处理功能，不再另行配置其他品牌或同一品牌下其他型号的视频处理器。控制系统（含多画面拼接器、视频控制器、独立主控、同步接收卡）及播控系统（含播控软件及服务器）采用同一生产厂家同一品牌产品。</w:t>
            </w:r>
            <w:bookmarkStart w:id="14" w:name="_GoBack"/>
            <w:bookmarkEnd w:id="14"/>
          </w:p>
        </w:tc>
        <w:tc>
          <w:tcPr>
            <w:tcW w:w="589" w:type="dxa"/>
            <w:vAlign w:val="top"/>
          </w:tcPr>
          <w:p w14:paraId="6F4FB8F0">
            <w:pPr>
              <w:pStyle w:val="14"/>
              <w:spacing w:before="65" w:line="221" w:lineRule="auto"/>
              <w:ind w:left="157"/>
              <w:rPr>
                <w:rFonts w:hint="eastAsia"/>
                <w:b w:val="0"/>
                <w:bCs w:val="0"/>
                <w:spacing w:val="7"/>
                <w:sz w:val="21"/>
                <w:szCs w:val="21"/>
                <w:lang w:val="en-US" w:eastAsia="zh-CN"/>
              </w:rPr>
            </w:pPr>
          </w:p>
        </w:tc>
        <w:tc>
          <w:tcPr>
            <w:tcW w:w="857" w:type="dxa"/>
            <w:vAlign w:val="top"/>
          </w:tcPr>
          <w:p w14:paraId="71639DEA">
            <w:pPr>
              <w:pStyle w:val="14"/>
              <w:spacing w:before="65" w:line="183" w:lineRule="auto"/>
              <w:ind w:left="117"/>
              <w:rPr>
                <w:rFonts w:hint="eastAsia"/>
                <w:b w:val="0"/>
                <w:bCs w:val="0"/>
                <w:sz w:val="21"/>
                <w:szCs w:val="21"/>
                <w:lang w:val="en-US" w:eastAsia="zh-CN"/>
              </w:rPr>
            </w:pPr>
          </w:p>
        </w:tc>
        <w:tc>
          <w:tcPr>
            <w:tcW w:w="964" w:type="dxa"/>
            <w:vAlign w:val="top"/>
          </w:tcPr>
          <w:p w14:paraId="3FE4563F">
            <w:pPr>
              <w:pStyle w:val="14"/>
              <w:spacing w:before="65" w:line="183" w:lineRule="auto"/>
              <w:ind w:left="128"/>
              <w:rPr>
                <w:rFonts w:hint="eastAsia"/>
                <w:b w:val="0"/>
                <w:bCs w:val="0"/>
                <w:sz w:val="21"/>
                <w:szCs w:val="21"/>
                <w:lang w:val="en-US" w:eastAsia="zh-CN"/>
              </w:rPr>
            </w:pPr>
          </w:p>
        </w:tc>
        <w:tc>
          <w:tcPr>
            <w:tcW w:w="964" w:type="dxa"/>
            <w:vAlign w:val="top"/>
          </w:tcPr>
          <w:p w14:paraId="13662E29">
            <w:pPr>
              <w:pStyle w:val="14"/>
              <w:spacing w:before="65" w:line="183" w:lineRule="auto"/>
              <w:ind w:left="128"/>
              <w:rPr>
                <w:rFonts w:hint="eastAsia"/>
                <w:b w:val="0"/>
                <w:bCs w:val="0"/>
                <w:sz w:val="21"/>
                <w:szCs w:val="21"/>
                <w:lang w:val="en-US" w:eastAsia="zh-CN"/>
              </w:rPr>
            </w:pPr>
          </w:p>
        </w:tc>
      </w:tr>
    </w:tbl>
    <w:p w14:paraId="4555DB74">
      <w:pPr>
        <w:rPr>
          <w:rFonts w:ascii="Arial" w:hAnsi="Arial" w:eastAsia="Arial" w:cs="Arial"/>
          <w:sz w:val="21"/>
          <w:szCs w:val="21"/>
        </w:rPr>
        <w:sectPr>
          <w:footerReference r:id="rId5" w:type="default"/>
          <w:pgSz w:w="11900" w:h="16830"/>
          <w:pgMar w:top="219" w:right="780" w:bottom="1938" w:left="575" w:header="0" w:footer="1630" w:gutter="0"/>
          <w:cols w:space="720" w:num="1"/>
        </w:sectPr>
      </w:pPr>
    </w:p>
    <w:p w14:paraId="79309D82">
      <w:pPr>
        <w:adjustRightInd w:val="0"/>
        <w:spacing w:line="360" w:lineRule="auto"/>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二、</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eastAsia="zh-CN"/>
        </w:rPr>
        <w:t>产品售后服务需求</w:t>
      </w:r>
    </w:p>
    <w:p w14:paraId="58D23173">
      <w:pPr>
        <w:numPr>
          <w:ilvl w:val="0"/>
          <w:numId w:val="1"/>
        </w:numPr>
        <w:spacing w:line="500" w:lineRule="exact"/>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按照需求中采购文件要求制作询价响应文件，并加盖公章扫描上传政府采购云平台，出现资料缺失、未加盖公章或未按要求编制响应文件等情况的，视为无效文件，其询价报价将被否决。</w:t>
      </w:r>
    </w:p>
    <w:p w14:paraId="31DCAC22">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符合《中华人民共和国政府采购法》第二十二条的规定。投标人应考虑本次发布的在线询价公告中所列明的参考品牌，选择相应的产品，必须全部满足(不接受技术参数负偏离)并在附件中提交相关证明材料，否则视为无效投标，若经复核，中标产品无法满足采购人需求，采购人有权选择废标，同时将视同竟标人虚假应标，根据《政府采购质疑和投诉管理办法》投诉处理，并记在我方采购管理黑名单。请供应商报价前仔细评估自身履约能力，不能满足采购方要求及相关产品参数则请勿参与报价，谢绝恶意低价。</w:t>
      </w:r>
    </w:p>
    <w:p w14:paraId="00000C8D">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60" w:lineRule="exact"/>
        <w:ind w:left="0" w:leftChars="0" w:firstLine="420" w:firstLineChars="200"/>
        <w:textAlignment w:val="baseline"/>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不按要求报价，中标后无故放弃，不按合同履约等违约行为。对出现此类行为的中标供应商，将根据竟价违约处理规则，依法依规提请相关主管部门进行处罚，外罚内容包括但不限干停止推送报价信息，禁止报价等，并记入政府采购诚信档案。</w:t>
      </w:r>
    </w:p>
    <w:p w14:paraId="4094EA5F">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60" w:lineRule="exact"/>
        <w:ind w:left="0" w:leftChars="0" w:firstLine="420" w:firstLineChars="200"/>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采购人有权在采购过程中、成交公示期间、实施过程中对投标人承诺的设备技术性能参数进行核查，如在核查过程中发现投标人所承诺的设备技术性能参数有虚假内容，对该投标人做</w:t>
      </w:r>
    </w:p>
    <w:p w14:paraId="1AC9008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废标处理:若是在签定合同后项目实施过程中发现投标人设备技术性能参数有虚假内容，投标人构成违约，采购人有权取消合同:对采购人造成损失的，采购人依法追究投标人相应的法律、经济责任。"本次询价商品质保期不得少于</w:t>
      </w:r>
      <w:r>
        <w:rPr>
          <w:rFonts w:hint="eastAsia" w:ascii="宋体" w:hAnsi="宋体" w:cs="宋体"/>
          <w:snapToGrid w:val="0"/>
          <w:color w:val="auto"/>
          <w:sz w:val="21"/>
          <w:szCs w:val="21"/>
          <w:lang w:val="en-US" w:eastAsia="zh-CN"/>
        </w:rPr>
        <w:t>3</w:t>
      </w:r>
      <w:r>
        <w:rPr>
          <w:rFonts w:hint="eastAsia" w:ascii="宋体" w:hAnsi="宋体" w:eastAsia="宋体" w:cs="宋体"/>
          <w:snapToGrid w:val="0"/>
          <w:color w:val="auto"/>
          <w:sz w:val="21"/>
          <w:szCs w:val="21"/>
          <w:lang w:val="en-US" w:eastAsia="zh-CN"/>
        </w:rPr>
        <w:t>年，</w:t>
      </w:r>
      <w:r>
        <w:rPr>
          <w:rFonts w:hint="eastAsia" w:ascii="宋体" w:hAnsi="宋体" w:eastAsia="宋体" w:cs="宋体"/>
          <w:b/>
          <w:bCs/>
          <w:snapToGrid w:val="0"/>
          <w:color w:val="FF0000"/>
          <w:sz w:val="21"/>
          <w:szCs w:val="21"/>
          <w:lang w:val="en-US" w:eastAsia="zh-CN"/>
        </w:rPr>
        <w:t>本地化服务</w:t>
      </w:r>
      <w:r>
        <w:rPr>
          <w:rFonts w:hint="eastAsia" w:ascii="宋体" w:hAnsi="宋体" w:eastAsia="宋体" w:cs="宋体"/>
          <w:snapToGrid w:val="0"/>
          <w:color w:val="FF0000"/>
          <w:sz w:val="21"/>
          <w:szCs w:val="21"/>
          <w:lang w:val="en-US" w:eastAsia="zh-CN"/>
        </w:rPr>
        <w:t>(提供能证明工程师服务要求的证明材料)</w:t>
      </w:r>
      <w:r>
        <w:rPr>
          <w:rFonts w:hint="eastAsia" w:ascii="宋体" w:hAnsi="宋体" w:eastAsia="宋体" w:cs="宋体"/>
          <w:snapToGrid w:val="0"/>
          <w:color w:val="auto"/>
          <w:sz w:val="21"/>
          <w:szCs w:val="21"/>
          <w:lang w:val="en-US" w:eastAsia="zh-CN"/>
        </w:rPr>
        <w:t>。</w:t>
      </w:r>
    </w:p>
    <w:p w14:paraId="293B284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5、在质保期内，需具备7x24小时响应机制。并做到随叫随到，确保3分钟内响应，故障报修后20分钟内到达现场，1小时内解决问题。</w:t>
      </w:r>
    </w:p>
    <w:p w14:paraId="455574E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210" w:firstLineChars="100"/>
        <w:textAlignment w:val="baseline"/>
        <w:rPr>
          <w:rFonts w:hint="eastAsia" w:ascii="宋体" w:hAnsi="宋体" w:eastAsia="宋体" w:cs="宋体"/>
          <w:snapToGrid w:val="0"/>
          <w:color w:val="FF0000"/>
          <w:sz w:val="21"/>
          <w:szCs w:val="21"/>
          <w:lang w:val="en-US" w:eastAsia="zh-CN"/>
        </w:rPr>
      </w:pPr>
      <w:r>
        <w:rPr>
          <w:rFonts w:hint="eastAsia" w:ascii="宋体" w:hAnsi="宋体" w:eastAsia="宋体" w:cs="宋体"/>
          <w:snapToGrid w:val="0"/>
          <w:color w:val="auto"/>
          <w:sz w:val="21"/>
          <w:szCs w:val="21"/>
          <w:lang w:val="en-US" w:eastAsia="zh-CN"/>
        </w:rPr>
        <w:t>6、项目报价为完成该项目所需全部物品、货物的运输、安装、调试、相关税金，以及服务等全部费用，保证整个系统的完整性，系统的正常运行，为保证系统正常运转，</w:t>
      </w:r>
      <w:r>
        <w:rPr>
          <w:rFonts w:hint="eastAsia" w:ascii="宋体" w:hAnsi="宋体" w:eastAsia="宋体" w:cs="宋体"/>
          <w:snapToGrid w:val="0"/>
          <w:color w:val="FF0000"/>
          <w:sz w:val="21"/>
          <w:szCs w:val="21"/>
          <w:lang w:val="en-US" w:eastAsia="zh-CN"/>
        </w:rPr>
        <w:t>验收完成后中标单位需提供1名工程师现场技术保障服务一年，满足不了学校售后服务，我校即将终止合同。</w:t>
      </w:r>
    </w:p>
    <w:p w14:paraId="2A9542E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211" w:firstLineChars="100"/>
        <w:textAlignment w:val="baseline"/>
        <w:rPr>
          <w:rFonts w:hint="default" w:ascii="宋体" w:hAnsi="宋体" w:eastAsia="宋体" w:cs="宋体"/>
          <w:b/>
          <w:bCs/>
          <w:snapToGrid w:val="0"/>
          <w:color w:val="FF0000"/>
          <w:sz w:val="21"/>
          <w:szCs w:val="21"/>
          <w:lang w:val="en-US" w:eastAsia="zh-CN"/>
        </w:rPr>
      </w:pPr>
      <w:r>
        <w:rPr>
          <w:rFonts w:hint="eastAsia" w:ascii="宋体" w:hAnsi="宋体" w:eastAsia="宋体" w:cs="宋体"/>
          <w:b/>
          <w:bCs/>
          <w:snapToGrid w:val="0"/>
          <w:color w:val="FF0000"/>
          <w:sz w:val="21"/>
          <w:szCs w:val="21"/>
          <w:lang w:val="en-US" w:eastAsia="zh-CN"/>
        </w:rPr>
        <w:t>7、本次采购项目需进行审计，由学校完成，费用由中标方承当。</w:t>
      </w:r>
    </w:p>
    <w:p w14:paraId="616C368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210" w:firstLineChars="100"/>
        <w:textAlignment w:val="baseline"/>
        <w:rPr>
          <w:rFonts w:hint="default" w:ascii="Times New Roman" w:hAnsi="Times New Roman" w:eastAsia="方正仿宋_GBK" w:cs="Times New Roman"/>
          <w:color w:val="auto"/>
          <w:kern w:val="0"/>
          <w:sz w:val="32"/>
          <w:szCs w:val="32"/>
          <w:lang w:val="en-US" w:eastAsia="zh-CN"/>
        </w:rPr>
      </w:pPr>
      <w:r>
        <w:rPr>
          <w:rFonts w:hint="eastAsia" w:ascii="宋体" w:hAnsi="宋体" w:eastAsia="宋体" w:cs="宋体"/>
          <w:snapToGrid w:val="0"/>
          <w:color w:val="auto"/>
          <w:sz w:val="21"/>
          <w:szCs w:val="21"/>
          <w:lang w:val="en-US" w:eastAsia="zh-CN"/>
        </w:rPr>
        <w:t>8、签订合同后10天内交付、安装、调试及验收。</w:t>
      </w:r>
    </w:p>
    <w:p w14:paraId="1B99931A">
      <w:pPr>
        <w:pStyle w:val="2"/>
        <w:numPr>
          <w:ilvl w:val="0"/>
          <w:numId w:val="0"/>
        </w:numPr>
        <w:spacing w:line="360" w:lineRule="auto"/>
        <w:jc w:val="both"/>
        <w:rPr>
          <w:rFonts w:ascii="Times New Roman" w:eastAsia="宋体"/>
          <w:color w:val="auto"/>
          <w:sz w:val="32"/>
          <w:szCs w:val="32"/>
        </w:rPr>
      </w:pPr>
      <w:r>
        <w:rPr>
          <w:rFonts w:hint="eastAsia" w:ascii="Times New Roman" w:eastAsia="宋体"/>
          <w:color w:val="auto"/>
          <w:sz w:val="32"/>
          <w:szCs w:val="32"/>
          <w:lang w:val="en-US" w:eastAsia="zh-CN"/>
        </w:rPr>
        <w:t xml:space="preserve">三、 </w:t>
      </w:r>
      <w:r>
        <w:rPr>
          <w:rFonts w:ascii="Times New Roman" w:eastAsia="宋体"/>
          <w:color w:val="auto"/>
          <w:sz w:val="32"/>
          <w:szCs w:val="32"/>
        </w:rPr>
        <w:t>响应文件格式</w:t>
      </w:r>
    </w:p>
    <w:p w14:paraId="771039D4">
      <w:pPr>
        <w:spacing w:line="360" w:lineRule="auto"/>
        <w:jc w:val="left"/>
        <w:rPr>
          <w:color w:val="auto"/>
          <w:sz w:val="24"/>
        </w:rPr>
      </w:pPr>
    </w:p>
    <w:p w14:paraId="47B62891">
      <w:pPr>
        <w:spacing w:line="360" w:lineRule="auto"/>
        <w:jc w:val="center"/>
        <w:rPr>
          <w:b/>
          <w:color w:val="auto"/>
          <w:sz w:val="32"/>
          <w:szCs w:val="32"/>
        </w:rPr>
      </w:pPr>
      <w:r>
        <w:rPr>
          <w:b/>
          <w:color w:val="auto"/>
          <w:sz w:val="32"/>
          <w:szCs w:val="32"/>
          <w:u w:val="single"/>
        </w:rPr>
        <w:t>（项目名称）</w:t>
      </w:r>
      <w:r>
        <w:rPr>
          <w:b/>
          <w:color w:val="auto"/>
          <w:sz w:val="32"/>
          <w:szCs w:val="32"/>
        </w:rPr>
        <w:t>采购</w:t>
      </w:r>
    </w:p>
    <w:p w14:paraId="11C7DE61">
      <w:pPr>
        <w:spacing w:line="360" w:lineRule="auto"/>
        <w:jc w:val="center"/>
        <w:rPr>
          <w:color w:val="auto"/>
          <w:sz w:val="24"/>
        </w:rPr>
      </w:pPr>
    </w:p>
    <w:p w14:paraId="79843057">
      <w:pPr>
        <w:spacing w:line="360" w:lineRule="auto"/>
        <w:jc w:val="center"/>
        <w:rPr>
          <w:color w:val="auto"/>
          <w:sz w:val="24"/>
        </w:rPr>
      </w:pPr>
    </w:p>
    <w:p w14:paraId="3CA95D0C">
      <w:pPr>
        <w:spacing w:line="360" w:lineRule="auto"/>
        <w:jc w:val="both"/>
        <w:rPr>
          <w:color w:val="auto"/>
          <w:sz w:val="24"/>
        </w:rPr>
      </w:pPr>
    </w:p>
    <w:p w14:paraId="0340CF18">
      <w:pPr>
        <w:spacing w:line="360" w:lineRule="auto"/>
        <w:jc w:val="center"/>
        <w:rPr>
          <w:color w:val="auto"/>
          <w:sz w:val="24"/>
        </w:rPr>
      </w:pPr>
    </w:p>
    <w:p w14:paraId="285A5BED">
      <w:pPr>
        <w:pStyle w:val="6"/>
        <w:spacing w:line="360" w:lineRule="auto"/>
        <w:jc w:val="center"/>
        <w:rPr>
          <w:rFonts w:ascii="Times New Roman"/>
          <w:b/>
          <w:color w:val="auto"/>
          <w:sz w:val="84"/>
          <w:szCs w:val="84"/>
        </w:rPr>
      </w:pPr>
      <w:r>
        <w:rPr>
          <w:rFonts w:ascii="Times New Roman"/>
          <w:b/>
          <w:color w:val="auto"/>
          <w:sz w:val="84"/>
          <w:szCs w:val="84"/>
        </w:rPr>
        <w:t>响应文件</w:t>
      </w:r>
    </w:p>
    <w:p w14:paraId="07776C5E">
      <w:pPr>
        <w:spacing w:line="360" w:lineRule="auto"/>
        <w:jc w:val="center"/>
        <w:rPr>
          <w:color w:val="auto"/>
          <w:sz w:val="24"/>
        </w:rPr>
      </w:pPr>
    </w:p>
    <w:p w14:paraId="399D37AE">
      <w:pPr>
        <w:spacing w:line="360" w:lineRule="auto"/>
        <w:jc w:val="center"/>
        <w:rPr>
          <w:color w:val="auto"/>
          <w:sz w:val="24"/>
        </w:rPr>
      </w:pPr>
    </w:p>
    <w:p w14:paraId="2F7698B1">
      <w:pPr>
        <w:pStyle w:val="6"/>
        <w:spacing w:line="360" w:lineRule="auto"/>
        <w:ind w:firstLine="3048" w:firstLineChars="1088"/>
        <w:rPr>
          <w:rFonts w:ascii="Times New Roman"/>
          <w:b/>
          <w:color w:val="auto"/>
          <w:sz w:val="28"/>
          <w:szCs w:val="28"/>
          <w:u w:val="single"/>
        </w:rPr>
      </w:pPr>
      <w:r>
        <w:rPr>
          <w:rFonts w:ascii="Times New Roman"/>
          <w:b/>
          <w:color w:val="auto"/>
          <w:sz w:val="28"/>
          <w:szCs w:val="28"/>
        </w:rPr>
        <w:t>项目编号：</w:t>
      </w:r>
    </w:p>
    <w:p w14:paraId="5A33A22C">
      <w:pPr>
        <w:spacing w:line="360" w:lineRule="auto"/>
        <w:jc w:val="both"/>
        <w:rPr>
          <w:color w:val="auto"/>
          <w:sz w:val="24"/>
        </w:rPr>
      </w:pPr>
    </w:p>
    <w:p w14:paraId="617EB699">
      <w:pPr>
        <w:spacing w:line="360" w:lineRule="auto"/>
        <w:jc w:val="center"/>
        <w:rPr>
          <w:color w:val="auto"/>
          <w:sz w:val="24"/>
        </w:rPr>
      </w:pPr>
    </w:p>
    <w:p w14:paraId="020416DD">
      <w:pPr>
        <w:spacing w:line="360" w:lineRule="auto"/>
        <w:jc w:val="center"/>
        <w:rPr>
          <w:color w:val="auto"/>
          <w:sz w:val="24"/>
        </w:rPr>
      </w:pPr>
    </w:p>
    <w:p w14:paraId="44BE3250">
      <w:pPr>
        <w:spacing w:line="360" w:lineRule="auto"/>
        <w:ind w:firstLine="1980" w:firstLineChars="825"/>
        <w:rPr>
          <w:color w:val="auto"/>
          <w:sz w:val="24"/>
        </w:rPr>
      </w:pPr>
      <w:r>
        <w:rPr>
          <w:color w:val="auto"/>
          <w:sz w:val="24"/>
        </w:rPr>
        <w:t>供应商：（盖单位</w:t>
      </w:r>
      <w:r>
        <w:rPr>
          <w:rFonts w:hint="eastAsia"/>
          <w:color w:val="auto"/>
          <w:sz w:val="24"/>
        </w:rPr>
        <w:t>鲜章</w:t>
      </w:r>
      <w:r>
        <w:rPr>
          <w:color w:val="auto"/>
          <w:sz w:val="24"/>
        </w:rPr>
        <w:t>）</w:t>
      </w:r>
    </w:p>
    <w:p w14:paraId="444AAD1C">
      <w:pPr>
        <w:spacing w:line="360" w:lineRule="auto"/>
        <w:ind w:firstLine="1980" w:firstLineChars="825"/>
        <w:rPr>
          <w:color w:val="auto"/>
          <w:sz w:val="24"/>
        </w:rPr>
      </w:pPr>
    </w:p>
    <w:p w14:paraId="384D96B6">
      <w:pPr>
        <w:spacing w:line="360" w:lineRule="auto"/>
        <w:ind w:firstLine="1980" w:firstLineChars="825"/>
        <w:rPr>
          <w:color w:val="auto"/>
          <w:sz w:val="24"/>
        </w:rPr>
      </w:pPr>
      <w:r>
        <w:rPr>
          <w:color w:val="auto"/>
          <w:sz w:val="24"/>
        </w:rPr>
        <w:t>法定代表人：（</w:t>
      </w:r>
      <w:r>
        <w:rPr>
          <w:rFonts w:hint="eastAsia"/>
          <w:color w:val="auto"/>
          <w:sz w:val="24"/>
        </w:rPr>
        <w:t>签名或盖章</w:t>
      </w:r>
      <w:r>
        <w:rPr>
          <w:color w:val="auto"/>
          <w:sz w:val="24"/>
        </w:rPr>
        <w:t>）</w:t>
      </w:r>
    </w:p>
    <w:p w14:paraId="506BCA72">
      <w:pPr>
        <w:spacing w:line="360" w:lineRule="auto"/>
        <w:rPr>
          <w:color w:val="auto"/>
          <w:sz w:val="24"/>
        </w:rPr>
      </w:pPr>
    </w:p>
    <w:p w14:paraId="231F667F">
      <w:pPr>
        <w:spacing w:line="360" w:lineRule="auto"/>
        <w:rPr>
          <w:color w:val="auto"/>
          <w:sz w:val="24"/>
        </w:rPr>
      </w:pPr>
    </w:p>
    <w:p w14:paraId="7428648E">
      <w:pPr>
        <w:spacing w:line="360" w:lineRule="auto"/>
        <w:ind w:firstLine="3840" w:firstLineChars="1600"/>
        <w:rPr>
          <w:color w:val="auto"/>
          <w:sz w:val="24"/>
        </w:rPr>
      </w:pPr>
      <w:r>
        <w:rPr>
          <w:color w:val="auto"/>
          <w:sz w:val="24"/>
        </w:rPr>
        <w:t>年</w:t>
      </w:r>
      <w:r>
        <w:rPr>
          <w:rFonts w:hint="eastAsia" w:eastAsia="宋体"/>
          <w:color w:val="auto"/>
          <w:sz w:val="24"/>
          <w:lang w:val="en-US" w:eastAsia="zh-CN"/>
        </w:rPr>
        <w:t xml:space="preserve">   </w:t>
      </w:r>
      <w:r>
        <w:rPr>
          <w:rFonts w:hint="eastAsia"/>
          <w:color w:val="auto"/>
          <w:sz w:val="24"/>
          <w:lang w:val="en-US" w:eastAsia="zh-CN"/>
        </w:rPr>
        <w:t xml:space="preserve">  </w:t>
      </w:r>
      <w:r>
        <w:rPr>
          <w:color w:val="auto"/>
          <w:sz w:val="24"/>
        </w:rPr>
        <w:t>月</w:t>
      </w:r>
      <w:r>
        <w:rPr>
          <w:rFonts w:hint="eastAsia"/>
          <w:color w:val="auto"/>
          <w:sz w:val="24"/>
          <w:lang w:val="en-US" w:eastAsia="zh-CN"/>
        </w:rPr>
        <w:t xml:space="preserve">     </w:t>
      </w:r>
      <w:r>
        <w:rPr>
          <w:color w:val="auto"/>
          <w:sz w:val="24"/>
        </w:rPr>
        <w:t>日</w:t>
      </w:r>
    </w:p>
    <w:p w14:paraId="36ED4B3D">
      <w:pPr>
        <w:pStyle w:val="5"/>
        <w:spacing w:line="560" w:lineRule="exact"/>
        <w:jc w:val="left"/>
        <w:rPr>
          <w:rFonts w:hint="default" w:ascii="Times New Roman" w:hAnsi="Times New Roman" w:eastAsia="方正仿宋_GBK" w:cs="Times New Roman"/>
          <w:color w:val="auto"/>
          <w:kern w:val="0"/>
          <w:sz w:val="32"/>
          <w:szCs w:val="32"/>
          <w:lang w:val="en-US" w:eastAsia="zh-CN"/>
        </w:rPr>
      </w:pPr>
      <w:r>
        <w:rPr>
          <w:rFonts w:ascii="Times New Roman" w:hAnsi="Times New Roman"/>
          <w:color w:val="auto"/>
          <w:sz w:val="24"/>
        </w:rPr>
        <w:br w:type="page"/>
      </w:r>
    </w:p>
    <w:p w14:paraId="6E5D407C">
      <w:pPr>
        <w:pStyle w:val="3"/>
        <w:numPr>
          <w:ilvl w:val="0"/>
          <w:numId w:val="0"/>
        </w:numPr>
        <w:ind w:leftChars="0"/>
        <w:jc w:val="center"/>
        <w:rPr>
          <w:rFonts w:cs="Times New Roman"/>
          <w:color w:val="auto"/>
          <w:sz w:val="32"/>
          <w:szCs w:val="32"/>
        </w:rPr>
      </w:pPr>
      <w:bookmarkStart w:id="5" w:name="_Toc424283033"/>
      <w:bookmarkStart w:id="6" w:name="_Toc644"/>
      <w:bookmarkStart w:id="7" w:name="_Toc481656332"/>
      <w:bookmarkStart w:id="8" w:name="_Toc26650"/>
      <w:r>
        <w:rPr>
          <w:rFonts w:hint="eastAsia" w:cs="宋体"/>
          <w:color w:val="auto"/>
          <w:sz w:val="32"/>
          <w:szCs w:val="32"/>
          <w:lang w:val="en-US" w:eastAsia="zh-CN"/>
        </w:rPr>
        <w:t>四、报价</w:t>
      </w:r>
      <w:r>
        <w:rPr>
          <w:rFonts w:hint="eastAsia" w:cs="宋体"/>
          <w:color w:val="auto"/>
          <w:sz w:val="32"/>
          <w:szCs w:val="32"/>
        </w:rPr>
        <w:t>一览表</w:t>
      </w:r>
      <w:bookmarkEnd w:id="5"/>
      <w:bookmarkEnd w:id="6"/>
      <w:bookmarkEnd w:id="7"/>
      <w:bookmarkEnd w:id="8"/>
    </w:p>
    <w:p w14:paraId="4A6A1591">
      <w:pPr>
        <w:spacing w:line="420" w:lineRule="exact"/>
        <w:ind w:left="31680" w:hanging="1080" w:hangingChars="450"/>
        <w:rPr>
          <w:rFonts w:cs="Times New Roman"/>
          <w:color w:val="auto"/>
          <w:sz w:val="24"/>
          <w:szCs w:val="24"/>
        </w:rPr>
      </w:pPr>
      <w:r>
        <w:rPr>
          <w:rFonts w:hint="eastAsia" w:cs="宋体"/>
          <w:color w:val="auto"/>
          <w:sz w:val="24"/>
          <w:szCs w:val="24"/>
        </w:rPr>
        <w:t>项目名称：</w:t>
      </w:r>
    </w:p>
    <w:p w14:paraId="6A386A9C">
      <w:pPr>
        <w:spacing w:afterLines="50" w:line="420" w:lineRule="exact"/>
        <w:rPr>
          <w:rFonts w:cs="Times New Roman"/>
          <w:color w:val="auto"/>
        </w:rPr>
      </w:pPr>
      <w:r>
        <w:rPr>
          <w:rFonts w:hint="eastAsia" w:cs="宋体"/>
          <w:color w:val="auto"/>
          <w:sz w:val="24"/>
          <w:szCs w:val="24"/>
        </w:rPr>
        <w:t>项目编号：</w:t>
      </w:r>
    </w:p>
    <w:tbl>
      <w:tblPr>
        <w:tblStyle w:val="9"/>
        <w:tblW w:w="0" w:type="auto"/>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4498"/>
        <w:gridCol w:w="1895"/>
        <w:gridCol w:w="1896"/>
      </w:tblGrid>
      <w:tr w14:paraId="736D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rPr>
        <w:tc>
          <w:tcPr>
            <w:tcW w:w="1125" w:type="dxa"/>
            <w:noWrap w:val="0"/>
            <w:vAlign w:val="center"/>
          </w:tcPr>
          <w:p w14:paraId="7BBA6BC5">
            <w:pPr>
              <w:adjustRightInd w:val="0"/>
              <w:snapToGrid w:val="0"/>
              <w:spacing w:line="320" w:lineRule="exact"/>
              <w:jc w:val="center"/>
              <w:rPr>
                <w:rFonts w:cs="Times New Roman"/>
                <w:b/>
                <w:bCs/>
                <w:color w:val="auto"/>
                <w:sz w:val="24"/>
                <w:szCs w:val="24"/>
              </w:rPr>
            </w:pPr>
            <w:r>
              <w:rPr>
                <w:rFonts w:hint="eastAsia" w:cs="宋体"/>
                <w:b/>
                <w:bCs/>
                <w:color w:val="auto"/>
                <w:sz w:val="24"/>
                <w:szCs w:val="24"/>
              </w:rPr>
              <w:t>标段</w:t>
            </w:r>
          </w:p>
        </w:tc>
        <w:tc>
          <w:tcPr>
            <w:tcW w:w="4498" w:type="dxa"/>
            <w:noWrap w:val="0"/>
            <w:vAlign w:val="center"/>
          </w:tcPr>
          <w:p w14:paraId="0F12DEBD">
            <w:pPr>
              <w:adjustRightInd w:val="0"/>
              <w:snapToGrid w:val="0"/>
              <w:spacing w:line="320" w:lineRule="exact"/>
              <w:jc w:val="center"/>
              <w:rPr>
                <w:rFonts w:cs="Times New Roman"/>
                <w:b/>
                <w:bCs/>
                <w:color w:val="auto"/>
                <w:sz w:val="24"/>
                <w:szCs w:val="24"/>
              </w:rPr>
            </w:pPr>
            <w:r>
              <w:rPr>
                <w:rFonts w:hint="eastAsia" w:cs="宋体"/>
                <w:b/>
                <w:bCs/>
                <w:color w:val="auto"/>
                <w:sz w:val="24"/>
                <w:szCs w:val="24"/>
              </w:rPr>
              <w:t>总报价（万元）</w:t>
            </w:r>
          </w:p>
        </w:tc>
        <w:tc>
          <w:tcPr>
            <w:tcW w:w="1895" w:type="dxa"/>
            <w:noWrap w:val="0"/>
            <w:vAlign w:val="center"/>
          </w:tcPr>
          <w:p w14:paraId="035F7575">
            <w:pPr>
              <w:adjustRightInd w:val="0"/>
              <w:snapToGrid w:val="0"/>
              <w:spacing w:line="320" w:lineRule="exact"/>
              <w:jc w:val="center"/>
              <w:rPr>
                <w:rFonts w:cs="Times New Roman"/>
                <w:b/>
                <w:bCs/>
                <w:color w:val="auto"/>
                <w:sz w:val="24"/>
                <w:szCs w:val="24"/>
              </w:rPr>
            </w:pPr>
            <w:r>
              <w:rPr>
                <w:rFonts w:hint="eastAsia" w:cs="宋体"/>
                <w:b/>
                <w:bCs/>
                <w:color w:val="auto"/>
                <w:sz w:val="24"/>
                <w:szCs w:val="24"/>
              </w:rPr>
              <w:t>交货（完工）期</w:t>
            </w:r>
          </w:p>
          <w:p w14:paraId="58CA2F9F">
            <w:pPr>
              <w:adjustRightInd w:val="0"/>
              <w:snapToGrid w:val="0"/>
              <w:spacing w:line="320" w:lineRule="exact"/>
              <w:jc w:val="center"/>
              <w:rPr>
                <w:rFonts w:cs="Times New Roman"/>
                <w:b/>
                <w:bCs/>
                <w:color w:val="auto"/>
                <w:sz w:val="24"/>
                <w:szCs w:val="24"/>
              </w:rPr>
            </w:pPr>
            <w:r>
              <w:rPr>
                <w:rFonts w:hint="eastAsia" w:cs="宋体"/>
                <w:b/>
                <w:bCs/>
                <w:color w:val="auto"/>
                <w:sz w:val="24"/>
                <w:szCs w:val="24"/>
              </w:rPr>
              <w:t>（天）</w:t>
            </w:r>
          </w:p>
        </w:tc>
        <w:tc>
          <w:tcPr>
            <w:tcW w:w="1896" w:type="dxa"/>
            <w:noWrap w:val="0"/>
            <w:vAlign w:val="center"/>
          </w:tcPr>
          <w:p w14:paraId="5728EDC5">
            <w:pPr>
              <w:adjustRightInd w:val="0"/>
              <w:snapToGrid w:val="0"/>
              <w:spacing w:line="320" w:lineRule="exact"/>
              <w:ind w:left="-2" w:leftChars="-36" w:right="-10" w:rightChars="-5" w:hanging="74" w:hangingChars="31"/>
              <w:jc w:val="center"/>
              <w:rPr>
                <w:rFonts w:cs="Times New Roman"/>
                <w:b/>
                <w:bCs/>
                <w:color w:val="auto"/>
                <w:sz w:val="24"/>
                <w:szCs w:val="24"/>
              </w:rPr>
            </w:pPr>
            <w:r>
              <w:rPr>
                <w:rFonts w:hint="eastAsia" w:cs="宋体"/>
                <w:b/>
                <w:bCs/>
                <w:color w:val="auto"/>
                <w:sz w:val="24"/>
                <w:szCs w:val="24"/>
              </w:rPr>
              <w:t>备注</w:t>
            </w:r>
          </w:p>
        </w:tc>
      </w:tr>
      <w:tr w14:paraId="415E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125" w:type="dxa"/>
            <w:vMerge w:val="restart"/>
            <w:noWrap w:val="0"/>
            <w:vAlign w:val="center"/>
          </w:tcPr>
          <w:p w14:paraId="4E4A3130">
            <w:pPr>
              <w:adjustRightInd w:val="0"/>
              <w:snapToGrid w:val="0"/>
              <w:spacing w:line="320" w:lineRule="exact"/>
              <w:jc w:val="center"/>
              <w:rPr>
                <w:rFonts w:cs="Times New Roman"/>
                <w:color w:val="auto"/>
                <w:sz w:val="24"/>
                <w:szCs w:val="24"/>
              </w:rPr>
            </w:pPr>
          </w:p>
        </w:tc>
        <w:tc>
          <w:tcPr>
            <w:tcW w:w="4498" w:type="dxa"/>
            <w:noWrap w:val="0"/>
            <w:vAlign w:val="center"/>
          </w:tcPr>
          <w:p w14:paraId="46D62713">
            <w:pPr>
              <w:adjustRightInd w:val="0"/>
              <w:snapToGrid w:val="0"/>
              <w:spacing w:line="320" w:lineRule="exact"/>
              <w:rPr>
                <w:rFonts w:cs="Times New Roman"/>
                <w:color w:val="auto"/>
                <w:sz w:val="24"/>
                <w:szCs w:val="24"/>
              </w:rPr>
            </w:pPr>
            <w:r>
              <w:rPr>
                <w:rFonts w:hint="eastAsia" w:cs="宋体"/>
                <w:color w:val="auto"/>
                <w:sz w:val="24"/>
                <w:szCs w:val="24"/>
              </w:rPr>
              <w:t>（小写）：</w:t>
            </w:r>
          </w:p>
        </w:tc>
        <w:tc>
          <w:tcPr>
            <w:tcW w:w="1895" w:type="dxa"/>
            <w:vMerge w:val="restart"/>
            <w:noWrap w:val="0"/>
            <w:vAlign w:val="center"/>
          </w:tcPr>
          <w:p w14:paraId="024DA707">
            <w:pPr>
              <w:adjustRightInd w:val="0"/>
              <w:snapToGrid w:val="0"/>
              <w:spacing w:line="320" w:lineRule="exact"/>
              <w:jc w:val="center"/>
              <w:rPr>
                <w:rFonts w:cs="Times New Roman"/>
                <w:color w:val="auto"/>
                <w:sz w:val="24"/>
                <w:szCs w:val="24"/>
              </w:rPr>
            </w:pPr>
          </w:p>
        </w:tc>
        <w:tc>
          <w:tcPr>
            <w:tcW w:w="1896" w:type="dxa"/>
            <w:vMerge w:val="restart"/>
            <w:noWrap w:val="0"/>
            <w:vAlign w:val="center"/>
          </w:tcPr>
          <w:p w14:paraId="6D66C77F">
            <w:pPr>
              <w:adjustRightInd w:val="0"/>
              <w:snapToGrid w:val="0"/>
              <w:spacing w:line="320" w:lineRule="exact"/>
              <w:jc w:val="center"/>
              <w:rPr>
                <w:rFonts w:cs="Times New Roman"/>
                <w:color w:val="auto"/>
                <w:sz w:val="24"/>
                <w:szCs w:val="24"/>
              </w:rPr>
            </w:pPr>
          </w:p>
        </w:tc>
      </w:tr>
      <w:tr w14:paraId="6D26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1125" w:type="dxa"/>
            <w:vMerge w:val="continue"/>
            <w:noWrap w:val="0"/>
            <w:vAlign w:val="center"/>
          </w:tcPr>
          <w:p w14:paraId="3D6A1023">
            <w:pPr>
              <w:adjustRightInd w:val="0"/>
              <w:snapToGrid w:val="0"/>
              <w:spacing w:line="320" w:lineRule="exact"/>
              <w:jc w:val="center"/>
              <w:rPr>
                <w:rFonts w:cs="Times New Roman"/>
                <w:color w:val="auto"/>
                <w:sz w:val="24"/>
                <w:szCs w:val="24"/>
              </w:rPr>
            </w:pPr>
          </w:p>
        </w:tc>
        <w:tc>
          <w:tcPr>
            <w:tcW w:w="4498" w:type="dxa"/>
            <w:noWrap w:val="0"/>
            <w:vAlign w:val="center"/>
          </w:tcPr>
          <w:p w14:paraId="10BE272C">
            <w:pPr>
              <w:adjustRightInd w:val="0"/>
              <w:snapToGrid w:val="0"/>
              <w:spacing w:line="320" w:lineRule="exact"/>
              <w:rPr>
                <w:rFonts w:cs="Times New Roman"/>
                <w:color w:val="auto"/>
                <w:sz w:val="24"/>
                <w:szCs w:val="24"/>
              </w:rPr>
            </w:pPr>
            <w:r>
              <w:rPr>
                <w:rFonts w:hint="eastAsia" w:cs="宋体"/>
                <w:color w:val="auto"/>
                <w:sz w:val="24"/>
                <w:szCs w:val="24"/>
              </w:rPr>
              <w:t>（大写）：</w:t>
            </w:r>
          </w:p>
        </w:tc>
        <w:tc>
          <w:tcPr>
            <w:tcW w:w="1895" w:type="dxa"/>
            <w:vMerge w:val="continue"/>
            <w:noWrap w:val="0"/>
            <w:vAlign w:val="center"/>
          </w:tcPr>
          <w:p w14:paraId="15EACB0F">
            <w:pPr>
              <w:adjustRightInd w:val="0"/>
              <w:snapToGrid w:val="0"/>
              <w:spacing w:line="320" w:lineRule="exact"/>
              <w:jc w:val="center"/>
              <w:rPr>
                <w:rFonts w:cs="Times New Roman"/>
                <w:color w:val="auto"/>
                <w:sz w:val="24"/>
                <w:szCs w:val="24"/>
              </w:rPr>
            </w:pPr>
          </w:p>
        </w:tc>
        <w:tc>
          <w:tcPr>
            <w:tcW w:w="1896" w:type="dxa"/>
            <w:vMerge w:val="continue"/>
            <w:noWrap w:val="0"/>
            <w:vAlign w:val="center"/>
          </w:tcPr>
          <w:p w14:paraId="3F81616F">
            <w:pPr>
              <w:adjustRightInd w:val="0"/>
              <w:snapToGrid w:val="0"/>
              <w:spacing w:line="320" w:lineRule="exact"/>
              <w:jc w:val="center"/>
              <w:rPr>
                <w:rFonts w:cs="Times New Roman"/>
                <w:color w:val="auto"/>
                <w:sz w:val="24"/>
                <w:szCs w:val="24"/>
              </w:rPr>
            </w:pPr>
          </w:p>
        </w:tc>
      </w:tr>
      <w:tr w14:paraId="58F7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4" w:hRule="atLeast"/>
        </w:trPr>
        <w:tc>
          <w:tcPr>
            <w:tcW w:w="9414" w:type="dxa"/>
            <w:gridSpan w:val="4"/>
            <w:noWrap w:val="0"/>
            <w:vAlign w:val="center"/>
          </w:tcPr>
          <w:p w14:paraId="7C38E75A">
            <w:pPr>
              <w:adjustRightInd w:val="0"/>
              <w:snapToGrid w:val="0"/>
              <w:spacing w:line="320" w:lineRule="exact"/>
              <w:rPr>
                <w:rFonts w:hint="eastAsia" w:cs="宋体"/>
                <w:color w:val="auto"/>
                <w:sz w:val="24"/>
                <w:szCs w:val="24"/>
              </w:rPr>
            </w:pPr>
          </w:p>
          <w:p w14:paraId="5F32FC83">
            <w:pPr>
              <w:adjustRightInd w:val="0"/>
              <w:snapToGrid w:val="0"/>
              <w:spacing w:line="320" w:lineRule="exact"/>
              <w:rPr>
                <w:rFonts w:cs="Times New Roman"/>
                <w:color w:val="auto"/>
                <w:sz w:val="24"/>
                <w:szCs w:val="24"/>
              </w:rPr>
            </w:pPr>
            <w:r>
              <w:rPr>
                <w:rFonts w:hint="eastAsia" w:cs="宋体"/>
                <w:color w:val="auto"/>
                <w:sz w:val="24"/>
                <w:szCs w:val="24"/>
              </w:rPr>
              <w:t>供应商名称（加盖电子公章）：</w:t>
            </w:r>
          </w:p>
          <w:p w14:paraId="2785ED8E">
            <w:pPr>
              <w:adjustRightInd w:val="0"/>
              <w:snapToGrid w:val="0"/>
              <w:spacing w:line="320" w:lineRule="exact"/>
              <w:rPr>
                <w:rFonts w:cs="Times New Roman"/>
                <w:color w:val="auto"/>
                <w:sz w:val="24"/>
                <w:szCs w:val="24"/>
              </w:rPr>
            </w:pPr>
          </w:p>
          <w:p w14:paraId="161FD2EE">
            <w:pPr>
              <w:adjustRightInd w:val="0"/>
              <w:snapToGrid w:val="0"/>
              <w:spacing w:line="320" w:lineRule="exact"/>
              <w:rPr>
                <w:rFonts w:hint="eastAsia" w:cs="宋体"/>
                <w:color w:val="auto"/>
                <w:sz w:val="24"/>
                <w:szCs w:val="24"/>
              </w:rPr>
            </w:pPr>
            <w:r>
              <w:rPr>
                <w:rFonts w:hint="eastAsia" w:cs="宋体"/>
                <w:color w:val="auto"/>
                <w:sz w:val="24"/>
                <w:szCs w:val="24"/>
              </w:rPr>
              <w:t>法定代表人（电子签名）：</w:t>
            </w:r>
          </w:p>
          <w:p w14:paraId="4E7A9B57">
            <w:pPr>
              <w:adjustRightInd w:val="0"/>
              <w:snapToGrid w:val="0"/>
              <w:spacing w:line="320" w:lineRule="exact"/>
              <w:rPr>
                <w:rFonts w:hint="eastAsia" w:cs="宋体"/>
                <w:color w:val="auto"/>
                <w:sz w:val="24"/>
                <w:szCs w:val="24"/>
              </w:rPr>
            </w:pPr>
          </w:p>
          <w:p w14:paraId="11782DBD">
            <w:pPr>
              <w:adjustRightInd w:val="0"/>
              <w:snapToGrid w:val="0"/>
              <w:spacing w:line="320" w:lineRule="exact"/>
              <w:rPr>
                <w:rFonts w:cs="Times New Roman"/>
                <w:color w:val="auto"/>
                <w:sz w:val="24"/>
                <w:szCs w:val="24"/>
              </w:rPr>
            </w:pPr>
            <w:r>
              <w:rPr>
                <w:rFonts w:hint="eastAsia" w:cs="宋体"/>
                <w:color w:val="auto"/>
                <w:sz w:val="24"/>
                <w:szCs w:val="24"/>
              </w:rPr>
              <w:t>联系电话：</w:t>
            </w:r>
          </w:p>
          <w:p w14:paraId="6D02DB29">
            <w:pPr>
              <w:adjustRightInd w:val="0"/>
              <w:snapToGrid w:val="0"/>
              <w:spacing w:line="320" w:lineRule="exact"/>
              <w:rPr>
                <w:rFonts w:cs="Times New Roman"/>
                <w:color w:val="auto"/>
                <w:sz w:val="24"/>
                <w:szCs w:val="24"/>
              </w:rPr>
            </w:pPr>
          </w:p>
          <w:p w14:paraId="0605E26A">
            <w:pPr>
              <w:adjustRightInd w:val="0"/>
              <w:snapToGrid w:val="0"/>
              <w:spacing w:line="320" w:lineRule="exact"/>
              <w:rPr>
                <w:rFonts w:cs="Times New Roman"/>
                <w:color w:val="auto"/>
                <w:sz w:val="24"/>
                <w:szCs w:val="24"/>
              </w:rPr>
            </w:pPr>
            <w:r>
              <w:rPr>
                <w:rFonts w:hint="eastAsia" w:cs="宋体"/>
                <w:color w:val="auto"/>
                <w:sz w:val="24"/>
                <w:szCs w:val="24"/>
              </w:rPr>
              <w:t>日期</w:t>
            </w:r>
            <w:r>
              <w:rPr>
                <w:rFonts w:hint="eastAsia" w:cs="宋体"/>
                <w:color w:val="auto"/>
                <w:sz w:val="24"/>
                <w:szCs w:val="24"/>
                <w:lang w:val="en-US" w:eastAsia="zh-CN"/>
              </w:rPr>
              <w:t xml:space="preserve"> </w:t>
            </w:r>
            <w:r>
              <w:rPr>
                <w:rFonts w:hint="eastAsia" w:cs="宋体"/>
                <w:color w:val="auto"/>
                <w:sz w:val="24"/>
                <w:szCs w:val="24"/>
              </w:rPr>
              <w:t>：</w:t>
            </w:r>
            <w:r>
              <w:rPr>
                <w:rFonts w:hint="eastAsia" w:cs="宋体"/>
                <w:color w:val="auto"/>
                <w:sz w:val="24"/>
                <w:szCs w:val="24"/>
                <w:lang w:val="en-US" w:eastAsia="zh-CN"/>
              </w:rPr>
              <w:t xml:space="preserve">  </w:t>
            </w:r>
            <w:r>
              <w:rPr>
                <w:rFonts w:hint="eastAsia" w:cs="宋体"/>
                <w:color w:val="auto"/>
                <w:sz w:val="24"/>
                <w:szCs w:val="24"/>
              </w:rPr>
              <w:t>年</w:t>
            </w:r>
            <w:r>
              <w:rPr>
                <w:rFonts w:hint="eastAsia" w:cs="宋体"/>
                <w:color w:val="auto"/>
                <w:sz w:val="24"/>
                <w:szCs w:val="24"/>
                <w:lang w:val="en-US" w:eastAsia="zh-CN"/>
              </w:rPr>
              <w:t xml:space="preserve">   </w:t>
            </w:r>
            <w:r>
              <w:rPr>
                <w:rFonts w:hint="eastAsia" w:cs="宋体"/>
                <w:color w:val="auto"/>
                <w:sz w:val="24"/>
                <w:szCs w:val="24"/>
              </w:rPr>
              <w:t>月</w:t>
            </w:r>
            <w:r>
              <w:rPr>
                <w:rFonts w:hint="eastAsia" w:cs="宋体"/>
                <w:color w:val="auto"/>
                <w:sz w:val="24"/>
                <w:szCs w:val="24"/>
                <w:lang w:val="en-US" w:eastAsia="zh-CN"/>
              </w:rPr>
              <w:t xml:space="preserve">  </w:t>
            </w:r>
            <w:r>
              <w:rPr>
                <w:rFonts w:hint="eastAsia" w:cs="宋体"/>
                <w:color w:val="auto"/>
                <w:sz w:val="24"/>
                <w:szCs w:val="24"/>
              </w:rPr>
              <w:t>日</w:t>
            </w:r>
          </w:p>
          <w:p w14:paraId="758D2F0A">
            <w:pPr>
              <w:adjustRightInd w:val="0"/>
              <w:snapToGrid w:val="0"/>
              <w:spacing w:line="320" w:lineRule="exact"/>
              <w:rPr>
                <w:rFonts w:cs="Times New Roman"/>
                <w:color w:val="auto"/>
                <w:sz w:val="24"/>
                <w:szCs w:val="24"/>
              </w:rPr>
            </w:pPr>
          </w:p>
        </w:tc>
      </w:tr>
    </w:tbl>
    <w:p w14:paraId="0AC651DC">
      <w:pPr>
        <w:widowControl/>
        <w:shd w:val="clear" w:color="auto" w:fill="FFFFFF"/>
        <w:spacing w:line="400" w:lineRule="exact"/>
        <w:rPr>
          <w:rFonts w:cs="Times New Roman"/>
          <w:color w:val="auto"/>
        </w:rPr>
      </w:pPr>
    </w:p>
    <w:p w14:paraId="74DE366B">
      <w:pPr>
        <w:widowControl/>
        <w:shd w:val="clear" w:color="auto" w:fill="FFFFFF"/>
        <w:spacing w:line="400" w:lineRule="exact"/>
        <w:rPr>
          <w:rFonts w:cs="Times New Roman"/>
          <w:color w:val="auto"/>
          <w:sz w:val="24"/>
          <w:szCs w:val="24"/>
        </w:rPr>
      </w:pPr>
      <w:r>
        <w:rPr>
          <w:rFonts w:hint="eastAsia" w:cs="宋体"/>
          <w:color w:val="auto"/>
          <w:sz w:val="24"/>
          <w:szCs w:val="24"/>
        </w:rPr>
        <w:t>注：</w:t>
      </w:r>
      <w:r>
        <w:rPr>
          <w:color w:val="auto"/>
          <w:sz w:val="24"/>
          <w:szCs w:val="24"/>
        </w:rPr>
        <w:t xml:space="preserve">1. </w:t>
      </w:r>
      <w:r>
        <w:rPr>
          <w:rFonts w:hint="eastAsia" w:cs="宋体"/>
          <w:color w:val="auto"/>
          <w:sz w:val="24"/>
          <w:szCs w:val="24"/>
        </w:rPr>
        <w:t>表中</w:t>
      </w:r>
      <w:r>
        <w:rPr>
          <w:color w:val="auto"/>
          <w:sz w:val="24"/>
          <w:szCs w:val="24"/>
        </w:rPr>
        <w:t>“</w:t>
      </w:r>
      <w:r>
        <w:rPr>
          <w:rFonts w:hint="eastAsia" w:cs="宋体"/>
          <w:color w:val="auto"/>
          <w:sz w:val="24"/>
          <w:szCs w:val="24"/>
        </w:rPr>
        <w:t>总报价</w:t>
      </w:r>
      <w:r>
        <w:rPr>
          <w:color w:val="auto"/>
          <w:sz w:val="24"/>
          <w:szCs w:val="24"/>
        </w:rPr>
        <w:t>”</w:t>
      </w:r>
      <w:r>
        <w:rPr>
          <w:rFonts w:hint="eastAsia" w:cs="宋体"/>
          <w:color w:val="auto"/>
          <w:sz w:val="24"/>
          <w:szCs w:val="24"/>
          <w:lang w:eastAsia="zh-CN"/>
        </w:rPr>
        <w:t>分项报价表</w:t>
      </w:r>
      <w:r>
        <w:rPr>
          <w:rFonts w:hint="eastAsia" w:cs="宋体"/>
          <w:color w:val="auto"/>
          <w:sz w:val="24"/>
          <w:szCs w:val="24"/>
        </w:rPr>
        <w:t>中</w:t>
      </w:r>
      <w:r>
        <w:rPr>
          <w:color w:val="auto"/>
          <w:sz w:val="24"/>
          <w:szCs w:val="24"/>
        </w:rPr>
        <w:t>“</w:t>
      </w:r>
      <w:r>
        <w:rPr>
          <w:rFonts w:hint="eastAsia" w:cs="宋体"/>
          <w:color w:val="auto"/>
          <w:sz w:val="24"/>
          <w:szCs w:val="24"/>
        </w:rPr>
        <w:t>合计</w:t>
      </w:r>
      <w:r>
        <w:rPr>
          <w:color w:val="auto"/>
          <w:sz w:val="24"/>
          <w:szCs w:val="24"/>
        </w:rPr>
        <w:t>”</w:t>
      </w:r>
      <w:r>
        <w:rPr>
          <w:rFonts w:hint="eastAsia" w:cs="宋体"/>
          <w:color w:val="auto"/>
          <w:sz w:val="24"/>
          <w:szCs w:val="24"/>
        </w:rPr>
        <w:t>一致。</w:t>
      </w:r>
    </w:p>
    <w:p w14:paraId="759ABB9D">
      <w:pPr>
        <w:widowControl/>
        <w:shd w:val="clear" w:color="auto" w:fill="FFFFFF"/>
        <w:spacing w:line="400" w:lineRule="exact"/>
        <w:ind w:firstLine="360" w:firstLineChars="150"/>
        <w:rPr>
          <w:rFonts w:cs="Times New Roman"/>
          <w:color w:val="auto"/>
          <w:sz w:val="24"/>
          <w:szCs w:val="24"/>
        </w:rPr>
      </w:pPr>
      <w:r>
        <w:rPr>
          <w:color w:val="auto"/>
          <w:sz w:val="24"/>
          <w:szCs w:val="24"/>
        </w:rPr>
        <w:t xml:space="preserve"> </w:t>
      </w:r>
      <w:r>
        <w:rPr>
          <w:rFonts w:hint="eastAsia"/>
          <w:color w:val="auto"/>
          <w:sz w:val="24"/>
          <w:szCs w:val="24"/>
          <w:lang w:val="en-US" w:eastAsia="zh-CN"/>
        </w:rPr>
        <w:t>2</w:t>
      </w:r>
      <w:r>
        <w:rPr>
          <w:color w:val="auto"/>
          <w:sz w:val="24"/>
          <w:szCs w:val="24"/>
        </w:rPr>
        <w:t xml:space="preserve">. </w:t>
      </w:r>
      <w:r>
        <w:rPr>
          <w:rFonts w:hint="eastAsia" w:cs="宋体"/>
          <w:color w:val="auto"/>
          <w:sz w:val="24"/>
          <w:szCs w:val="24"/>
        </w:rPr>
        <w:t>本表应盖单位公章，法定代表人或其委托代理人应签字或盖章；</w:t>
      </w:r>
    </w:p>
    <w:p w14:paraId="2F55A090">
      <w:pPr>
        <w:pStyle w:val="3"/>
        <w:numPr>
          <w:ilvl w:val="1"/>
          <w:numId w:val="0"/>
        </w:numPr>
        <w:tabs>
          <w:tab w:val="left" w:pos="360"/>
        </w:tabs>
        <w:spacing w:before="0"/>
        <w:jc w:val="center"/>
        <w:rPr>
          <w:rFonts w:hint="eastAsia" w:ascii="宋体" w:hAnsi="宋体"/>
          <w:bCs w:val="0"/>
          <w:color w:val="auto"/>
          <w:sz w:val="32"/>
          <w:lang w:eastAsia="zh-CN"/>
        </w:rPr>
      </w:pPr>
    </w:p>
    <w:p w14:paraId="3335A51F">
      <w:pPr>
        <w:rPr>
          <w:rFonts w:hint="eastAsia" w:ascii="宋体" w:hAnsi="宋体"/>
          <w:bCs w:val="0"/>
          <w:color w:val="auto"/>
          <w:sz w:val="32"/>
          <w:lang w:eastAsia="zh-CN"/>
        </w:rPr>
      </w:pPr>
    </w:p>
    <w:p w14:paraId="19F92436">
      <w:pPr>
        <w:pStyle w:val="5"/>
        <w:rPr>
          <w:rFonts w:hint="eastAsia" w:ascii="宋体" w:hAnsi="宋体"/>
          <w:bCs w:val="0"/>
          <w:color w:val="auto"/>
          <w:sz w:val="32"/>
          <w:lang w:eastAsia="zh-CN"/>
        </w:rPr>
      </w:pPr>
    </w:p>
    <w:p w14:paraId="15A6EB45">
      <w:pPr>
        <w:rPr>
          <w:rFonts w:hint="eastAsia" w:ascii="宋体" w:hAnsi="宋体"/>
          <w:bCs w:val="0"/>
          <w:color w:val="auto"/>
          <w:sz w:val="32"/>
          <w:lang w:eastAsia="zh-CN"/>
        </w:rPr>
      </w:pPr>
    </w:p>
    <w:p w14:paraId="7E1179E1">
      <w:pPr>
        <w:pStyle w:val="5"/>
        <w:rPr>
          <w:rFonts w:hint="eastAsia" w:ascii="宋体" w:hAnsi="宋体"/>
          <w:bCs w:val="0"/>
          <w:color w:val="auto"/>
          <w:sz w:val="32"/>
          <w:lang w:eastAsia="zh-CN"/>
        </w:rPr>
      </w:pPr>
    </w:p>
    <w:p w14:paraId="18DFD6BF">
      <w:pPr>
        <w:rPr>
          <w:rFonts w:hint="eastAsia" w:ascii="宋体" w:hAnsi="宋体"/>
          <w:bCs w:val="0"/>
          <w:color w:val="auto"/>
          <w:sz w:val="32"/>
          <w:lang w:eastAsia="zh-CN"/>
        </w:rPr>
      </w:pPr>
    </w:p>
    <w:p w14:paraId="7DF90AF8">
      <w:pPr>
        <w:pStyle w:val="5"/>
        <w:rPr>
          <w:rFonts w:hint="eastAsia" w:ascii="宋体" w:hAnsi="宋体"/>
          <w:bCs w:val="0"/>
          <w:color w:val="auto"/>
          <w:sz w:val="32"/>
          <w:lang w:eastAsia="zh-CN"/>
        </w:rPr>
      </w:pPr>
    </w:p>
    <w:p w14:paraId="3CCB0210">
      <w:pPr>
        <w:rPr>
          <w:rFonts w:hint="eastAsia" w:ascii="宋体" w:hAnsi="宋体"/>
          <w:bCs w:val="0"/>
          <w:color w:val="auto"/>
          <w:sz w:val="32"/>
          <w:lang w:eastAsia="zh-CN"/>
        </w:rPr>
      </w:pPr>
    </w:p>
    <w:p w14:paraId="5D35C5C9">
      <w:pPr>
        <w:pStyle w:val="3"/>
        <w:numPr>
          <w:ilvl w:val="1"/>
          <w:numId w:val="0"/>
        </w:numPr>
        <w:tabs>
          <w:tab w:val="left" w:pos="360"/>
        </w:tabs>
        <w:spacing w:before="0"/>
        <w:ind w:left="425" w:firstLine="3242" w:firstLineChars="900"/>
        <w:jc w:val="both"/>
        <w:rPr>
          <w:rFonts w:ascii="Times New Roman" w:hAnsi="Times New Roman"/>
          <w:bCs w:val="0"/>
          <w:color w:val="auto"/>
          <w:sz w:val="36"/>
          <w:szCs w:val="36"/>
        </w:rPr>
      </w:pPr>
      <w:r>
        <w:rPr>
          <w:rFonts w:ascii="Times New Roman" w:hAnsi="Times New Roman"/>
          <w:bCs w:val="0"/>
          <w:color w:val="auto"/>
          <w:sz w:val="36"/>
          <w:szCs w:val="36"/>
        </w:rPr>
        <w:t>分项报价表</w:t>
      </w:r>
    </w:p>
    <w:p w14:paraId="4A90DB31">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color w:val="auto"/>
          <w:sz w:val="24"/>
          <w:szCs w:val="24"/>
          <w:lang w:val="en-US" w:eastAsia="zh-CN"/>
        </w:rPr>
      </w:pPr>
      <w:r>
        <w:rPr>
          <w:color w:val="auto"/>
          <w:sz w:val="22"/>
          <w:szCs w:val="22"/>
        </w:rPr>
        <w:t>项目名称：</w:t>
      </w:r>
    </w:p>
    <w:p w14:paraId="1CCD9E4E">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color w:val="auto"/>
          <w:sz w:val="24"/>
          <w:szCs w:val="24"/>
          <w:lang w:eastAsia="zh-CN"/>
        </w:rPr>
      </w:pPr>
      <w:r>
        <w:rPr>
          <w:color w:val="auto"/>
          <w:sz w:val="22"/>
          <w:szCs w:val="22"/>
        </w:rPr>
        <w:t>项目编号：</w:t>
      </w:r>
    </w:p>
    <w:tbl>
      <w:tblPr>
        <w:tblStyle w:val="10"/>
        <w:tblW w:w="922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3093"/>
        <w:gridCol w:w="933"/>
        <w:gridCol w:w="810"/>
        <w:gridCol w:w="1088"/>
        <w:gridCol w:w="915"/>
        <w:gridCol w:w="826"/>
        <w:gridCol w:w="976"/>
      </w:tblGrid>
      <w:tr w14:paraId="26E5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587" w:type="dxa"/>
            <w:noWrap w:val="0"/>
            <w:vAlign w:val="center"/>
          </w:tcPr>
          <w:p w14:paraId="0094ED6F">
            <w:pPr>
              <w:pStyle w:val="6"/>
              <w:keepNext w:val="0"/>
              <w:keepLines w:val="0"/>
              <w:pageBreakBefore w:val="0"/>
              <w:widowControl w:val="0"/>
              <w:kinsoku/>
              <w:wordWrap/>
              <w:overflowPunct/>
              <w:topLinePunct w:val="0"/>
              <w:bidi w:val="0"/>
              <w:snapToGrid/>
              <w:spacing w:line="240" w:lineRule="exact"/>
              <w:jc w:val="center"/>
              <w:rPr>
                <w:rFonts w:hint="eastAsia" w:ascii="Times New Roman" w:hAnsi="Times New Roman" w:eastAsia="宋体" w:cs="Times New Roman"/>
                <w:color w:val="auto"/>
                <w:kern w:val="0"/>
                <w:sz w:val="22"/>
                <w:szCs w:val="22"/>
                <w:lang w:val="en-US" w:eastAsia="zh-CN" w:bidi="ar-SA"/>
              </w:rPr>
            </w:pPr>
            <w:r>
              <w:rPr>
                <w:rFonts w:hint="eastAsia" w:ascii="Times New Roman"/>
                <w:color w:val="auto"/>
                <w:sz w:val="22"/>
                <w:szCs w:val="22"/>
                <w:lang w:val="en-US" w:eastAsia="zh-CN"/>
              </w:rPr>
              <w:t>序号</w:t>
            </w:r>
          </w:p>
        </w:tc>
        <w:tc>
          <w:tcPr>
            <w:tcW w:w="3093" w:type="dxa"/>
            <w:noWrap w:val="0"/>
            <w:vAlign w:val="center"/>
          </w:tcPr>
          <w:p w14:paraId="443CD744">
            <w:pPr>
              <w:pStyle w:val="6"/>
              <w:keepNext w:val="0"/>
              <w:keepLines w:val="0"/>
              <w:pageBreakBefore w:val="0"/>
              <w:widowControl w:val="0"/>
              <w:kinsoku/>
              <w:wordWrap/>
              <w:overflowPunct/>
              <w:topLinePunct w:val="0"/>
              <w:bidi w:val="0"/>
              <w:snapToGrid/>
              <w:spacing w:line="240" w:lineRule="exact"/>
              <w:jc w:val="center"/>
              <w:rPr>
                <w:rFonts w:hint="eastAsia" w:ascii="Times New Roman" w:hAnsi="Times New Roman" w:eastAsia="宋体" w:cs="Times New Roman"/>
                <w:color w:val="auto"/>
                <w:kern w:val="0"/>
                <w:sz w:val="22"/>
                <w:szCs w:val="22"/>
                <w:lang w:val="en-US" w:eastAsia="zh-CN" w:bidi="ar-SA"/>
              </w:rPr>
            </w:pPr>
            <w:r>
              <w:rPr>
                <w:rFonts w:ascii="Times New Roman"/>
                <w:color w:val="auto"/>
                <w:sz w:val="22"/>
                <w:szCs w:val="22"/>
              </w:rPr>
              <w:t>货物名称</w:t>
            </w:r>
          </w:p>
        </w:tc>
        <w:tc>
          <w:tcPr>
            <w:tcW w:w="933" w:type="dxa"/>
            <w:noWrap w:val="0"/>
            <w:vAlign w:val="center"/>
          </w:tcPr>
          <w:p w14:paraId="4618E1D6">
            <w:pPr>
              <w:pStyle w:val="6"/>
              <w:keepNext w:val="0"/>
              <w:keepLines w:val="0"/>
              <w:pageBreakBefore w:val="0"/>
              <w:widowControl w:val="0"/>
              <w:kinsoku/>
              <w:wordWrap/>
              <w:overflowPunct/>
              <w:topLinePunct w:val="0"/>
              <w:bidi w:val="0"/>
              <w:snapToGrid/>
              <w:spacing w:line="240" w:lineRule="exact"/>
              <w:jc w:val="center"/>
              <w:rPr>
                <w:rFonts w:hint="eastAsia" w:ascii="Times New Roman" w:hAnsi="Times New Roman" w:eastAsia="宋体" w:cs="Times New Roman"/>
                <w:color w:val="auto"/>
                <w:kern w:val="0"/>
                <w:sz w:val="22"/>
                <w:szCs w:val="22"/>
                <w:lang w:val="en-US" w:eastAsia="zh-CN" w:bidi="ar-SA"/>
              </w:rPr>
            </w:pPr>
            <w:r>
              <w:rPr>
                <w:rFonts w:ascii="Times New Roman"/>
                <w:color w:val="auto"/>
                <w:sz w:val="22"/>
                <w:szCs w:val="22"/>
              </w:rPr>
              <w:t>型号和规格</w:t>
            </w:r>
          </w:p>
        </w:tc>
        <w:tc>
          <w:tcPr>
            <w:tcW w:w="810" w:type="dxa"/>
            <w:noWrap w:val="0"/>
            <w:vAlign w:val="center"/>
          </w:tcPr>
          <w:p w14:paraId="38A2CEE7">
            <w:pPr>
              <w:pStyle w:val="6"/>
              <w:keepNext w:val="0"/>
              <w:keepLines w:val="0"/>
              <w:pageBreakBefore w:val="0"/>
              <w:widowControl w:val="0"/>
              <w:kinsoku/>
              <w:wordWrap/>
              <w:overflowPunct/>
              <w:topLinePunct w:val="0"/>
              <w:bidi w:val="0"/>
              <w:snapToGrid/>
              <w:spacing w:line="240" w:lineRule="exact"/>
              <w:jc w:val="center"/>
              <w:rPr>
                <w:rFonts w:hint="eastAsia" w:ascii="Times New Roman" w:hAnsi="Times New Roman" w:eastAsia="宋体" w:cs="Times New Roman"/>
                <w:color w:val="auto"/>
                <w:kern w:val="0"/>
                <w:sz w:val="22"/>
                <w:szCs w:val="22"/>
                <w:lang w:val="en-US" w:eastAsia="zh-CN" w:bidi="ar-SA"/>
              </w:rPr>
            </w:pPr>
            <w:r>
              <w:rPr>
                <w:rFonts w:ascii="Times New Roman"/>
                <w:color w:val="auto"/>
                <w:sz w:val="22"/>
                <w:szCs w:val="22"/>
              </w:rPr>
              <w:t>数量</w:t>
            </w:r>
          </w:p>
        </w:tc>
        <w:tc>
          <w:tcPr>
            <w:tcW w:w="1088" w:type="dxa"/>
            <w:noWrap w:val="0"/>
            <w:vAlign w:val="center"/>
          </w:tcPr>
          <w:p w14:paraId="58556AD4">
            <w:pPr>
              <w:pStyle w:val="6"/>
              <w:keepNext w:val="0"/>
              <w:keepLines w:val="0"/>
              <w:pageBreakBefore w:val="0"/>
              <w:widowControl w:val="0"/>
              <w:kinsoku/>
              <w:wordWrap/>
              <w:overflowPunct/>
              <w:topLinePunct w:val="0"/>
              <w:bidi w:val="0"/>
              <w:snapToGrid/>
              <w:spacing w:line="240" w:lineRule="exact"/>
              <w:jc w:val="center"/>
              <w:rPr>
                <w:rFonts w:hint="eastAsia" w:ascii="Times New Roman" w:hAnsi="Times New Roman" w:eastAsia="宋体" w:cs="Times New Roman"/>
                <w:color w:val="auto"/>
                <w:kern w:val="0"/>
                <w:sz w:val="22"/>
                <w:szCs w:val="22"/>
                <w:lang w:val="en-US" w:eastAsia="zh-CN" w:bidi="ar-SA"/>
              </w:rPr>
            </w:pPr>
            <w:r>
              <w:rPr>
                <w:rFonts w:ascii="Times New Roman"/>
                <w:color w:val="auto"/>
                <w:sz w:val="22"/>
                <w:szCs w:val="22"/>
              </w:rPr>
              <w:t>制造商/生产厂商名称</w:t>
            </w:r>
          </w:p>
        </w:tc>
        <w:tc>
          <w:tcPr>
            <w:tcW w:w="915" w:type="dxa"/>
            <w:noWrap w:val="0"/>
            <w:vAlign w:val="center"/>
          </w:tcPr>
          <w:p w14:paraId="665955F9">
            <w:pPr>
              <w:pStyle w:val="6"/>
              <w:keepNext w:val="0"/>
              <w:keepLines w:val="0"/>
              <w:pageBreakBefore w:val="0"/>
              <w:widowControl w:val="0"/>
              <w:kinsoku/>
              <w:wordWrap/>
              <w:overflowPunct/>
              <w:topLinePunct w:val="0"/>
              <w:bidi w:val="0"/>
              <w:snapToGrid/>
              <w:spacing w:line="240" w:lineRule="exact"/>
              <w:jc w:val="center"/>
              <w:rPr>
                <w:rFonts w:ascii="Times New Roman"/>
                <w:color w:val="auto"/>
                <w:sz w:val="22"/>
                <w:szCs w:val="22"/>
              </w:rPr>
            </w:pPr>
            <w:r>
              <w:rPr>
                <w:rFonts w:ascii="Times New Roman"/>
                <w:color w:val="auto"/>
                <w:sz w:val="22"/>
                <w:szCs w:val="22"/>
              </w:rPr>
              <w:t>单价</w:t>
            </w:r>
          </w:p>
          <w:p w14:paraId="28AFD336">
            <w:pPr>
              <w:pStyle w:val="6"/>
              <w:keepNext w:val="0"/>
              <w:keepLines w:val="0"/>
              <w:pageBreakBefore w:val="0"/>
              <w:widowControl w:val="0"/>
              <w:kinsoku/>
              <w:wordWrap/>
              <w:overflowPunct/>
              <w:topLinePunct w:val="0"/>
              <w:bidi w:val="0"/>
              <w:snapToGrid/>
              <w:spacing w:line="240" w:lineRule="exact"/>
              <w:jc w:val="center"/>
              <w:rPr>
                <w:rFonts w:hint="eastAsia" w:ascii="Times New Roman" w:hAnsi="Times New Roman" w:eastAsia="宋体" w:cs="Times New Roman"/>
                <w:color w:val="auto"/>
                <w:kern w:val="0"/>
                <w:sz w:val="22"/>
                <w:szCs w:val="22"/>
                <w:lang w:val="en-US" w:eastAsia="zh-CN" w:bidi="ar-SA"/>
              </w:rPr>
            </w:pPr>
            <w:r>
              <w:rPr>
                <w:rFonts w:ascii="Times New Roman"/>
                <w:color w:val="auto"/>
                <w:sz w:val="22"/>
                <w:szCs w:val="22"/>
              </w:rPr>
              <w:t>（元）</w:t>
            </w:r>
          </w:p>
        </w:tc>
        <w:tc>
          <w:tcPr>
            <w:tcW w:w="826" w:type="dxa"/>
            <w:noWrap w:val="0"/>
            <w:vAlign w:val="center"/>
          </w:tcPr>
          <w:p w14:paraId="2319D525">
            <w:pPr>
              <w:pStyle w:val="6"/>
              <w:keepNext w:val="0"/>
              <w:keepLines w:val="0"/>
              <w:pageBreakBefore w:val="0"/>
              <w:widowControl w:val="0"/>
              <w:kinsoku/>
              <w:wordWrap/>
              <w:overflowPunct/>
              <w:topLinePunct w:val="0"/>
              <w:bidi w:val="0"/>
              <w:snapToGrid/>
              <w:spacing w:line="240" w:lineRule="exact"/>
              <w:jc w:val="center"/>
              <w:rPr>
                <w:rFonts w:ascii="Times New Roman"/>
                <w:color w:val="auto"/>
                <w:sz w:val="22"/>
                <w:szCs w:val="22"/>
              </w:rPr>
            </w:pPr>
            <w:r>
              <w:rPr>
                <w:rFonts w:ascii="Times New Roman"/>
                <w:color w:val="auto"/>
                <w:sz w:val="22"/>
                <w:szCs w:val="22"/>
              </w:rPr>
              <w:t>总价</w:t>
            </w:r>
          </w:p>
          <w:p w14:paraId="68A94953">
            <w:pPr>
              <w:pStyle w:val="6"/>
              <w:keepNext w:val="0"/>
              <w:keepLines w:val="0"/>
              <w:pageBreakBefore w:val="0"/>
              <w:widowControl w:val="0"/>
              <w:kinsoku/>
              <w:wordWrap/>
              <w:overflowPunct/>
              <w:topLinePunct w:val="0"/>
              <w:bidi w:val="0"/>
              <w:snapToGrid/>
              <w:spacing w:line="240" w:lineRule="exact"/>
              <w:jc w:val="center"/>
              <w:rPr>
                <w:rFonts w:hint="eastAsia" w:ascii="Times New Roman" w:hAnsi="Times New Roman" w:eastAsia="宋体" w:cs="Times New Roman"/>
                <w:color w:val="auto"/>
                <w:kern w:val="0"/>
                <w:sz w:val="22"/>
                <w:szCs w:val="22"/>
                <w:lang w:val="en-US" w:eastAsia="zh-CN" w:bidi="ar-SA"/>
              </w:rPr>
            </w:pPr>
            <w:r>
              <w:rPr>
                <w:rFonts w:ascii="Times New Roman"/>
                <w:color w:val="auto"/>
                <w:sz w:val="22"/>
                <w:szCs w:val="22"/>
              </w:rPr>
              <w:t>（元）</w:t>
            </w:r>
          </w:p>
        </w:tc>
        <w:tc>
          <w:tcPr>
            <w:tcW w:w="976" w:type="dxa"/>
            <w:noWrap w:val="0"/>
            <w:vAlign w:val="center"/>
          </w:tcPr>
          <w:p w14:paraId="4B41D3D9">
            <w:pPr>
              <w:pStyle w:val="6"/>
              <w:keepNext w:val="0"/>
              <w:keepLines w:val="0"/>
              <w:pageBreakBefore w:val="0"/>
              <w:widowControl w:val="0"/>
              <w:kinsoku/>
              <w:wordWrap/>
              <w:overflowPunct/>
              <w:topLinePunct w:val="0"/>
              <w:bidi w:val="0"/>
              <w:snapToGrid/>
              <w:spacing w:line="240" w:lineRule="exact"/>
              <w:ind w:left="72" w:leftChars="0"/>
              <w:jc w:val="center"/>
              <w:rPr>
                <w:rFonts w:hint="eastAsia" w:ascii="Times New Roman" w:hAnsi="Times New Roman" w:eastAsia="宋体" w:cs="Times New Roman"/>
                <w:color w:val="auto"/>
                <w:kern w:val="0"/>
                <w:sz w:val="22"/>
                <w:szCs w:val="22"/>
                <w:lang w:val="en-US" w:eastAsia="zh-CN" w:bidi="ar-SA"/>
              </w:rPr>
            </w:pPr>
            <w:r>
              <w:rPr>
                <w:rFonts w:ascii="Times New Roman"/>
                <w:color w:val="auto"/>
                <w:sz w:val="22"/>
                <w:szCs w:val="22"/>
              </w:rPr>
              <w:t>备注</w:t>
            </w:r>
          </w:p>
        </w:tc>
      </w:tr>
      <w:tr w14:paraId="2B71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587" w:type="dxa"/>
            <w:noWrap w:val="0"/>
            <w:vAlign w:val="top"/>
          </w:tcPr>
          <w:p w14:paraId="6A08A249">
            <w:pPr>
              <w:pStyle w:val="5"/>
              <w:spacing w:line="360" w:lineRule="auto"/>
              <w:jc w:val="center"/>
              <w:rPr>
                <w:rFonts w:hint="default"/>
                <w:color w:val="auto"/>
                <w:sz w:val="22"/>
                <w:szCs w:val="28"/>
                <w:vertAlign w:val="baseline"/>
                <w:lang w:val="en-US" w:eastAsia="zh-CN"/>
              </w:rPr>
            </w:pPr>
            <w:r>
              <w:rPr>
                <w:rFonts w:hint="eastAsia"/>
                <w:color w:val="auto"/>
                <w:sz w:val="22"/>
                <w:szCs w:val="28"/>
                <w:vertAlign w:val="baseline"/>
                <w:lang w:val="en-US" w:eastAsia="zh-CN"/>
              </w:rPr>
              <w:t>1</w:t>
            </w:r>
          </w:p>
        </w:tc>
        <w:tc>
          <w:tcPr>
            <w:tcW w:w="3093" w:type="dxa"/>
            <w:noWrap w:val="0"/>
            <w:vAlign w:val="top"/>
          </w:tcPr>
          <w:p w14:paraId="23BF679F">
            <w:pPr>
              <w:pStyle w:val="5"/>
              <w:spacing w:line="360" w:lineRule="auto"/>
              <w:jc w:val="center"/>
              <w:rPr>
                <w:rFonts w:hint="default" w:ascii="宋体" w:hAnsi="宋体" w:eastAsia="宋体" w:cs="宋体"/>
                <w:i w:val="0"/>
                <w:color w:val="auto"/>
                <w:kern w:val="0"/>
                <w:sz w:val="21"/>
                <w:szCs w:val="21"/>
                <w:u w:val="none"/>
                <w:lang w:val="en-US" w:eastAsia="zh-CN" w:bidi="ar"/>
              </w:rPr>
            </w:pPr>
            <w:r>
              <w:rPr>
                <w:rFonts w:hint="default" w:ascii="宋体" w:hAnsi="宋体" w:eastAsia="宋体" w:cs="宋体"/>
                <w:i w:val="0"/>
                <w:color w:val="auto"/>
                <w:kern w:val="0"/>
                <w:sz w:val="21"/>
                <w:szCs w:val="21"/>
                <w:u w:val="none"/>
                <w:lang w:val="en-US" w:eastAsia="zh-CN" w:bidi="ar"/>
              </w:rPr>
              <w:t>触控一体机</w:t>
            </w:r>
          </w:p>
        </w:tc>
        <w:tc>
          <w:tcPr>
            <w:tcW w:w="933" w:type="dxa"/>
            <w:noWrap w:val="0"/>
            <w:vAlign w:val="top"/>
          </w:tcPr>
          <w:p w14:paraId="47996C43">
            <w:pPr>
              <w:pStyle w:val="5"/>
              <w:spacing w:line="360" w:lineRule="auto"/>
              <w:jc w:val="center"/>
              <w:rPr>
                <w:rFonts w:hint="eastAsia"/>
                <w:color w:val="auto"/>
                <w:sz w:val="22"/>
                <w:szCs w:val="28"/>
                <w:vertAlign w:val="baseline"/>
                <w:lang w:eastAsia="zh-CN"/>
              </w:rPr>
            </w:pPr>
          </w:p>
        </w:tc>
        <w:tc>
          <w:tcPr>
            <w:tcW w:w="810" w:type="dxa"/>
            <w:noWrap w:val="0"/>
            <w:vAlign w:val="center"/>
          </w:tcPr>
          <w:p w14:paraId="5A710D65">
            <w:pPr>
              <w:pStyle w:val="5"/>
              <w:spacing w:line="360" w:lineRule="auto"/>
              <w:jc w:val="center"/>
              <w:rPr>
                <w:rFonts w:hint="default"/>
                <w:color w:val="auto"/>
                <w:sz w:val="22"/>
                <w:szCs w:val="28"/>
                <w:vertAlign w:val="baseline"/>
                <w:lang w:val="en-US" w:eastAsia="zh-CN"/>
              </w:rPr>
            </w:pPr>
            <w:r>
              <w:rPr>
                <w:rFonts w:hint="eastAsia"/>
                <w:color w:val="auto"/>
                <w:sz w:val="22"/>
                <w:szCs w:val="28"/>
                <w:vertAlign w:val="baseline"/>
                <w:lang w:val="en-US" w:eastAsia="zh-CN"/>
              </w:rPr>
              <w:t>8台</w:t>
            </w:r>
          </w:p>
        </w:tc>
        <w:tc>
          <w:tcPr>
            <w:tcW w:w="1088" w:type="dxa"/>
            <w:noWrap w:val="0"/>
            <w:vAlign w:val="center"/>
          </w:tcPr>
          <w:p w14:paraId="0E777BDA">
            <w:pPr>
              <w:keepNext w:val="0"/>
              <w:keepLines w:val="0"/>
              <w:widowControl/>
              <w:suppressLineNumbers w:val="0"/>
              <w:spacing w:line="360" w:lineRule="auto"/>
              <w:jc w:val="center"/>
              <w:textAlignment w:val="center"/>
              <w:rPr>
                <w:rFonts w:hint="eastAsia" w:ascii="宋体" w:hAnsi="宋体" w:eastAsia="宋体" w:cs="宋体"/>
                <w:i w:val="0"/>
                <w:color w:val="auto"/>
                <w:kern w:val="2"/>
                <w:sz w:val="24"/>
                <w:szCs w:val="24"/>
                <w:u w:val="none"/>
                <w:lang w:val="en-US" w:eastAsia="zh-CN" w:bidi="ar-SA"/>
              </w:rPr>
            </w:pPr>
          </w:p>
        </w:tc>
        <w:tc>
          <w:tcPr>
            <w:tcW w:w="915" w:type="dxa"/>
            <w:noWrap w:val="0"/>
            <w:vAlign w:val="top"/>
          </w:tcPr>
          <w:p w14:paraId="7A6A9240">
            <w:pPr>
              <w:pStyle w:val="5"/>
              <w:spacing w:line="360" w:lineRule="auto"/>
              <w:jc w:val="center"/>
              <w:rPr>
                <w:rFonts w:hint="eastAsia"/>
                <w:color w:val="auto"/>
                <w:sz w:val="22"/>
                <w:szCs w:val="28"/>
                <w:vertAlign w:val="baseline"/>
                <w:lang w:eastAsia="zh-CN"/>
              </w:rPr>
            </w:pPr>
          </w:p>
        </w:tc>
        <w:tc>
          <w:tcPr>
            <w:tcW w:w="826" w:type="dxa"/>
            <w:noWrap w:val="0"/>
            <w:vAlign w:val="top"/>
          </w:tcPr>
          <w:p w14:paraId="38708C33">
            <w:pPr>
              <w:pStyle w:val="5"/>
              <w:spacing w:line="360" w:lineRule="auto"/>
              <w:jc w:val="center"/>
              <w:rPr>
                <w:rFonts w:hint="eastAsia"/>
                <w:color w:val="auto"/>
                <w:sz w:val="22"/>
                <w:szCs w:val="28"/>
                <w:vertAlign w:val="baseline"/>
                <w:lang w:eastAsia="zh-CN"/>
              </w:rPr>
            </w:pPr>
          </w:p>
        </w:tc>
        <w:tc>
          <w:tcPr>
            <w:tcW w:w="976" w:type="dxa"/>
            <w:noWrap w:val="0"/>
            <w:vAlign w:val="top"/>
          </w:tcPr>
          <w:p w14:paraId="6B0A3261">
            <w:pPr>
              <w:pStyle w:val="5"/>
              <w:spacing w:line="360" w:lineRule="auto"/>
              <w:jc w:val="center"/>
              <w:rPr>
                <w:rFonts w:hint="eastAsia"/>
                <w:color w:val="auto"/>
                <w:sz w:val="22"/>
                <w:szCs w:val="28"/>
                <w:vertAlign w:val="baseline"/>
                <w:lang w:eastAsia="zh-CN"/>
              </w:rPr>
            </w:pPr>
          </w:p>
        </w:tc>
      </w:tr>
      <w:tr w14:paraId="27A9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trPr>
        <w:tc>
          <w:tcPr>
            <w:tcW w:w="587" w:type="dxa"/>
            <w:noWrap w:val="0"/>
            <w:vAlign w:val="top"/>
          </w:tcPr>
          <w:p w14:paraId="2DCA9066">
            <w:pPr>
              <w:pStyle w:val="5"/>
              <w:spacing w:line="360" w:lineRule="auto"/>
              <w:jc w:val="center"/>
              <w:rPr>
                <w:rFonts w:hint="default"/>
                <w:color w:val="auto"/>
                <w:sz w:val="22"/>
                <w:szCs w:val="28"/>
                <w:vertAlign w:val="baseline"/>
                <w:lang w:val="en-US" w:eastAsia="zh-CN"/>
              </w:rPr>
            </w:pPr>
            <w:r>
              <w:rPr>
                <w:rFonts w:hint="eastAsia"/>
                <w:color w:val="auto"/>
                <w:sz w:val="22"/>
                <w:szCs w:val="28"/>
                <w:vertAlign w:val="baseline"/>
                <w:lang w:val="en-US" w:eastAsia="zh-CN"/>
              </w:rPr>
              <w:t>2</w:t>
            </w:r>
          </w:p>
        </w:tc>
        <w:tc>
          <w:tcPr>
            <w:tcW w:w="3093" w:type="dxa"/>
            <w:noWrap w:val="0"/>
            <w:vAlign w:val="top"/>
          </w:tcPr>
          <w:p w14:paraId="753FB34B">
            <w:pPr>
              <w:pStyle w:val="5"/>
              <w:spacing w:line="360" w:lineRule="auto"/>
              <w:jc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户</w:t>
            </w:r>
            <w:r>
              <w:rPr>
                <w:rFonts w:hint="default" w:ascii="宋体" w:hAnsi="宋体" w:eastAsia="宋体" w:cs="宋体"/>
                <w:i w:val="0"/>
                <w:color w:val="auto"/>
                <w:kern w:val="0"/>
                <w:sz w:val="21"/>
                <w:szCs w:val="21"/>
                <w:u w:val="none"/>
                <w:lang w:val="en-US" w:eastAsia="zh-CN" w:bidi="ar"/>
              </w:rPr>
              <w:t>外P5大屏</w:t>
            </w:r>
          </w:p>
        </w:tc>
        <w:tc>
          <w:tcPr>
            <w:tcW w:w="933" w:type="dxa"/>
            <w:noWrap w:val="0"/>
            <w:vAlign w:val="top"/>
          </w:tcPr>
          <w:p w14:paraId="19C7D98D">
            <w:pPr>
              <w:pStyle w:val="5"/>
              <w:spacing w:line="360" w:lineRule="auto"/>
              <w:jc w:val="center"/>
              <w:rPr>
                <w:rFonts w:hint="eastAsia"/>
                <w:color w:val="auto"/>
                <w:sz w:val="22"/>
                <w:szCs w:val="28"/>
                <w:vertAlign w:val="baseline"/>
                <w:lang w:eastAsia="zh-CN"/>
              </w:rPr>
            </w:pPr>
          </w:p>
        </w:tc>
        <w:tc>
          <w:tcPr>
            <w:tcW w:w="810" w:type="dxa"/>
            <w:noWrap w:val="0"/>
            <w:vAlign w:val="center"/>
          </w:tcPr>
          <w:p w14:paraId="4597A28E">
            <w:pPr>
              <w:pStyle w:val="5"/>
              <w:spacing w:line="360" w:lineRule="auto"/>
              <w:jc w:val="center"/>
              <w:rPr>
                <w:rFonts w:hint="default"/>
                <w:color w:val="auto"/>
                <w:sz w:val="16"/>
                <w:szCs w:val="20"/>
                <w:vertAlign w:val="baseline"/>
                <w:lang w:val="en-US" w:eastAsia="zh-CN"/>
              </w:rPr>
            </w:pPr>
            <w:r>
              <w:rPr>
                <w:rFonts w:hint="default"/>
                <w:color w:val="auto"/>
                <w:sz w:val="16"/>
                <w:szCs w:val="20"/>
                <w:vertAlign w:val="baseline"/>
                <w:lang w:val="en-US" w:eastAsia="zh-CN"/>
              </w:rPr>
              <w:t>1台（15.97m2）</w:t>
            </w:r>
          </w:p>
        </w:tc>
        <w:tc>
          <w:tcPr>
            <w:tcW w:w="1088" w:type="dxa"/>
            <w:noWrap w:val="0"/>
            <w:vAlign w:val="center"/>
          </w:tcPr>
          <w:p w14:paraId="79136E95">
            <w:pPr>
              <w:keepNext w:val="0"/>
              <w:keepLines w:val="0"/>
              <w:widowControl/>
              <w:suppressLineNumbers w:val="0"/>
              <w:spacing w:line="360" w:lineRule="auto"/>
              <w:jc w:val="center"/>
              <w:textAlignment w:val="center"/>
              <w:rPr>
                <w:rFonts w:hint="eastAsia" w:ascii="宋体" w:hAnsi="宋体" w:eastAsia="宋体" w:cs="宋体"/>
                <w:i w:val="0"/>
                <w:color w:val="auto"/>
                <w:kern w:val="2"/>
                <w:sz w:val="24"/>
                <w:szCs w:val="24"/>
                <w:u w:val="none"/>
                <w:lang w:val="en-US" w:eastAsia="zh-CN" w:bidi="ar-SA"/>
              </w:rPr>
            </w:pPr>
          </w:p>
        </w:tc>
        <w:tc>
          <w:tcPr>
            <w:tcW w:w="915" w:type="dxa"/>
            <w:noWrap w:val="0"/>
            <w:vAlign w:val="top"/>
          </w:tcPr>
          <w:p w14:paraId="0EA3B300">
            <w:pPr>
              <w:pStyle w:val="5"/>
              <w:spacing w:line="360" w:lineRule="auto"/>
              <w:jc w:val="center"/>
              <w:rPr>
                <w:rFonts w:hint="eastAsia"/>
                <w:color w:val="auto"/>
                <w:sz w:val="22"/>
                <w:szCs w:val="28"/>
                <w:vertAlign w:val="baseline"/>
                <w:lang w:eastAsia="zh-CN"/>
              </w:rPr>
            </w:pPr>
          </w:p>
        </w:tc>
        <w:tc>
          <w:tcPr>
            <w:tcW w:w="826" w:type="dxa"/>
            <w:noWrap w:val="0"/>
            <w:vAlign w:val="top"/>
          </w:tcPr>
          <w:p w14:paraId="3511C4FB">
            <w:pPr>
              <w:pStyle w:val="5"/>
              <w:spacing w:line="360" w:lineRule="auto"/>
              <w:jc w:val="center"/>
              <w:rPr>
                <w:rFonts w:hint="eastAsia"/>
                <w:color w:val="auto"/>
                <w:sz w:val="22"/>
                <w:szCs w:val="28"/>
                <w:vertAlign w:val="baseline"/>
                <w:lang w:eastAsia="zh-CN"/>
              </w:rPr>
            </w:pPr>
          </w:p>
        </w:tc>
        <w:tc>
          <w:tcPr>
            <w:tcW w:w="976" w:type="dxa"/>
            <w:noWrap w:val="0"/>
            <w:vAlign w:val="top"/>
          </w:tcPr>
          <w:p w14:paraId="2B9181BB">
            <w:pPr>
              <w:pStyle w:val="5"/>
              <w:spacing w:line="360" w:lineRule="auto"/>
              <w:jc w:val="center"/>
              <w:rPr>
                <w:rFonts w:hint="eastAsia"/>
                <w:color w:val="auto"/>
                <w:sz w:val="22"/>
                <w:szCs w:val="28"/>
                <w:vertAlign w:val="baseline"/>
                <w:lang w:eastAsia="zh-CN"/>
              </w:rPr>
            </w:pPr>
          </w:p>
        </w:tc>
      </w:tr>
      <w:tr w14:paraId="5CAB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3680" w:type="dxa"/>
            <w:gridSpan w:val="2"/>
            <w:noWrap w:val="0"/>
            <w:vAlign w:val="center"/>
          </w:tcPr>
          <w:p w14:paraId="05993DEC">
            <w:pPr>
              <w:keepNext w:val="0"/>
              <w:keepLines w:val="0"/>
              <w:widowControl/>
              <w:suppressLineNumbers w:val="0"/>
              <w:spacing w:line="360" w:lineRule="auto"/>
              <w:jc w:val="center"/>
              <w:textAlignment w:val="center"/>
              <w:rPr>
                <w:rFonts w:hint="default"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合计：</w:t>
            </w:r>
          </w:p>
        </w:tc>
        <w:tc>
          <w:tcPr>
            <w:tcW w:w="933" w:type="dxa"/>
            <w:shd w:val="clear" w:color="auto" w:fill="auto"/>
            <w:noWrap w:val="0"/>
            <w:vAlign w:val="top"/>
          </w:tcPr>
          <w:p w14:paraId="5757457F">
            <w:pPr>
              <w:pStyle w:val="5"/>
              <w:spacing w:line="360" w:lineRule="auto"/>
              <w:jc w:val="center"/>
              <w:rPr>
                <w:rFonts w:hint="eastAsia" w:ascii="Times New Roman" w:hAnsi="Times New Roman" w:eastAsia="宋体" w:cs="Times New Roman"/>
                <w:color w:val="auto"/>
                <w:kern w:val="2"/>
                <w:sz w:val="22"/>
                <w:szCs w:val="28"/>
                <w:vertAlign w:val="baseline"/>
                <w:lang w:val="en-US" w:eastAsia="zh-CN" w:bidi="ar-SA"/>
              </w:rPr>
            </w:pPr>
          </w:p>
        </w:tc>
        <w:tc>
          <w:tcPr>
            <w:tcW w:w="810" w:type="dxa"/>
            <w:shd w:val="clear" w:color="auto" w:fill="auto"/>
            <w:noWrap w:val="0"/>
            <w:vAlign w:val="center"/>
          </w:tcPr>
          <w:p w14:paraId="4AE142C8">
            <w:pPr>
              <w:pStyle w:val="5"/>
              <w:spacing w:line="360" w:lineRule="auto"/>
              <w:jc w:val="center"/>
              <w:rPr>
                <w:rFonts w:hint="eastAsia" w:cs="Times New Roman"/>
                <w:color w:val="auto"/>
                <w:kern w:val="2"/>
                <w:sz w:val="22"/>
                <w:szCs w:val="28"/>
                <w:vertAlign w:val="baseline"/>
                <w:lang w:val="en-US" w:eastAsia="zh-CN" w:bidi="ar-SA"/>
              </w:rPr>
            </w:pPr>
          </w:p>
        </w:tc>
        <w:tc>
          <w:tcPr>
            <w:tcW w:w="1088" w:type="dxa"/>
            <w:shd w:val="clear" w:color="auto" w:fill="auto"/>
            <w:noWrap w:val="0"/>
            <w:vAlign w:val="center"/>
          </w:tcPr>
          <w:p w14:paraId="56B1F0E3">
            <w:pPr>
              <w:keepNext w:val="0"/>
              <w:keepLines w:val="0"/>
              <w:widowControl/>
              <w:suppressLineNumbers w:val="0"/>
              <w:spacing w:line="360" w:lineRule="auto"/>
              <w:jc w:val="center"/>
              <w:textAlignment w:val="center"/>
              <w:rPr>
                <w:rFonts w:hint="eastAsia" w:ascii="宋体" w:hAnsi="宋体" w:eastAsia="宋体" w:cs="宋体"/>
                <w:i w:val="0"/>
                <w:color w:val="auto"/>
                <w:kern w:val="2"/>
                <w:sz w:val="24"/>
                <w:szCs w:val="24"/>
                <w:u w:val="none"/>
                <w:lang w:val="en-US" w:eastAsia="zh-CN" w:bidi="ar-SA"/>
              </w:rPr>
            </w:pPr>
          </w:p>
        </w:tc>
        <w:tc>
          <w:tcPr>
            <w:tcW w:w="915" w:type="dxa"/>
            <w:noWrap w:val="0"/>
            <w:vAlign w:val="top"/>
          </w:tcPr>
          <w:p w14:paraId="769655D3">
            <w:pPr>
              <w:pStyle w:val="5"/>
              <w:spacing w:line="360" w:lineRule="auto"/>
              <w:jc w:val="center"/>
              <w:rPr>
                <w:rFonts w:hint="eastAsia"/>
                <w:color w:val="auto"/>
                <w:sz w:val="22"/>
                <w:szCs w:val="28"/>
                <w:vertAlign w:val="baseline"/>
                <w:lang w:eastAsia="zh-CN"/>
              </w:rPr>
            </w:pPr>
          </w:p>
        </w:tc>
        <w:tc>
          <w:tcPr>
            <w:tcW w:w="826" w:type="dxa"/>
            <w:noWrap w:val="0"/>
            <w:vAlign w:val="top"/>
          </w:tcPr>
          <w:p w14:paraId="677B064F">
            <w:pPr>
              <w:pStyle w:val="5"/>
              <w:spacing w:line="360" w:lineRule="auto"/>
              <w:jc w:val="center"/>
              <w:rPr>
                <w:rFonts w:hint="eastAsia"/>
                <w:color w:val="auto"/>
                <w:sz w:val="22"/>
                <w:szCs w:val="28"/>
                <w:vertAlign w:val="baseline"/>
                <w:lang w:eastAsia="zh-CN"/>
              </w:rPr>
            </w:pPr>
          </w:p>
        </w:tc>
        <w:tc>
          <w:tcPr>
            <w:tcW w:w="976" w:type="dxa"/>
            <w:noWrap w:val="0"/>
            <w:vAlign w:val="top"/>
          </w:tcPr>
          <w:p w14:paraId="04448A0D">
            <w:pPr>
              <w:pStyle w:val="5"/>
              <w:spacing w:line="360" w:lineRule="auto"/>
              <w:jc w:val="center"/>
              <w:rPr>
                <w:rFonts w:hint="eastAsia"/>
                <w:color w:val="auto"/>
                <w:sz w:val="22"/>
                <w:szCs w:val="28"/>
                <w:vertAlign w:val="baseline"/>
                <w:lang w:eastAsia="zh-CN"/>
              </w:rPr>
            </w:pPr>
          </w:p>
        </w:tc>
      </w:tr>
    </w:tbl>
    <w:p w14:paraId="37DC3CB1">
      <w:pPr>
        <w:spacing w:line="360" w:lineRule="auto"/>
        <w:ind w:firstLine="2" w:firstLineChars="1"/>
        <w:rPr>
          <w:color w:val="auto"/>
          <w:sz w:val="22"/>
          <w:szCs w:val="22"/>
        </w:rPr>
      </w:pPr>
      <w:r>
        <w:rPr>
          <w:color w:val="auto"/>
          <w:sz w:val="22"/>
          <w:szCs w:val="22"/>
        </w:rPr>
        <w:t>供应商：（盖单位</w:t>
      </w:r>
      <w:r>
        <w:rPr>
          <w:rFonts w:hint="eastAsia"/>
          <w:color w:val="auto"/>
          <w:sz w:val="22"/>
          <w:szCs w:val="22"/>
        </w:rPr>
        <w:t>鲜章</w:t>
      </w:r>
      <w:r>
        <w:rPr>
          <w:color w:val="auto"/>
          <w:sz w:val="22"/>
          <w:szCs w:val="22"/>
        </w:rPr>
        <w:t>）</w:t>
      </w:r>
    </w:p>
    <w:p w14:paraId="648D5907">
      <w:pPr>
        <w:spacing w:line="360" w:lineRule="auto"/>
        <w:ind w:firstLine="2" w:firstLineChars="1"/>
        <w:rPr>
          <w:color w:val="auto"/>
          <w:sz w:val="22"/>
          <w:szCs w:val="22"/>
        </w:rPr>
      </w:pPr>
      <w:r>
        <w:rPr>
          <w:color w:val="auto"/>
          <w:sz w:val="22"/>
          <w:szCs w:val="22"/>
        </w:rPr>
        <w:t>法定代表人：（</w:t>
      </w:r>
      <w:r>
        <w:rPr>
          <w:rFonts w:hint="eastAsia" w:ascii="宋体"/>
          <w:color w:val="auto"/>
          <w:sz w:val="22"/>
          <w:szCs w:val="28"/>
        </w:rPr>
        <w:t>签名或盖章</w:t>
      </w:r>
      <w:r>
        <w:rPr>
          <w:color w:val="auto"/>
          <w:sz w:val="22"/>
          <w:szCs w:val="22"/>
        </w:rPr>
        <w:t>）</w:t>
      </w:r>
    </w:p>
    <w:p w14:paraId="603CCA77">
      <w:pPr>
        <w:pStyle w:val="6"/>
        <w:spacing w:line="360" w:lineRule="auto"/>
        <w:jc w:val="center"/>
        <w:rPr>
          <w:rFonts w:hint="eastAsia" w:ascii="宋体" w:hAnsi="宋体" w:eastAsia="宋体" w:cs="Times New Roman"/>
          <w:b/>
          <w:color w:val="auto"/>
          <w:sz w:val="22"/>
          <w:szCs w:val="32"/>
          <w:lang w:eastAsia="zh-CN"/>
        </w:rPr>
      </w:pPr>
      <w:r>
        <w:rPr>
          <w:rFonts w:hint="eastAsia" w:ascii="宋体" w:hAnsi="宋体" w:eastAsia="宋体" w:cs="Times New Roman"/>
          <w:b/>
          <w:color w:val="auto"/>
          <w:sz w:val="22"/>
          <w:szCs w:val="32"/>
          <w:lang w:val="en-US" w:eastAsia="zh-CN"/>
        </w:rPr>
        <w:t>注；表格可以调整大小、增加内容。</w:t>
      </w:r>
      <w:r>
        <w:rPr>
          <w:rFonts w:ascii="宋体" w:hAnsi="宋体" w:eastAsia="宋体" w:cs="Times New Roman"/>
          <w:b/>
          <w:color w:val="auto"/>
          <w:sz w:val="22"/>
          <w:szCs w:val="32"/>
        </w:rPr>
        <w:t>上表中各项单价及总价均应包含人员培训、技术服务费用，安装、调试、试运行、配合验收费用，运费、保险费用及其它一切费用</w:t>
      </w:r>
      <w:r>
        <w:rPr>
          <w:rFonts w:hint="eastAsia" w:ascii="宋体" w:hAnsi="宋体" w:eastAsia="宋体" w:cs="Times New Roman"/>
          <w:b/>
          <w:color w:val="auto"/>
          <w:sz w:val="22"/>
          <w:szCs w:val="32"/>
          <w:lang w:eastAsia="zh-CN"/>
        </w:rPr>
        <w:t>。</w:t>
      </w:r>
      <w:bookmarkStart w:id="9" w:name="_Toc337822256"/>
      <w:bookmarkStart w:id="10" w:name="_Toc30036"/>
    </w:p>
    <w:p w14:paraId="4444EF57">
      <w:pPr>
        <w:pStyle w:val="6"/>
        <w:spacing w:line="360" w:lineRule="auto"/>
        <w:jc w:val="center"/>
        <w:rPr>
          <w:rFonts w:hint="eastAsia" w:ascii="宋体" w:hAnsi="宋体" w:eastAsia="宋体" w:cs="Times New Roman"/>
          <w:b/>
          <w:color w:val="auto"/>
          <w:sz w:val="22"/>
          <w:szCs w:val="32"/>
          <w:lang w:eastAsia="zh-CN"/>
        </w:rPr>
      </w:pPr>
    </w:p>
    <w:p w14:paraId="2605380B">
      <w:pPr>
        <w:pStyle w:val="6"/>
        <w:spacing w:line="360" w:lineRule="auto"/>
        <w:jc w:val="center"/>
        <w:rPr>
          <w:rFonts w:hint="eastAsia" w:ascii="宋体" w:hAnsi="宋体" w:eastAsia="宋体" w:cs="Times New Roman"/>
          <w:b/>
          <w:color w:val="auto"/>
          <w:sz w:val="22"/>
          <w:szCs w:val="32"/>
          <w:lang w:eastAsia="zh-CN"/>
        </w:rPr>
      </w:pPr>
    </w:p>
    <w:p w14:paraId="76B68287">
      <w:pPr>
        <w:pStyle w:val="6"/>
        <w:spacing w:line="360" w:lineRule="auto"/>
        <w:jc w:val="center"/>
        <w:rPr>
          <w:rFonts w:hint="eastAsia" w:ascii="宋体" w:hAnsi="宋体" w:eastAsia="宋体" w:cs="Times New Roman"/>
          <w:b/>
          <w:color w:val="auto"/>
          <w:sz w:val="22"/>
          <w:szCs w:val="32"/>
          <w:lang w:eastAsia="zh-CN"/>
        </w:rPr>
      </w:pPr>
    </w:p>
    <w:p w14:paraId="23F27E24">
      <w:pPr>
        <w:pStyle w:val="6"/>
        <w:spacing w:line="360" w:lineRule="auto"/>
        <w:jc w:val="center"/>
        <w:rPr>
          <w:rFonts w:hint="eastAsia" w:ascii="宋体" w:hAnsi="宋体" w:eastAsia="宋体" w:cs="Times New Roman"/>
          <w:b/>
          <w:color w:val="auto"/>
          <w:sz w:val="22"/>
          <w:szCs w:val="32"/>
          <w:lang w:eastAsia="zh-CN"/>
        </w:rPr>
      </w:pPr>
    </w:p>
    <w:p w14:paraId="12BB46BC">
      <w:pPr>
        <w:pStyle w:val="6"/>
        <w:spacing w:line="360" w:lineRule="auto"/>
        <w:jc w:val="center"/>
        <w:rPr>
          <w:rFonts w:ascii="宋体" w:hAnsi="宋体" w:eastAsia="宋体"/>
          <w:bCs w:val="0"/>
          <w:color w:val="auto"/>
          <w:sz w:val="32"/>
        </w:rPr>
      </w:pPr>
      <w:r>
        <w:rPr>
          <w:rFonts w:hint="eastAsia" w:hAnsi="宋体"/>
          <w:b/>
          <w:bCs/>
          <w:color w:val="auto"/>
          <w:sz w:val="32"/>
          <w:lang w:val="en-US" w:eastAsia="zh-CN"/>
        </w:rPr>
        <w:t>五</w:t>
      </w:r>
      <w:r>
        <w:rPr>
          <w:rFonts w:hint="eastAsia" w:ascii="宋体" w:hAnsi="宋体"/>
          <w:b/>
          <w:bCs/>
          <w:color w:val="auto"/>
          <w:sz w:val="32"/>
          <w:lang w:eastAsia="zh-CN"/>
        </w:rPr>
        <w:t>、</w:t>
      </w:r>
      <w:r>
        <w:rPr>
          <w:rFonts w:ascii="宋体" w:hAnsi="宋体" w:eastAsia="宋体"/>
          <w:b/>
          <w:bCs/>
          <w:color w:val="auto"/>
          <w:sz w:val="32"/>
        </w:rPr>
        <w:t>质量保证书</w:t>
      </w:r>
      <w:bookmarkEnd w:id="9"/>
      <w:bookmarkEnd w:id="10"/>
    </w:p>
    <w:p w14:paraId="5B95F661">
      <w:pPr>
        <w:spacing w:line="360" w:lineRule="auto"/>
        <w:rPr>
          <w:rFonts w:ascii="宋体" w:hAnsi="宋体" w:eastAsia="宋体"/>
          <w:color w:val="auto"/>
          <w:szCs w:val="21"/>
        </w:rPr>
      </w:pPr>
      <w:r>
        <w:rPr>
          <w:rFonts w:ascii="宋体" w:hAnsi="宋体" w:eastAsia="宋体"/>
          <w:color w:val="auto"/>
          <w:szCs w:val="21"/>
        </w:rPr>
        <w:t>致：</w:t>
      </w:r>
      <w:r>
        <w:rPr>
          <w:rFonts w:ascii="宋体" w:hAnsi="宋体" w:eastAsia="宋体"/>
          <w:color w:val="auto"/>
          <w:szCs w:val="21"/>
          <w:u w:val="single"/>
        </w:rPr>
        <w:t>（采购人）</w:t>
      </w:r>
    </w:p>
    <w:p w14:paraId="2E1AA421">
      <w:pPr>
        <w:spacing w:line="360" w:lineRule="auto"/>
        <w:ind w:firstLine="420" w:firstLineChars="200"/>
        <w:rPr>
          <w:rFonts w:ascii="宋体" w:hAnsi="宋体" w:eastAsia="宋体"/>
          <w:color w:val="auto"/>
          <w:szCs w:val="21"/>
        </w:rPr>
      </w:pPr>
      <w:r>
        <w:rPr>
          <w:rFonts w:ascii="宋体" w:hAnsi="宋体" w:eastAsia="宋体"/>
          <w:color w:val="auto"/>
          <w:szCs w:val="21"/>
        </w:rPr>
        <w:t>本保证书作为</w:t>
      </w:r>
      <w:r>
        <w:rPr>
          <w:rFonts w:ascii="宋体" w:hAnsi="宋体" w:eastAsia="宋体"/>
          <w:color w:val="auto"/>
          <w:szCs w:val="21"/>
          <w:u w:val="single"/>
        </w:rPr>
        <w:t>（供应商名称）</w:t>
      </w:r>
      <w:r>
        <w:rPr>
          <w:rFonts w:ascii="宋体" w:hAnsi="宋体" w:eastAsia="宋体"/>
          <w:color w:val="auto"/>
          <w:szCs w:val="21"/>
        </w:rPr>
        <w:t>对_______________项目（项目编号：__________）询价提供的质量和服务的保证。</w:t>
      </w:r>
    </w:p>
    <w:p w14:paraId="410A9EAB">
      <w:pPr>
        <w:spacing w:line="360" w:lineRule="auto"/>
        <w:ind w:firstLine="420" w:firstLineChars="200"/>
        <w:rPr>
          <w:rFonts w:ascii="宋体" w:hAnsi="宋体" w:eastAsia="宋体"/>
          <w:color w:val="auto"/>
          <w:szCs w:val="21"/>
        </w:rPr>
      </w:pPr>
      <w:r>
        <w:rPr>
          <w:rFonts w:ascii="宋体" w:hAnsi="宋体" w:eastAsia="宋体"/>
          <w:color w:val="auto"/>
          <w:szCs w:val="21"/>
        </w:rPr>
        <w:t>我方承诺提供以下质量保证并承担相应的法律责任：</w:t>
      </w:r>
    </w:p>
    <w:p w14:paraId="77630410">
      <w:pPr>
        <w:spacing w:line="360" w:lineRule="auto"/>
        <w:ind w:firstLine="420" w:firstLineChars="200"/>
        <w:rPr>
          <w:rFonts w:ascii="宋体" w:hAnsi="宋体" w:eastAsia="宋体"/>
          <w:color w:val="auto"/>
          <w:szCs w:val="21"/>
        </w:rPr>
      </w:pPr>
      <w:r>
        <w:rPr>
          <w:rFonts w:ascii="宋体" w:hAnsi="宋体" w:eastAsia="宋体"/>
          <w:color w:val="auto"/>
          <w:szCs w:val="21"/>
        </w:rPr>
        <w:t>1. 提供的货物是全新的、符合国家质量标准、国家有关部门手续完备、具有生产厂家质量保证书（或合格证明）的设备；</w:t>
      </w:r>
    </w:p>
    <w:p w14:paraId="1E56C794">
      <w:pPr>
        <w:spacing w:line="360" w:lineRule="auto"/>
        <w:ind w:firstLine="420" w:firstLineChars="200"/>
        <w:rPr>
          <w:rFonts w:ascii="宋体" w:hAnsi="宋体" w:eastAsia="宋体"/>
          <w:color w:val="auto"/>
          <w:szCs w:val="21"/>
        </w:rPr>
      </w:pPr>
      <w:r>
        <w:rPr>
          <w:rFonts w:ascii="宋体" w:hAnsi="宋体" w:eastAsia="宋体"/>
          <w:color w:val="auto"/>
          <w:szCs w:val="21"/>
        </w:rPr>
        <w:t>2. 提供的货物符合响应文件承诺和所签合同规定的技术要求；</w:t>
      </w:r>
    </w:p>
    <w:p w14:paraId="3DAD60C6">
      <w:pPr>
        <w:spacing w:line="360" w:lineRule="auto"/>
        <w:ind w:firstLine="420" w:firstLineChars="200"/>
        <w:rPr>
          <w:rFonts w:ascii="宋体" w:hAnsi="宋体" w:eastAsia="宋体"/>
          <w:color w:val="auto"/>
          <w:szCs w:val="21"/>
        </w:rPr>
      </w:pPr>
      <w:r>
        <w:rPr>
          <w:rFonts w:ascii="宋体" w:hAnsi="宋体" w:eastAsia="宋体"/>
          <w:color w:val="auto"/>
          <w:szCs w:val="21"/>
        </w:rPr>
        <w:t>3. 保证“售后服务承诺”全部内容的满足；</w:t>
      </w:r>
    </w:p>
    <w:p w14:paraId="14FFE635">
      <w:pPr>
        <w:spacing w:line="360" w:lineRule="auto"/>
        <w:ind w:firstLine="420" w:firstLineChars="200"/>
        <w:rPr>
          <w:rFonts w:ascii="宋体" w:hAnsi="宋体" w:eastAsia="宋体"/>
          <w:color w:val="auto"/>
          <w:szCs w:val="21"/>
        </w:rPr>
      </w:pPr>
      <w:r>
        <w:rPr>
          <w:rFonts w:ascii="宋体" w:hAnsi="宋体" w:eastAsia="宋体"/>
          <w:color w:val="auto"/>
          <w:szCs w:val="21"/>
        </w:rPr>
        <w:t>4. 我单位承诺的性能保证如下：（请详细列明）</w:t>
      </w:r>
    </w:p>
    <w:p w14:paraId="20392F0A">
      <w:pPr>
        <w:spacing w:line="360" w:lineRule="auto"/>
        <w:ind w:firstLine="420" w:firstLineChars="200"/>
        <w:rPr>
          <w:rFonts w:ascii="宋体" w:hAnsi="宋体" w:eastAsia="宋体"/>
          <w:color w:val="auto"/>
          <w:szCs w:val="21"/>
        </w:rPr>
      </w:pPr>
      <w:r>
        <w:rPr>
          <w:rFonts w:ascii="宋体" w:hAnsi="宋体" w:eastAsia="宋体"/>
          <w:color w:val="auto"/>
          <w:szCs w:val="21"/>
        </w:rPr>
        <w:t>_______________________________________________________________________</w:t>
      </w:r>
    </w:p>
    <w:p w14:paraId="1937F907">
      <w:pPr>
        <w:spacing w:line="360" w:lineRule="auto"/>
        <w:ind w:firstLine="420" w:firstLineChars="200"/>
        <w:rPr>
          <w:rFonts w:ascii="宋体" w:hAnsi="宋体" w:eastAsia="宋体"/>
          <w:color w:val="auto"/>
          <w:szCs w:val="21"/>
        </w:rPr>
      </w:pPr>
      <w:r>
        <w:rPr>
          <w:rFonts w:ascii="宋体" w:hAnsi="宋体" w:eastAsia="宋体"/>
          <w:color w:val="auto"/>
          <w:szCs w:val="21"/>
        </w:rPr>
        <w:t>_______________________________________________________________________</w:t>
      </w:r>
    </w:p>
    <w:p w14:paraId="35D57038">
      <w:pPr>
        <w:spacing w:line="360" w:lineRule="auto"/>
        <w:ind w:firstLine="420" w:firstLineChars="200"/>
        <w:rPr>
          <w:rFonts w:ascii="宋体" w:hAnsi="宋体" w:eastAsia="宋体"/>
          <w:color w:val="auto"/>
          <w:szCs w:val="21"/>
        </w:rPr>
      </w:pPr>
      <w:r>
        <w:rPr>
          <w:rFonts w:ascii="宋体" w:hAnsi="宋体" w:eastAsia="宋体"/>
          <w:color w:val="auto"/>
          <w:szCs w:val="21"/>
        </w:rPr>
        <w:t>本保证书自询价之日起有效，如我方成交，则至货物保质期满为止有效。</w:t>
      </w:r>
    </w:p>
    <w:p w14:paraId="1D668AF8">
      <w:pPr>
        <w:spacing w:line="360" w:lineRule="auto"/>
        <w:ind w:firstLine="420" w:firstLineChars="200"/>
        <w:rPr>
          <w:rFonts w:ascii="宋体" w:hAnsi="宋体" w:eastAsia="宋体"/>
          <w:color w:val="auto"/>
          <w:szCs w:val="21"/>
        </w:rPr>
      </w:pPr>
    </w:p>
    <w:p w14:paraId="18766FA6">
      <w:pPr>
        <w:spacing w:line="360" w:lineRule="auto"/>
        <w:ind w:firstLine="420" w:firstLineChars="200"/>
        <w:rPr>
          <w:rFonts w:ascii="宋体" w:hAnsi="宋体" w:eastAsia="宋体"/>
          <w:color w:val="auto"/>
          <w:szCs w:val="21"/>
        </w:rPr>
      </w:pPr>
    </w:p>
    <w:p w14:paraId="15C39419">
      <w:pPr>
        <w:spacing w:line="360" w:lineRule="auto"/>
        <w:ind w:left="2159" w:leftChars="1028" w:firstLine="2" w:firstLineChars="1"/>
        <w:rPr>
          <w:rFonts w:ascii="宋体" w:hAnsi="宋体" w:eastAsia="宋体"/>
          <w:color w:val="auto"/>
          <w:szCs w:val="21"/>
        </w:rPr>
      </w:pPr>
      <w:r>
        <w:rPr>
          <w:rFonts w:ascii="宋体" w:hAnsi="宋体" w:eastAsia="宋体"/>
          <w:color w:val="auto"/>
          <w:szCs w:val="21"/>
        </w:rPr>
        <w:t>供应商：（盖单位</w:t>
      </w:r>
      <w:r>
        <w:rPr>
          <w:rFonts w:hint="eastAsia" w:ascii="宋体" w:hAnsi="宋体" w:eastAsia="宋体"/>
          <w:color w:val="auto"/>
          <w:szCs w:val="21"/>
        </w:rPr>
        <w:t>鲜章</w:t>
      </w:r>
      <w:r>
        <w:rPr>
          <w:rFonts w:ascii="宋体" w:hAnsi="宋体" w:eastAsia="宋体"/>
          <w:color w:val="auto"/>
          <w:szCs w:val="21"/>
        </w:rPr>
        <w:t>）</w:t>
      </w:r>
    </w:p>
    <w:p w14:paraId="7F8B4057">
      <w:pPr>
        <w:spacing w:line="360" w:lineRule="auto"/>
        <w:ind w:left="2159" w:leftChars="1028" w:firstLine="2" w:firstLineChars="1"/>
        <w:rPr>
          <w:rFonts w:ascii="宋体" w:hAnsi="宋体" w:eastAsia="宋体"/>
          <w:color w:val="auto"/>
          <w:szCs w:val="21"/>
        </w:rPr>
      </w:pPr>
      <w:r>
        <w:rPr>
          <w:rFonts w:ascii="宋体" w:hAnsi="宋体" w:eastAsia="宋体"/>
          <w:color w:val="auto"/>
          <w:szCs w:val="21"/>
        </w:rPr>
        <w:t>法定代表人：（</w:t>
      </w:r>
      <w:r>
        <w:rPr>
          <w:rFonts w:hint="eastAsia" w:ascii="宋体" w:hAnsi="宋体" w:eastAsia="宋体"/>
          <w:color w:val="auto"/>
        </w:rPr>
        <w:t>签名或盖章</w:t>
      </w:r>
      <w:r>
        <w:rPr>
          <w:rFonts w:ascii="宋体" w:hAnsi="宋体" w:eastAsia="宋体"/>
          <w:color w:val="auto"/>
          <w:szCs w:val="21"/>
        </w:rPr>
        <w:t>）</w:t>
      </w:r>
    </w:p>
    <w:p w14:paraId="0D2314F2">
      <w:pPr>
        <w:spacing w:line="360" w:lineRule="auto"/>
        <w:ind w:left="1739" w:firstLine="420"/>
        <w:rPr>
          <w:rFonts w:ascii="宋体" w:hAnsi="宋体" w:eastAsia="宋体"/>
          <w:color w:val="auto"/>
          <w:szCs w:val="21"/>
          <w:u w:val="single"/>
        </w:rPr>
      </w:pPr>
      <w:r>
        <w:rPr>
          <w:rFonts w:ascii="宋体" w:hAnsi="宋体" w:eastAsia="宋体"/>
          <w:color w:val="auto"/>
          <w:szCs w:val="21"/>
        </w:rPr>
        <w:t>年月日</w:t>
      </w:r>
    </w:p>
    <w:p w14:paraId="1251BE0D">
      <w:pPr>
        <w:spacing w:line="360" w:lineRule="auto"/>
        <w:ind w:firstLine="480" w:firstLineChars="200"/>
        <w:rPr>
          <w:rFonts w:ascii="宋体" w:hAnsi="宋体" w:eastAsia="宋体"/>
          <w:color w:val="auto"/>
          <w:sz w:val="24"/>
        </w:rPr>
      </w:pPr>
    </w:p>
    <w:p w14:paraId="04D768D9">
      <w:pPr>
        <w:pStyle w:val="5"/>
        <w:rPr>
          <w:rFonts w:hint="eastAsia" w:ascii="宋体" w:hAnsi="宋体" w:eastAsia="宋体" w:cs="Times New Roman"/>
          <w:b/>
          <w:color w:val="auto"/>
          <w:sz w:val="22"/>
          <w:szCs w:val="32"/>
          <w:lang w:val="en-US" w:eastAsia="zh-CN"/>
        </w:rPr>
      </w:pPr>
    </w:p>
    <w:p w14:paraId="28A57D86">
      <w:pPr>
        <w:pStyle w:val="5"/>
        <w:spacing w:line="560" w:lineRule="exact"/>
        <w:jc w:val="left"/>
        <w:rPr>
          <w:rFonts w:hint="default" w:ascii="Times New Roman" w:hAnsi="Times New Roman" w:eastAsia="方正仿宋_GBK" w:cs="Times New Roman"/>
          <w:color w:val="auto"/>
          <w:kern w:val="0"/>
          <w:sz w:val="32"/>
          <w:szCs w:val="32"/>
          <w:lang w:val="en-US" w:eastAsia="zh-CN"/>
        </w:rPr>
      </w:pPr>
    </w:p>
    <w:p w14:paraId="6F822834">
      <w:pPr>
        <w:pStyle w:val="5"/>
        <w:spacing w:line="560" w:lineRule="exact"/>
        <w:jc w:val="left"/>
        <w:rPr>
          <w:rFonts w:hint="default" w:ascii="Times New Roman" w:hAnsi="Times New Roman" w:eastAsia="方正仿宋_GBK" w:cs="Times New Roman"/>
          <w:color w:val="auto"/>
          <w:kern w:val="0"/>
          <w:sz w:val="32"/>
          <w:szCs w:val="32"/>
          <w:lang w:val="en-US" w:eastAsia="zh-CN"/>
        </w:rPr>
      </w:pPr>
    </w:p>
    <w:p w14:paraId="39652F11">
      <w:pPr>
        <w:rPr>
          <w:rFonts w:hint="default" w:ascii="Times New Roman" w:hAnsi="Times New Roman" w:eastAsia="方正仿宋_GBK" w:cs="Times New Roman"/>
          <w:color w:val="auto"/>
          <w:kern w:val="0"/>
          <w:sz w:val="32"/>
          <w:szCs w:val="32"/>
          <w:lang w:val="en-US" w:eastAsia="zh-CN"/>
        </w:rPr>
      </w:pPr>
    </w:p>
    <w:p w14:paraId="5B71972E">
      <w:pPr>
        <w:pStyle w:val="5"/>
        <w:rPr>
          <w:rFonts w:hint="default" w:ascii="Times New Roman" w:hAnsi="Times New Roman" w:eastAsia="方正仿宋_GBK" w:cs="Times New Roman"/>
          <w:color w:val="auto"/>
          <w:kern w:val="0"/>
          <w:sz w:val="32"/>
          <w:szCs w:val="32"/>
          <w:lang w:val="en-US" w:eastAsia="zh-CN"/>
        </w:rPr>
      </w:pPr>
    </w:p>
    <w:p w14:paraId="4EB727F1">
      <w:pPr>
        <w:rPr>
          <w:rFonts w:hint="default" w:ascii="Times New Roman" w:hAnsi="Times New Roman" w:eastAsia="方正仿宋_GBK" w:cs="Times New Roman"/>
          <w:color w:val="auto"/>
          <w:kern w:val="0"/>
          <w:sz w:val="32"/>
          <w:szCs w:val="32"/>
          <w:lang w:val="en-US" w:eastAsia="zh-CN"/>
        </w:rPr>
      </w:pPr>
    </w:p>
    <w:p w14:paraId="12A043CA">
      <w:pPr>
        <w:pStyle w:val="3"/>
        <w:numPr>
          <w:ilvl w:val="1"/>
          <w:numId w:val="0"/>
        </w:numPr>
        <w:tabs>
          <w:tab w:val="left" w:pos="360"/>
        </w:tabs>
        <w:spacing w:before="0"/>
        <w:jc w:val="both"/>
        <w:rPr>
          <w:rFonts w:hint="eastAsia" w:ascii="宋体" w:hAnsi="宋体" w:eastAsia="宋体"/>
          <w:bCs w:val="0"/>
          <w:color w:val="auto"/>
          <w:sz w:val="32"/>
          <w:lang w:val="en-US" w:eastAsia="zh-CN"/>
        </w:rPr>
      </w:pPr>
      <w:bookmarkStart w:id="11" w:name="_Toc5738"/>
      <w:bookmarkStart w:id="12" w:name="_Toc337822257"/>
    </w:p>
    <w:p w14:paraId="666EF361">
      <w:pPr>
        <w:pStyle w:val="3"/>
        <w:numPr>
          <w:ilvl w:val="1"/>
          <w:numId w:val="0"/>
        </w:numPr>
        <w:tabs>
          <w:tab w:val="left" w:pos="360"/>
        </w:tabs>
        <w:spacing w:before="0"/>
        <w:ind w:left="425" w:firstLine="2249" w:firstLineChars="700"/>
        <w:jc w:val="both"/>
        <w:rPr>
          <w:rFonts w:hint="eastAsia" w:ascii="宋体" w:hAnsi="宋体" w:eastAsia="宋体"/>
          <w:bCs w:val="0"/>
          <w:color w:val="auto"/>
          <w:sz w:val="32"/>
          <w:lang w:val="en-US" w:eastAsia="zh-CN"/>
        </w:rPr>
      </w:pPr>
    </w:p>
    <w:p w14:paraId="44825042">
      <w:pPr>
        <w:pStyle w:val="3"/>
        <w:numPr>
          <w:ilvl w:val="1"/>
          <w:numId w:val="0"/>
        </w:numPr>
        <w:tabs>
          <w:tab w:val="left" w:pos="360"/>
        </w:tabs>
        <w:spacing w:before="0"/>
        <w:ind w:left="425" w:firstLine="2249" w:firstLineChars="700"/>
        <w:jc w:val="both"/>
        <w:rPr>
          <w:rFonts w:ascii="宋体" w:hAnsi="宋体" w:eastAsia="宋体"/>
          <w:bCs w:val="0"/>
          <w:color w:val="auto"/>
          <w:sz w:val="32"/>
        </w:rPr>
      </w:pPr>
      <w:r>
        <w:rPr>
          <w:rFonts w:hint="eastAsia" w:ascii="宋体" w:hAnsi="宋体" w:eastAsia="宋体"/>
          <w:bCs w:val="0"/>
          <w:color w:val="auto"/>
          <w:sz w:val="32"/>
          <w:lang w:val="en-US" w:eastAsia="zh-CN"/>
        </w:rPr>
        <w:t>六、</w:t>
      </w:r>
      <w:r>
        <w:rPr>
          <w:rFonts w:ascii="宋体" w:hAnsi="宋体" w:eastAsia="宋体"/>
          <w:bCs w:val="0"/>
          <w:color w:val="auto"/>
          <w:sz w:val="32"/>
        </w:rPr>
        <w:t>售后服务承诺书</w:t>
      </w:r>
      <w:bookmarkEnd w:id="11"/>
      <w:bookmarkEnd w:id="12"/>
    </w:p>
    <w:p w14:paraId="7733F006">
      <w:pPr>
        <w:spacing w:line="360" w:lineRule="auto"/>
        <w:rPr>
          <w:rFonts w:ascii="宋体" w:hAnsi="宋体" w:eastAsia="宋体"/>
          <w:color w:val="auto"/>
        </w:rPr>
      </w:pPr>
    </w:p>
    <w:p w14:paraId="0C75DBF7">
      <w:pPr>
        <w:spacing w:line="360" w:lineRule="auto"/>
        <w:jc w:val="center"/>
        <w:rPr>
          <w:rFonts w:ascii="宋体" w:hAnsi="宋体" w:eastAsia="宋体"/>
          <w:color w:val="auto"/>
          <w:szCs w:val="21"/>
        </w:rPr>
      </w:pPr>
      <w:r>
        <w:rPr>
          <w:rFonts w:ascii="宋体" w:hAnsi="宋体" w:eastAsia="宋体"/>
          <w:color w:val="auto"/>
          <w:szCs w:val="21"/>
        </w:rPr>
        <w:t>（由供应商按第五章中</w:t>
      </w:r>
      <w:r>
        <w:rPr>
          <w:rFonts w:hint="eastAsia" w:ascii="宋体" w:hAnsi="宋体"/>
          <w:color w:val="auto"/>
          <w:szCs w:val="21"/>
          <w:lang w:eastAsia="zh-CN"/>
        </w:rPr>
        <w:t>技术参数及</w:t>
      </w:r>
      <w:r>
        <w:rPr>
          <w:rFonts w:ascii="宋体" w:hAnsi="宋体" w:eastAsia="宋体"/>
          <w:color w:val="auto"/>
          <w:szCs w:val="21"/>
        </w:rPr>
        <w:t>售后服务</w:t>
      </w:r>
      <w:r>
        <w:rPr>
          <w:rFonts w:hint="eastAsia" w:ascii="宋体" w:hAnsi="宋体"/>
          <w:color w:val="auto"/>
          <w:szCs w:val="21"/>
          <w:lang w:eastAsia="zh-CN"/>
        </w:rPr>
        <w:t>的</w:t>
      </w:r>
      <w:r>
        <w:rPr>
          <w:rFonts w:ascii="宋体" w:hAnsi="宋体" w:eastAsia="宋体"/>
          <w:color w:val="auto"/>
          <w:szCs w:val="21"/>
        </w:rPr>
        <w:t>要求自行编写）</w:t>
      </w:r>
    </w:p>
    <w:p w14:paraId="204D18C0">
      <w:pPr>
        <w:pStyle w:val="6"/>
        <w:spacing w:line="360" w:lineRule="auto"/>
        <w:rPr>
          <w:rFonts w:ascii="Times New Roman"/>
          <w:color w:val="auto"/>
          <w:sz w:val="21"/>
          <w:szCs w:val="21"/>
        </w:rPr>
      </w:pPr>
    </w:p>
    <w:p w14:paraId="2C82B747">
      <w:pPr>
        <w:spacing w:line="360" w:lineRule="auto"/>
        <w:ind w:firstLine="2" w:firstLineChars="1"/>
        <w:rPr>
          <w:color w:val="auto"/>
          <w:szCs w:val="21"/>
        </w:rPr>
      </w:pPr>
      <w:r>
        <w:rPr>
          <w:color w:val="auto"/>
          <w:szCs w:val="21"/>
        </w:rPr>
        <w:t>供应商：（盖单位</w:t>
      </w:r>
      <w:r>
        <w:rPr>
          <w:rFonts w:hint="eastAsia"/>
          <w:color w:val="auto"/>
          <w:szCs w:val="21"/>
        </w:rPr>
        <w:t>鲜章</w:t>
      </w:r>
      <w:r>
        <w:rPr>
          <w:color w:val="auto"/>
          <w:szCs w:val="21"/>
        </w:rPr>
        <w:t>）</w:t>
      </w:r>
    </w:p>
    <w:p w14:paraId="260843F9">
      <w:pPr>
        <w:spacing w:line="360" w:lineRule="auto"/>
        <w:ind w:firstLine="2" w:firstLineChars="1"/>
        <w:rPr>
          <w:color w:val="auto"/>
          <w:szCs w:val="21"/>
        </w:rPr>
      </w:pPr>
      <w:r>
        <w:rPr>
          <w:color w:val="auto"/>
          <w:szCs w:val="21"/>
        </w:rPr>
        <w:t>法定代表人：（</w:t>
      </w:r>
      <w:r>
        <w:rPr>
          <w:rFonts w:hint="eastAsia" w:ascii="宋体"/>
          <w:color w:val="auto"/>
        </w:rPr>
        <w:t>签名或盖章</w:t>
      </w:r>
      <w:r>
        <w:rPr>
          <w:color w:val="auto"/>
          <w:szCs w:val="21"/>
        </w:rPr>
        <w:t>）</w:t>
      </w:r>
    </w:p>
    <w:p w14:paraId="3645A275">
      <w:pPr>
        <w:spacing w:line="360" w:lineRule="auto"/>
        <w:rPr>
          <w:rFonts w:ascii="宋体" w:hAnsi="宋体" w:eastAsia="宋体"/>
          <w:color w:val="auto"/>
          <w:szCs w:val="21"/>
          <w:u w:val="single"/>
        </w:rPr>
      </w:pPr>
      <w:r>
        <w:rPr>
          <w:rFonts w:ascii="宋体" w:hAnsi="宋体" w:eastAsia="宋体"/>
          <w:color w:val="auto"/>
          <w:szCs w:val="21"/>
        </w:rPr>
        <w:t>年月日</w:t>
      </w:r>
    </w:p>
    <w:p w14:paraId="1DC0B17D">
      <w:pPr>
        <w:pStyle w:val="5"/>
        <w:rPr>
          <w:rFonts w:hint="default"/>
          <w:lang w:val="en-US" w:eastAsia="zh-CN"/>
        </w:rPr>
      </w:pPr>
    </w:p>
    <w:p w14:paraId="7683577A">
      <w:pPr>
        <w:pStyle w:val="5"/>
        <w:spacing w:line="560" w:lineRule="exact"/>
        <w:jc w:val="left"/>
        <w:rPr>
          <w:rFonts w:hint="default" w:ascii="Times New Roman" w:hAnsi="Times New Roman" w:eastAsia="方正仿宋_GBK" w:cs="Times New Roman"/>
          <w:color w:val="auto"/>
          <w:kern w:val="0"/>
          <w:sz w:val="32"/>
          <w:szCs w:val="32"/>
          <w:lang w:val="en-US" w:eastAsia="zh-CN"/>
        </w:rPr>
      </w:pPr>
    </w:p>
    <w:p w14:paraId="7FB63EB8">
      <w:pPr>
        <w:pStyle w:val="6"/>
        <w:spacing w:line="360" w:lineRule="auto"/>
        <w:rPr>
          <w:rFonts w:ascii="Times New Roman"/>
          <w:color w:val="auto"/>
          <w:sz w:val="24"/>
        </w:rPr>
      </w:pPr>
      <w:r>
        <w:rPr>
          <w:rFonts w:hint="eastAsia" w:eastAsia="方正仿宋_GBK" w:cs="Times New Roman"/>
          <w:color w:val="auto"/>
          <w:kern w:val="0"/>
          <w:sz w:val="32"/>
          <w:szCs w:val="32"/>
          <w:lang w:val="en-US" w:eastAsia="zh-CN"/>
        </w:rPr>
        <w:t xml:space="preserve">               </w:t>
      </w:r>
    </w:p>
    <w:p w14:paraId="51A82C11">
      <w:pPr>
        <w:pStyle w:val="3"/>
        <w:numPr>
          <w:ilvl w:val="1"/>
          <w:numId w:val="0"/>
        </w:numPr>
        <w:tabs>
          <w:tab w:val="left" w:pos="360"/>
        </w:tabs>
        <w:spacing w:before="0"/>
        <w:ind w:firstLine="2561" w:firstLineChars="800"/>
        <w:jc w:val="both"/>
        <w:rPr>
          <w:rFonts w:hint="eastAsia" w:ascii="宋体" w:hAnsi="宋体" w:eastAsia="宋体"/>
          <w:bCs w:val="0"/>
          <w:color w:val="auto"/>
          <w:sz w:val="32"/>
          <w:lang w:eastAsia="zh-CN"/>
        </w:rPr>
      </w:pPr>
      <w:r>
        <w:rPr>
          <w:rFonts w:hint="eastAsia" w:ascii="宋体" w:hAnsi="宋体"/>
          <w:bCs w:val="0"/>
          <w:color w:val="auto"/>
          <w:sz w:val="32"/>
          <w:lang w:val="en-US" w:eastAsia="zh-CN"/>
        </w:rPr>
        <w:t>七、</w:t>
      </w:r>
      <w:r>
        <w:rPr>
          <w:rFonts w:hint="eastAsia" w:ascii="宋体" w:hAnsi="宋体"/>
          <w:bCs w:val="0"/>
          <w:color w:val="auto"/>
          <w:sz w:val="32"/>
          <w:lang w:eastAsia="zh-CN"/>
        </w:rPr>
        <w:t>售后服务方案</w:t>
      </w:r>
    </w:p>
    <w:p w14:paraId="420C71C2">
      <w:pPr>
        <w:spacing w:line="360" w:lineRule="auto"/>
        <w:ind w:firstLine="480" w:firstLineChars="200"/>
        <w:rPr>
          <w:rFonts w:ascii="宋体" w:hAnsi="宋体" w:eastAsia="宋体"/>
          <w:color w:val="auto"/>
          <w:sz w:val="24"/>
        </w:rPr>
      </w:pPr>
    </w:p>
    <w:p w14:paraId="2D0E4B91">
      <w:pPr>
        <w:spacing w:line="360" w:lineRule="auto"/>
        <w:ind w:firstLine="480" w:firstLineChars="200"/>
        <w:rPr>
          <w:rFonts w:ascii="宋体" w:cs="Times New Roman"/>
          <w:color w:val="auto"/>
          <w:sz w:val="24"/>
          <w:szCs w:val="24"/>
          <w:u w:val="single"/>
        </w:rPr>
      </w:pPr>
      <w:r>
        <w:rPr>
          <w:rFonts w:hint="eastAsia" w:ascii="宋体" w:hAnsi="宋体" w:cs="宋体"/>
          <w:color w:val="auto"/>
          <w:sz w:val="24"/>
          <w:szCs w:val="24"/>
          <w:u w:val="single"/>
        </w:rPr>
        <w:t>要求</w:t>
      </w:r>
      <w:r>
        <w:rPr>
          <w:rFonts w:hint="eastAsia" w:ascii="宋体" w:hAnsi="宋体" w:cs="宋体"/>
          <w:color w:val="auto"/>
          <w:sz w:val="24"/>
          <w:szCs w:val="24"/>
          <w:u w:val="single"/>
          <w:lang w:eastAsia="zh-CN"/>
        </w:rPr>
        <w:t>根据</w:t>
      </w:r>
      <w:r>
        <w:rPr>
          <w:rFonts w:hint="eastAsia" w:ascii="宋体" w:hAnsi="宋体" w:cs="宋体"/>
          <w:color w:val="auto"/>
          <w:sz w:val="24"/>
          <w:szCs w:val="24"/>
          <w:u w:val="single"/>
        </w:rPr>
        <w:t>供应商的</w:t>
      </w:r>
      <w:r>
        <w:rPr>
          <w:rFonts w:hint="eastAsia" w:ascii="宋体" w:hAnsi="宋体" w:cs="宋体"/>
          <w:color w:val="auto"/>
          <w:sz w:val="24"/>
          <w:szCs w:val="24"/>
          <w:u w:val="single"/>
          <w:lang w:eastAsia="zh-CN"/>
        </w:rPr>
        <w:t>实际情况承诺</w:t>
      </w:r>
      <w:r>
        <w:rPr>
          <w:rFonts w:hint="eastAsia" w:ascii="宋体" w:hAnsi="宋体" w:cs="宋体"/>
          <w:color w:val="auto"/>
          <w:sz w:val="24"/>
          <w:szCs w:val="24"/>
          <w:u w:val="single"/>
        </w:rPr>
        <w:t>，具体格式由供应商自行设计。</w:t>
      </w:r>
    </w:p>
    <w:p w14:paraId="33B6A75E">
      <w:pPr>
        <w:rPr>
          <w:rFonts w:cs="Times New Roman"/>
          <w:color w:val="auto"/>
          <w:u w:val="single"/>
        </w:rPr>
      </w:pPr>
    </w:p>
    <w:p w14:paraId="785514BB">
      <w:pPr>
        <w:rPr>
          <w:rFonts w:cs="Times New Roman"/>
          <w:color w:val="auto"/>
          <w:u w:val="single"/>
        </w:rPr>
      </w:pPr>
    </w:p>
    <w:p w14:paraId="2EEBEF3B">
      <w:pPr>
        <w:spacing w:line="360" w:lineRule="auto"/>
        <w:ind w:firstLine="2" w:firstLineChars="1"/>
        <w:rPr>
          <w:rFonts w:ascii="宋体" w:cs="Times New Roman"/>
          <w:b/>
          <w:bCs/>
          <w:color w:val="auto"/>
          <w:sz w:val="24"/>
          <w:szCs w:val="24"/>
          <w:u w:val="single"/>
        </w:rPr>
      </w:pPr>
      <w:r>
        <w:rPr>
          <w:rFonts w:hint="eastAsia" w:ascii="宋体" w:hAnsi="宋体" w:cs="宋体"/>
          <w:b/>
          <w:bCs/>
          <w:color w:val="auto"/>
          <w:sz w:val="24"/>
          <w:szCs w:val="24"/>
          <w:u w:val="single"/>
        </w:rPr>
        <w:t>供应商：（加盖电子公章）</w:t>
      </w:r>
    </w:p>
    <w:p w14:paraId="038F6AC6">
      <w:pPr>
        <w:spacing w:line="360" w:lineRule="auto"/>
        <w:ind w:firstLine="2" w:firstLineChars="1"/>
        <w:rPr>
          <w:rFonts w:ascii="宋体" w:cs="Times New Roman"/>
          <w:b/>
          <w:bCs/>
          <w:color w:val="auto"/>
          <w:sz w:val="24"/>
          <w:szCs w:val="24"/>
          <w:u w:val="single"/>
        </w:rPr>
      </w:pPr>
    </w:p>
    <w:p w14:paraId="6FD48EE9">
      <w:pPr>
        <w:spacing w:line="360" w:lineRule="auto"/>
        <w:ind w:firstLine="2" w:firstLineChars="1"/>
        <w:rPr>
          <w:rFonts w:ascii="宋体" w:cs="Times New Roman"/>
          <w:b/>
          <w:bCs/>
          <w:color w:val="auto"/>
          <w:sz w:val="24"/>
          <w:szCs w:val="24"/>
          <w:u w:val="single"/>
        </w:rPr>
      </w:pPr>
      <w:r>
        <w:rPr>
          <w:rFonts w:hint="eastAsia" w:ascii="宋体" w:hAnsi="宋体" w:cs="宋体"/>
          <w:b/>
          <w:bCs/>
          <w:color w:val="auto"/>
          <w:sz w:val="24"/>
          <w:szCs w:val="24"/>
          <w:u w:val="single"/>
        </w:rPr>
        <w:t>法定代表人（电子签名）：</w:t>
      </w:r>
    </w:p>
    <w:p w14:paraId="6F6E4633">
      <w:pPr>
        <w:spacing w:line="360" w:lineRule="auto"/>
        <w:ind w:firstLine="2" w:firstLineChars="1"/>
        <w:rPr>
          <w:rFonts w:ascii="宋体" w:cs="Times New Roman"/>
          <w:b/>
          <w:bCs/>
          <w:color w:val="auto"/>
          <w:sz w:val="24"/>
          <w:szCs w:val="24"/>
          <w:u w:val="single"/>
        </w:rPr>
      </w:pPr>
    </w:p>
    <w:p w14:paraId="37F2403F">
      <w:pPr>
        <w:spacing w:line="360" w:lineRule="auto"/>
        <w:ind w:firstLine="2" w:firstLineChars="1"/>
        <w:rPr>
          <w:rFonts w:ascii="宋体" w:cs="Times New Roman"/>
          <w:b/>
          <w:bCs/>
          <w:color w:val="auto"/>
          <w:sz w:val="24"/>
          <w:szCs w:val="24"/>
          <w:u w:val="single"/>
        </w:rPr>
      </w:pPr>
      <w:r>
        <w:rPr>
          <w:rFonts w:hint="eastAsia" w:ascii="宋体" w:hAnsi="宋体" w:cs="宋体"/>
          <w:b/>
          <w:bCs/>
          <w:color w:val="auto"/>
          <w:sz w:val="24"/>
          <w:szCs w:val="24"/>
          <w:u w:val="single"/>
        </w:rPr>
        <w:t>年月日</w:t>
      </w:r>
    </w:p>
    <w:p w14:paraId="712B7950">
      <w:pPr>
        <w:pStyle w:val="5"/>
        <w:spacing w:line="560" w:lineRule="exact"/>
        <w:jc w:val="left"/>
        <w:rPr>
          <w:rFonts w:hint="default" w:ascii="Times New Roman" w:hAnsi="Times New Roman" w:eastAsia="方正仿宋_GBK" w:cs="Times New Roman"/>
          <w:color w:val="auto"/>
          <w:kern w:val="0"/>
          <w:sz w:val="32"/>
          <w:szCs w:val="32"/>
          <w:lang w:val="en-US" w:eastAsia="zh-CN"/>
        </w:rPr>
      </w:pPr>
    </w:p>
    <w:p w14:paraId="1DCD5E0E">
      <w:pPr>
        <w:pStyle w:val="5"/>
        <w:spacing w:line="560" w:lineRule="exact"/>
        <w:jc w:val="left"/>
        <w:rPr>
          <w:rFonts w:hint="default" w:ascii="Times New Roman" w:hAnsi="Times New Roman" w:eastAsia="方正仿宋_GBK" w:cs="Times New Roman"/>
          <w:color w:val="auto"/>
          <w:kern w:val="0"/>
          <w:sz w:val="32"/>
          <w:szCs w:val="32"/>
          <w:lang w:val="en-US" w:eastAsia="zh-CN"/>
        </w:rPr>
      </w:pPr>
    </w:p>
    <w:p w14:paraId="3973AE47">
      <w:pPr>
        <w:rPr>
          <w:rFonts w:hint="default" w:ascii="Times New Roman" w:hAnsi="Times New Roman" w:eastAsia="方正仿宋_GBK" w:cs="Times New Roman"/>
          <w:color w:val="auto"/>
          <w:kern w:val="0"/>
          <w:sz w:val="32"/>
          <w:szCs w:val="32"/>
          <w:lang w:val="en-US" w:eastAsia="zh-CN"/>
        </w:rPr>
      </w:pPr>
    </w:p>
    <w:p w14:paraId="2DEA9CFE">
      <w:pPr>
        <w:pStyle w:val="5"/>
        <w:rPr>
          <w:rFonts w:hint="default" w:ascii="Times New Roman" w:hAnsi="Times New Roman" w:eastAsia="方正仿宋_GBK" w:cs="Times New Roman"/>
          <w:color w:val="auto"/>
          <w:kern w:val="0"/>
          <w:sz w:val="32"/>
          <w:szCs w:val="32"/>
          <w:lang w:val="en-US" w:eastAsia="zh-CN"/>
        </w:rPr>
      </w:pPr>
    </w:p>
    <w:p w14:paraId="2BB5D412">
      <w:pPr>
        <w:rPr>
          <w:rFonts w:hint="default" w:ascii="Times New Roman" w:hAnsi="Times New Roman" w:eastAsia="方正仿宋_GBK" w:cs="Times New Roman"/>
          <w:color w:val="auto"/>
          <w:kern w:val="0"/>
          <w:sz w:val="32"/>
          <w:szCs w:val="32"/>
          <w:lang w:val="en-US" w:eastAsia="zh-CN"/>
        </w:rPr>
      </w:pPr>
    </w:p>
    <w:p w14:paraId="0BB9B6DD">
      <w:pPr>
        <w:pStyle w:val="3"/>
        <w:numPr>
          <w:ilvl w:val="1"/>
          <w:numId w:val="0"/>
        </w:numPr>
        <w:tabs>
          <w:tab w:val="left" w:pos="360"/>
        </w:tabs>
        <w:spacing w:before="0"/>
        <w:ind w:left="425" w:firstLine="2801" w:firstLineChars="1000"/>
        <w:jc w:val="both"/>
        <w:rPr>
          <w:rFonts w:hint="eastAsia" w:ascii="宋体" w:hAnsi="宋体" w:eastAsia="宋体"/>
          <w:color w:val="auto"/>
          <w:szCs w:val="21"/>
          <w:lang w:eastAsia="zh-CN"/>
        </w:rPr>
      </w:pPr>
      <w:r>
        <w:rPr>
          <w:rFonts w:hint="eastAsia" w:ascii="宋体" w:hAnsi="宋体"/>
          <w:color w:val="auto"/>
          <w:szCs w:val="21"/>
          <w:lang w:val="en-US" w:eastAsia="zh-CN"/>
        </w:rPr>
        <w:t>八、</w:t>
      </w:r>
      <w:r>
        <w:rPr>
          <w:rFonts w:hint="eastAsia" w:ascii="宋体" w:hAnsi="宋体"/>
          <w:color w:val="auto"/>
          <w:szCs w:val="21"/>
          <w:lang w:eastAsia="zh-CN"/>
        </w:rPr>
        <w:t>资格证明材料</w:t>
      </w:r>
    </w:p>
    <w:p w14:paraId="74D8F811">
      <w:pPr>
        <w:spacing w:line="360" w:lineRule="auto"/>
        <w:ind w:firstLine="562" w:firstLineChars="200"/>
        <w:rPr>
          <w:rFonts w:hint="eastAsia" w:hAnsi="Calibri" w:eastAsia="仿宋" w:cs="仿宋"/>
          <w:b/>
          <w:bCs/>
          <w:color w:val="auto"/>
          <w:kern w:val="0"/>
          <w:sz w:val="28"/>
          <w:szCs w:val="28"/>
          <w:lang w:val="en-US" w:eastAsia="zh-CN" w:bidi="ar-SA"/>
        </w:rPr>
      </w:pPr>
      <w:r>
        <w:rPr>
          <w:rFonts w:hint="eastAsia" w:hAnsi="Calibri" w:eastAsia="仿宋" w:cs="仿宋"/>
          <w:b/>
          <w:bCs/>
          <w:color w:val="auto"/>
          <w:kern w:val="0"/>
          <w:sz w:val="28"/>
          <w:szCs w:val="28"/>
          <w:lang w:val="en-US" w:eastAsia="zh-CN" w:bidi="ar-SA"/>
        </w:rPr>
        <w:t>供应商法人或者其他组织、自然人的营业执照等证明文件；</w:t>
      </w:r>
    </w:p>
    <w:p w14:paraId="4415E235">
      <w:pPr>
        <w:pageBreakBefore w:val="0"/>
        <w:kinsoku/>
        <w:wordWrap/>
        <w:overflowPunct/>
        <w:bidi w:val="0"/>
        <w:spacing w:line="480" w:lineRule="exact"/>
        <w:textAlignment w:val="auto"/>
        <w:rPr>
          <w:rFonts w:hint="eastAsia" w:ascii="Times New Roman" w:hAnsi="Times New Roman" w:eastAsia="宋体" w:cs="Times New Roman"/>
          <w:color w:val="auto"/>
          <w:kern w:val="0"/>
          <w:sz w:val="21"/>
          <w:szCs w:val="21"/>
          <w:lang w:val="en-US" w:eastAsia="zh-CN" w:bidi="ar-SA"/>
        </w:rPr>
      </w:pPr>
      <w:r>
        <w:rPr>
          <w:rFonts w:hint="eastAsia"/>
          <w:color w:val="auto"/>
          <w:lang w:val="en-US" w:eastAsia="zh-CN"/>
        </w:rPr>
        <w:t>注：</w:t>
      </w:r>
      <w:r>
        <w:rPr>
          <w:rFonts w:hint="eastAsia" w:ascii="Times New Roman" w:hAnsi="Times New Roman" w:eastAsia="宋体" w:cs="Times New Roman"/>
          <w:color w:val="auto"/>
          <w:kern w:val="0"/>
          <w:sz w:val="21"/>
          <w:szCs w:val="21"/>
          <w:lang w:val="en-US" w:eastAsia="zh-CN" w:bidi="ar-SA"/>
        </w:rPr>
        <w:t>提供法人或者其他组织、自然人的营业执照等证明文件；如是分公司投标，须提供总公司的投标授权资料。</w:t>
      </w:r>
    </w:p>
    <w:p w14:paraId="4DCC8642">
      <w:pPr>
        <w:spacing w:line="360" w:lineRule="auto"/>
        <w:ind w:firstLine="420" w:firstLineChars="200"/>
        <w:rPr>
          <w:rFonts w:hint="eastAsia"/>
          <w:color w:val="auto"/>
          <w:lang w:val="en-US" w:eastAsia="zh-CN"/>
        </w:rPr>
      </w:pPr>
    </w:p>
    <w:p w14:paraId="5241DD82">
      <w:pPr>
        <w:tabs>
          <w:tab w:val="left" w:pos="1021"/>
        </w:tabs>
        <w:jc w:val="center"/>
        <w:rPr>
          <w:rFonts w:hint="eastAsia" w:eastAsia="黑体" w:cs="黑体"/>
          <w:b/>
          <w:bCs/>
          <w:color w:val="auto"/>
          <w:kern w:val="0"/>
          <w:sz w:val="28"/>
          <w:szCs w:val="28"/>
        </w:rPr>
      </w:pPr>
    </w:p>
    <w:p w14:paraId="22BE28E7">
      <w:pPr>
        <w:tabs>
          <w:tab w:val="left" w:pos="1021"/>
        </w:tabs>
        <w:jc w:val="center"/>
        <w:rPr>
          <w:rFonts w:hint="eastAsia" w:eastAsia="黑体" w:cs="黑体"/>
          <w:b/>
          <w:bCs/>
          <w:color w:val="auto"/>
          <w:kern w:val="0"/>
          <w:sz w:val="28"/>
          <w:szCs w:val="28"/>
        </w:rPr>
      </w:pPr>
    </w:p>
    <w:p w14:paraId="6B8D8F96">
      <w:pPr>
        <w:tabs>
          <w:tab w:val="left" w:pos="1021"/>
        </w:tabs>
        <w:jc w:val="center"/>
        <w:rPr>
          <w:rFonts w:hint="eastAsia" w:eastAsia="黑体" w:cs="黑体"/>
          <w:b/>
          <w:bCs/>
          <w:color w:val="auto"/>
          <w:kern w:val="0"/>
          <w:sz w:val="28"/>
          <w:szCs w:val="28"/>
        </w:rPr>
      </w:pPr>
    </w:p>
    <w:p w14:paraId="4B361F04">
      <w:pPr>
        <w:tabs>
          <w:tab w:val="left" w:pos="1021"/>
        </w:tabs>
        <w:jc w:val="center"/>
        <w:rPr>
          <w:rFonts w:hint="eastAsia" w:eastAsia="黑体" w:cs="黑体"/>
          <w:b/>
          <w:bCs/>
          <w:color w:val="auto"/>
          <w:kern w:val="0"/>
          <w:sz w:val="28"/>
          <w:szCs w:val="28"/>
        </w:rPr>
      </w:pPr>
    </w:p>
    <w:p w14:paraId="0183C190">
      <w:pPr>
        <w:pStyle w:val="5"/>
        <w:rPr>
          <w:rFonts w:eastAsia="黑体" w:cs="Times New Roman"/>
          <w:b/>
          <w:bCs/>
          <w:color w:val="auto"/>
          <w:kern w:val="0"/>
          <w:sz w:val="28"/>
          <w:szCs w:val="28"/>
        </w:rPr>
      </w:pPr>
      <w:r>
        <w:rPr>
          <w:rFonts w:hint="eastAsia"/>
          <w:lang w:val="en-US" w:eastAsia="zh-CN"/>
        </w:rPr>
        <w:t xml:space="preserve">             </w:t>
      </w:r>
      <w:r>
        <w:rPr>
          <w:rFonts w:hint="eastAsia"/>
          <w:color w:val="auto"/>
          <w:lang w:val="en-US" w:eastAsia="zh-CN"/>
        </w:rPr>
        <w:t xml:space="preserve">                                         </w:t>
      </w:r>
      <w:r>
        <w:rPr>
          <w:rFonts w:hint="eastAsia" w:ascii="宋体" w:hAnsi="宋体" w:eastAsia="Arial" w:cs="Arial"/>
          <w:b/>
          <w:bCs/>
          <w:snapToGrid w:val="0"/>
          <w:color w:val="auto"/>
          <w:kern w:val="0"/>
          <w:sz w:val="28"/>
          <w:szCs w:val="21"/>
          <w:lang w:val="en-US" w:eastAsia="zh-CN" w:bidi="ar-SA"/>
        </w:rPr>
        <w:t>九、没有重大违法记录的书面声明</w:t>
      </w:r>
    </w:p>
    <w:p w14:paraId="33BA8DED">
      <w:pPr>
        <w:spacing w:line="360" w:lineRule="auto"/>
        <w:ind w:firstLine="480" w:firstLineChars="200"/>
        <w:rPr>
          <w:rFonts w:cs="Times New Roman"/>
          <w:color w:val="auto"/>
          <w:sz w:val="24"/>
          <w:szCs w:val="24"/>
        </w:rPr>
      </w:pPr>
      <w:r>
        <w:rPr>
          <w:rFonts w:hint="eastAsia" w:cs="宋体"/>
          <w:color w:val="auto"/>
          <w:sz w:val="24"/>
          <w:szCs w:val="24"/>
          <w:u w:val="single"/>
        </w:rPr>
        <w:t>供应商名称</w:t>
      </w:r>
      <w:r>
        <w:rPr>
          <w:rFonts w:hint="eastAsia" w:cs="宋体"/>
          <w:color w:val="auto"/>
          <w:sz w:val="24"/>
          <w:szCs w:val="24"/>
        </w:rPr>
        <w:t>在此声明，我单位参加政府采购活动前</w:t>
      </w:r>
      <w:r>
        <w:rPr>
          <w:color w:val="auto"/>
          <w:sz w:val="24"/>
          <w:szCs w:val="24"/>
        </w:rPr>
        <w:t>3</w:t>
      </w:r>
      <w:r>
        <w:rPr>
          <w:rFonts w:hint="eastAsia" w:cs="宋体"/>
          <w:color w:val="auto"/>
          <w:sz w:val="24"/>
          <w:szCs w:val="24"/>
        </w:rPr>
        <w:t>年内未出现因违法经营受到刑事处罚或者责令停产停业、吊销许可证或者执照、较大数额罚款等行政处罚。</w:t>
      </w:r>
    </w:p>
    <w:p w14:paraId="3EBF82A9">
      <w:pPr>
        <w:spacing w:line="360" w:lineRule="auto"/>
        <w:rPr>
          <w:rFonts w:cs="Times New Roman"/>
          <w:color w:val="auto"/>
          <w:sz w:val="24"/>
          <w:szCs w:val="24"/>
        </w:rPr>
      </w:pPr>
    </w:p>
    <w:p w14:paraId="6589D88F">
      <w:pPr>
        <w:spacing w:line="360" w:lineRule="auto"/>
        <w:rPr>
          <w:rFonts w:cs="Times New Roman"/>
          <w:color w:val="auto"/>
          <w:sz w:val="24"/>
          <w:szCs w:val="24"/>
        </w:rPr>
      </w:pPr>
      <w:r>
        <w:rPr>
          <w:rFonts w:hint="eastAsia" w:cs="宋体"/>
          <w:color w:val="auto"/>
          <w:sz w:val="24"/>
          <w:szCs w:val="24"/>
        </w:rPr>
        <w:t>供应商：（盖单位电子公章）</w:t>
      </w:r>
    </w:p>
    <w:p w14:paraId="63822655">
      <w:pPr>
        <w:spacing w:line="360" w:lineRule="auto"/>
        <w:ind w:firstLine="2" w:firstLineChars="1"/>
        <w:rPr>
          <w:rFonts w:cs="Times New Roman"/>
          <w:color w:val="auto"/>
          <w:sz w:val="24"/>
          <w:szCs w:val="24"/>
        </w:rPr>
      </w:pPr>
      <w:r>
        <w:rPr>
          <w:rFonts w:hint="eastAsia" w:cs="宋体"/>
          <w:color w:val="auto"/>
          <w:sz w:val="24"/>
          <w:szCs w:val="24"/>
        </w:rPr>
        <w:t>法定代表人：（电子签名）</w:t>
      </w:r>
    </w:p>
    <w:p w14:paraId="5A55F840">
      <w:pPr>
        <w:ind w:firstLine="480" w:firstLineChars="200"/>
        <w:rPr>
          <w:rFonts w:cs="Times New Roman"/>
          <w:color w:val="auto"/>
          <w:sz w:val="24"/>
          <w:szCs w:val="24"/>
        </w:rPr>
      </w:pPr>
      <w:r>
        <w:rPr>
          <w:rFonts w:hint="eastAsia" w:cs="宋体"/>
          <w:color w:val="auto"/>
          <w:sz w:val="24"/>
          <w:szCs w:val="24"/>
        </w:rPr>
        <w:t>年月日</w:t>
      </w:r>
    </w:p>
    <w:p w14:paraId="70605195">
      <w:pPr>
        <w:spacing w:line="360" w:lineRule="auto"/>
        <w:rPr>
          <w:rFonts w:cs="Times New Roman"/>
          <w:b/>
          <w:bCs/>
          <w:color w:val="auto"/>
          <w:sz w:val="32"/>
          <w:szCs w:val="32"/>
        </w:rPr>
      </w:pPr>
    </w:p>
    <w:p w14:paraId="33BA231D">
      <w:pPr>
        <w:pStyle w:val="5"/>
        <w:rPr>
          <w:rFonts w:hint="default"/>
          <w:lang w:val="en-US" w:eastAsia="zh-CN"/>
        </w:rPr>
      </w:pPr>
    </w:p>
    <w:p w14:paraId="221EDD76">
      <w:pPr>
        <w:rPr>
          <w:rFonts w:hint="default"/>
          <w:lang w:val="en-US" w:eastAsia="zh-CN"/>
        </w:rPr>
      </w:pPr>
    </w:p>
    <w:p w14:paraId="72B30383">
      <w:pPr>
        <w:pStyle w:val="5"/>
        <w:rPr>
          <w:rFonts w:hint="default"/>
          <w:lang w:val="en-US" w:eastAsia="zh-CN"/>
        </w:rPr>
      </w:pPr>
    </w:p>
    <w:p w14:paraId="2E0B2B4A">
      <w:pPr>
        <w:rPr>
          <w:rFonts w:hint="default"/>
          <w:lang w:val="en-US" w:eastAsia="zh-CN"/>
        </w:rPr>
      </w:pPr>
    </w:p>
    <w:p w14:paraId="1FF60AEB">
      <w:pPr>
        <w:pStyle w:val="5"/>
        <w:rPr>
          <w:rFonts w:hint="default"/>
          <w:lang w:val="en-US" w:eastAsia="zh-CN"/>
        </w:rPr>
      </w:pPr>
    </w:p>
    <w:p w14:paraId="1E36E5CC">
      <w:pPr>
        <w:rPr>
          <w:rFonts w:hint="default"/>
          <w:lang w:val="en-US" w:eastAsia="zh-CN"/>
        </w:rPr>
      </w:pPr>
    </w:p>
    <w:p w14:paraId="225691D7">
      <w:pPr>
        <w:pStyle w:val="5"/>
        <w:rPr>
          <w:rFonts w:hint="default"/>
          <w:lang w:val="en-US" w:eastAsia="zh-CN"/>
        </w:rPr>
      </w:pPr>
    </w:p>
    <w:p w14:paraId="3CF20BD7">
      <w:pPr>
        <w:rPr>
          <w:rFonts w:hint="default"/>
          <w:lang w:val="en-US" w:eastAsia="zh-CN"/>
        </w:rPr>
      </w:pPr>
    </w:p>
    <w:p w14:paraId="73ED80B2">
      <w:pPr>
        <w:pStyle w:val="5"/>
        <w:rPr>
          <w:rFonts w:hint="default"/>
          <w:lang w:val="en-US" w:eastAsia="zh-CN"/>
        </w:rPr>
      </w:pPr>
    </w:p>
    <w:p w14:paraId="59E2D3CB">
      <w:pPr>
        <w:rPr>
          <w:rFonts w:hint="default"/>
          <w:lang w:val="en-US" w:eastAsia="zh-CN"/>
        </w:rPr>
      </w:pPr>
    </w:p>
    <w:p w14:paraId="52B66E90">
      <w:pPr>
        <w:pStyle w:val="5"/>
        <w:rPr>
          <w:rFonts w:hint="default"/>
          <w:lang w:val="en-US" w:eastAsia="zh-CN"/>
        </w:rPr>
      </w:pPr>
    </w:p>
    <w:p w14:paraId="3D9D4934">
      <w:pPr>
        <w:rPr>
          <w:rFonts w:hint="default"/>
          <w:lang w:val="en-US" w:eastAsia="zh-CN"/>
        </w:rPr>
      </w:pPr>
    </w:p>
    <w:p w14:paraId="1F930C54">
      <w:pPr>
        <w:rPr>
          <w:rFonts w:hint="default"/>
          <w:lang w:val="en-US" w:eastAsia="zh-CN"/>
        </w:rPr>
      </w:pPr>
    </w:p>
    <w:p w14:paraId="05D8C06F">
      <w:pPr>
        <w:rPr>
          <w:rFonts w:hint="default"/>
          <w:lang w:val="en-US" w:eastAsia="zh-CN"/>
        </w:rPr>
      </w:pPr>
    </w:p>
    <w:p w14:paraId="6F14036A">
      <w:pPr>
        <w:rPr>
          <w:rFonts w:hint="default"/>
          <w:lang w:val="en-US" w:eastAsia="zh-CN"/>
        </w:rPr>
      </w:pPr>
    </w:p>
    <w:p w14:paraId="3271D162">
      <w:pPr>
        <w:tabs>
          <w:tab w:val="left" w:pos="1021"/>
        </w:tabs>
        <w:jc w:val="both"/>
        <w:rPr>
          <w:rFonts w:hint="eastAsia" w:eastAsia="黑体" w:cs="黑体"/>
          <w:b/>
          <w:bCs/>
          <w:color w:val="auto"/>
          <w:kern w:val="0"/>
          <w:sz w:val="28"/>
          <w:szCs w:val="28"/>
          <w:lang w:val="en-US" w:eastAsia="zh-CN"/>
        </w:rPr>
      </w:pPr>
    </w:p>
    <w:p w14:paraId="256B56A9">
      <w:pPr>
        <w:tabs>
          <w:tab w:val="left" w:pos="1021"/>
        </w:tabs>
        <w:jc w:val="center"/>
        <w:rPr>
          <w:rFonts w:hint="eastAsia" w:eastAsia="黑体" w:cs="黑体"/>
          <w:b/>
          <w:bCs/>
          <w:color w:val="auto"/>
          <w:kern w:val="0"/>
          <w:sz w:val="28"/>
          <w:szCs w:val="28"/>
          <w:lang w:val="en-US" w:eastAsia="zh-CN"/>
        </w:rPr>
      </w:pPr>
      <w:r>
        <w:rPr>
          <w:rFonts w:hint="eastAsia" w:eastAsia="黑体" w:cs="黑体"/>
          <w:b/>
          <w:bCs/>
          <w:color w:val="auto"/>
          <w:kern w:val="0"/>
          <w:sz w:val="28"/>
          <w:szCs w:val="28"/>
          <w:lang w:val="en-US" w:eastAsia="zh-CN"/>
        </w:rPr>
        <w:t>十、符合性审查材料</w:t>
      </w:r>
    </w:p>
    <w:p w14:paraId="002A20E9">
      <w:pPr>
        <w:rPr>
          <w:color w:val="auto"/>
        </w:rPr>
      </w:pPr>
    </w:p>
    <w:p w14:paraId="43F515A7">
      <w:pPr>
        <w:rPr>
          <w:color w:val="auto"/>
        </w:rPr>
      </w:pPr>
      <w:r>
        <w:rPr>
          <w:color w:val="auto"/>
        </w:rPr>
        <w:t>法定代表人</w:t>
      </w:r>
      <w:bookmarkStart w:id="13" w:name="_Hlk22048012"/>
      <w:r>
        <w:rPr>
          <w:rFonts w:hint="eastAsia"/>
          <w:color w:val="auto"/>
        </w:rPr>
        <w:t>（负责人）</w:t>
      </w:r>
      <w:bookmarkEnd w:id="13"/>
      <w:r>
        <w:rPr>
          <w:color w:val="auto"/>
        </w:rPr>
        <w:t>资格证明书</w:t>
      </w:r>
    </w:p>
    <w:p w14:paraId="664B4E66">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供应商名称：</w:t>
      </w:r>
    </w:p>
    <w:p w14:paraId="35D3A72E">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单位性质：</w:t>
      </w:r>
    </w:p>
    <w:p w14:paraId="120DE0BF">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成立时间：年</w:t>
      </w:r>
      <w:r>
        <w:rPr>
          <w:rFonts w:hint="eastAsia"/>
          <w:color w:val="auto"/>
          <w:lang w:val="en-US" w:eastAsia="zh-CN"/>
        </w:rPr>
        <w:t xml:space="preserve"> </w:t>
      </w:r>
      <w:r>
        <w:rPr>
          <w:color w:val="auto"/>
        </w:rPr>
        <w:t>月</w:t>
      </w:r>
      <w:r>
        <w:rPr>
          <w:rFonts w:hint="eastAsia"/>
          <w:color w:val="auto"/>
          <w:lang w:val="en-US" w:eastAsia="zh-CN"/>
        </w:rPr>
        <w:t xml:space="preserve">  </w:t>
      </w:r>
      <w:r>
        <w:rPr>
          <w:color w:val="auto"/>
        </w:rPr>
        <w:t>日</w:t>
      </w:r>
    </w:p>
    <w:p w14:paraId="33D86842">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经营期限：</w:t>
      </w:r>
    </w:p>
    <w:p w14:paraId="57029EBA">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姓名：性别：年龄：职务：</w:t>
      </w:r>
    </w:p>
    <w:p w14:paraId="0B04E3BD">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系（供应商名称）的法定代表人</w:t>
      </w:r>
      <w:r>
        <w:rPr>
          <w:rFonts w:hint="eastAsia"/>
          <w:color w:val="auto"/>
        </w:rPr>
        <w:t>（负责人）</w:t>
      </w:r>
      <w:r>
        <w:rPr>
          <w:color w:val="auto"/>
        </w:rPr>
        <w:t>。</w:t>
      </w:r>
    </w:p>
    <w:p w14:paraId="54DEB7E1">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特此证明。</w:t>
      </w:r>
    </w:p>
    <w:p w14:paraId="2B7B071B">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p>
    <w:p w14:paraId="62A203BD">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供应商：（盖单位</w:t>
      </w:r>
      <w:r>
        <w:rPr>
          <w:rFonts w:hint="eastAsia"/>
          <w:color w:val="auto"/>
        </w:rPr>
        <w:t>鲜章</w:t>
      </w:r>
      <w:r>
        <w:rPr>
          <w:color w:val="auto"/>
        </w:rPr>
        <w:t>）</w:t>
      </w:r>
    </w:p>
    <w:p w14:paraId="4B71DF64">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年月日</w:t>
      </w:r>
    </w:p>
    <w:p w14:paraId="463E30D9">
      <w:pPr>
        <w:pStyle w:val="4"/>
        <w:keepNext w:val="0"/>
        <w:keepLines w:val="0"/>
        <w:pageBreakBefore w:val="0"/>
        <w:widowControl w:val="0"/>
        <w:kinsoku/>
        <w:wordWrap/>
        <w:overflowPunct/>
        <w:topLinePunct w:val="0"/>
        <w:autoSpaceDE/>
        <w:autoSpaceDN/>
        <w:bidi w:val="0"/>
        <w:adjustRightInd/>
        <w:snapToGrid/>
        <w:spacing w:line="496" w:lineRule="exact"/>
        <w:textAlignment w:val="auto"/>
        <w:rPr>
          <w:rFonts w:hint="eastAsia" w:cs="宋体"/>
          <w:color w:val="auto"/>
          <w:lang w:eastAsia="zh-CN"/>
        </w:rPr>
      </w:pPr>
      <w:r>
        <w:rPr>
          <w:rFonts w:hint="eastAsia" w:cs="宋体"/>
          <w:color w:val="auto"/>
          <w:lang w:eastAsia="zh-CN"/>
        </w:rPr>
        <w:t>附：</w:t>
      </w:r>
    </w:p>
    <w:tbl>
      <w:tblPr>
        <w:tblStyle w:val="10"/>
        <w:tblW w:w="0" w:type="auto"/>
        <w:tblInd w:w="1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8"/>
        <w:gridCol w:w="3510"/>
      </w:tblGrid>
      <w:tr w14:paraId="6714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4368" w:type="dxa"/>
            <w:noWrap w:val="0"/>
            <w:vAlign w:val="top"/>
          </w:tcPr>
          <w:p w14:paraId="5F2035AF">
            <w:pPr>
              <w:widowControl w:val="0"/>
              <w:spacing w:line="360" w:lineRule="auto"/>
              <w:rPr>
                <w:rFonts w:hint="eastAsia" w:eastAsia="宋体" w:cs="Times New Roman"/>
                <w:color w:val="auto"/>
                <w:vertAlign w:val="baseline"/>
                <w:lang w:eastAsia="zh-CN"/>
              </w:rPr>
            </w:pPr>
            <w:r>
              <w:rPr>
                <w:rFonts w:hint="eastAsia" w:cs="Times New Roman"/>
                <w:color w:val="auto"/>
                <w:vertAlign w:val="baseline"/>
                <w:lang w:eastAsia="zh-CN"/>
              </w:rPr>
              <w:t>法定代表人（负责人）身份证正面</w:t>
            </w:r>
          </w:p>
        </w:tc>
        <w:tc>
          <w:tcPr>
            <w:tcW w:w="3510" w:type="dxa"/>
            <w:noWrap w:val="0"/>
            <w:vAlign w:val="top"/>
          </w:tcPr>
          <w:p w14:paraId="23572121">
            <w:pPr>
              <w:widowControl w:val="0"/>
              <w:spacing w:line="360" w:lineRule="auto"/>
              <w:rPr>
                <w:rFonts w:hint="eastAsia" w:eastAsia="宋体" w:cs="Times New Roman"/>
                <w:color w:val="auto"/>
                <w:vertAlign w:val="baseline"/>
                <w:lang w:eastAsia="zh-CN"/>
              </w:rPr>
            </w:pPr>
            <w:r>
              <w:rPr>
                <w:rFonts w:hint="eastAsia" w:cs="Times New Roman"/>
                <w:color w:val="auto"/>
                <w:vertAlign w:val="baseline"/>
                <w:lang w:eastAsia="zh-CN"/>
              </w:rPr>
              <w:t>法定代表人（负责人）身份证反面</w:t>
            </w:r>
          </w:p>
        </w:tc>
      </w:tr>
    </w:tbl>
    <w:p w14:paraId="022134AE">
      <w:pPr>
        <w:pStyle w:val="5"/>
        <w:rPr>
          <w:rFonts w:hint="default"/>
          <w:lang w:val="en-US" w:eastAsia="zh-CN"/>
        </w:rPr>
      </w:pPr>
    </w:p>
    <w:p w14:paraId="740236B2">
      <w:pPr>
        <w:rPr>
          <w:rFonts w:hint="default"/>
          <w:lang w:val="en-US" w:eastAsia="zh-CN"/>
        </w:rPr>
      </w:pPr>
    </w:p>
    <w:p w14:paraId="27A30C2A">
      <w:pPr>
        <w:pStyle w:val="5"/>
        <w:rPr>
          <w:rFonts w:hint="default"/>
          <w:lang w:val="en-US" w:eastAsia="zh-CN"/>
        </w:rPr>
      </w:pPr>
    </w:p>
    <w:p w14:paraId="16595D23">
      <w:pPr>
        <w:rPr>
          <w:rFonts w:hint="default"/>
          <w:lang w:val="en-US" w:eastAsia="zh-CN"/>
        </w:rPr>
      </w:pPr>
    </w:p>
    <w:p w14:paraId="6775466B">
      <w:pPr>
        <w:pStyle w:val="5"/>
        <w:rPr>
          <w:rFonts w:hint="default"/>
          <w:lang w:val="en-US" w:eastAsia="zh-CN"/>
        </w:rPr>
      </w:pPr>
    </w:p>
    <w:p w14:paraId="0C47771E">
      <w:pPr>
        <w:rPr>
          <w:rFonts w:hint="default"/>
          <w:lang w:val="en-US" w:eastAsia="zh-CN"/>
        </w:rPr>
      </w:pPr>
    </w:p>
    <w:p w14:paraId="58C30A43">
      <w:pPr>
        <w:pStyle w:val="5"/>
        <w:rPr>
          <w:rFonts w:hint="default"/>
          <w:lang w:val="en-US" w:eastAsia="zh-CN"/>
        </w:rPr>
      </w:pPr>
    </w:p>
    <w:p w14:paraId="01EF2B62">
      <w:pPr>
        <w:rPr>
          <w:rFonts w:hint="default"/>
          <w:lang w:val="en-US" w:eastAsia="zh-CN"/>
        </w:rPr>
      </w:pPr>
    </w:p>
    <w:p w14:paraId="52AE5DA3">
      <w:pPr>
        <w:pStyle w:val="5"/>
        <w:rPr>
          <w:rFonts w:hint="default"/>
          <w:lang w:val="en-US" w:eastAsia="zh-CN"/>
        </w:rPr>
      </w:pPr>
    </w:p>
    <w:p w14:paraId="533379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olor w:val="auto"/>
          <w:sz w:val="32"/>
          <w:szCs w:val="32"/>
        </w:rPr>
      </w:pPr>
    </w:p>
    <w:p w14:paraId="68F165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olor w:val="auto"/>
          <w:sz w:val="32"/>
          <w:szCs w:val="32"/>
        </w:rPr>
      </w:pPr>
    </w:p>
    <w:p w14:paraId="0C6464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olor w:val="auto"/>
          <w:sz w:val="32"/>
          <w:szCs w:val="32"/>
        </w:rPr>
      </w:pPr>
    </w:p>
    <w:p w14:paraId="4CA943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olor w:val="auto"/>
          <w:sz w:val="32"/>
          <w:szCs w:val="32"/>
        </w:rPr>
      </w:pPr>
    </w:p>
    <w:p w14:paraId="1419CF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olor w:val="auto"/>
          <w:sz w:val="32"/>
          <w:szCs w:val="32"/>
        </w:rPr>
      </w:pPr>
      <w:r>
        <w:rPr>
          <w:rFonts w:ascii="宋体" w:hAnsi="宋体" w:eastAsia="宋体"/>
          <w:color w:val="auto"/>
          <w:sz w:val="32"/>
          <w:szCs w:val="32"/>
        </w:rPr>
        <w:t>法定代表人</w:t>
      </w:r>
      <w:r>
        <w:rPr>
          <w:rFonts w:hint="eastAsia" w:ascii="宋体" w:hAnsi="宋体" w:eastAsia="宋体"/>
          <w:color w:val="auto"/>
          <w:sz w:val="32"/>
          <w:szCs w:val="32"/>
        </w:rPr>
        <w:t>（负责人）</w:t>
      </w:r>
      <w:r>
        <w:rPr>
          <w:rFonts w:ascii="宋体" w:hAnsi="宋体" w:eastAsia="宋体"/>
          <w:color w:val="auto"/>
          <w:sz w:val="32"/>
          <w:szCs w:val="32"/>
        </w:rPr>
        <w:t>授权委托书</w:t>
      </w:r>
    </w:p>
    <w:p w14:paraId="7E2A3BC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b/>
          <w:bCs/>
          <w:color w:val="auto"/>
          <w:szCs w:val="21"/>
          <w:lang w:val="en-US" w:eastAsia="zh-CN"/>
        </w:rPr>
      </w:pPr>
      <w:r>
        <w:rPr>
          <w:rFonts w:ascii="宋体" w:hAnsi="宋体" w:eastAsia="宋体"/>
          <w:color w:val="auto"/>
          <w:szCs w:val="21"/>
        </w:rPr>
        <w:t>致：</w:t>
      </w:r>
      <w:r>
        <w:rPr>
          <w:rFonts w:hint="eastAsia" w:ascii="宋体" w:hAnsi="宋体"/>
          <w:color w:val="auto"/>
          <w:szCs w:val="21"/>
          <w:u w:val="single"/>
          <w:lang w:eastAsia="zh-CN"/>
        </w:rPr>
        <w:t>广南</w:t>
      </w:r>
      <w:r>
        <w:rPr>
          <w:rFonts w:hint="eastAsia" w:ascii="宋体" w:hAnsi="宋体" w:eastAsia="宋体"/>
          <w:color w:val="auto"/>
          <w:szCs w:val="21"/>
          <w:u w:val="single"/>
        </w:rPr>
        <w:t>县</w:t>
      </w:r>
      <w:r>
        <w:rPr>
          <w:rFonts w:hint="eastAsia" w:ascii="宋体" w:hAnsi="宋体" w:eastAsia="宋体"/>
          <w:color w:val="auto"/>
          <w:szCs w:val="21"/>
          <w:u w:val="single"/>
          <w:lang w:val="en-US" w:eastAsia="zh-CN"/>
        </w:rPr>
        <w:t>民族职业高级中学校</w:t>
      </w:r>
    </w:p>
    <w:p w14:paraId="6D5FDB4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Cs w:val="21"/>
        </w:rPr>
      </w:pPr>
      <w:r>
        <w:rPr>
          <w:rFonts w:ascii="宋体" w:hAnsi="宋体" w:eastAsia="宋体"/>
          <w:color w:val="auto"/>
          <w:szCs w:val="21"/>
        </w:rPr>
        <w:t>本授权书声明：</w:t>
      </w:r>
      <w:r>
        <w:rPr>
          <w:rFonts w:ascii="宋体" w:hAnsi="宋体" w:eastAsia="宋体"/>
          <w:color w:val="auto"/>
          <w:szCs w:val="21"/>
          <w:u w:val="single"/>
        </w:rPr>
        <w:t>（供应商全称）</w:t>
      </w:r>
      <w:r>
        <w:rPr>
          <w:rFonts w:ascii="宋体" w:hAnsi="宋体" w:eastAsia="宋体"/>
          <w:color w:val="auto"/>
          <w:szCs w:val="21"/>
        </w:rPr>
        <w:t>的法定代表人</w:t>
      </w:r>
      <w:r>
        <w:rPr>
          <w:rFonts w:hint="eastAsia" w:ascii="宋体" w:hAnsi="宋体" w:eastAsia="宋体"/>
          <w:color w:val="auto"/>
          <w:szCs w:val="21"/>
        </w:rPr>
        <w:t>（负责人）</w:t>
      </w:r>
      <w:r>
        <w:rPr>
          <w:rFonts w:ascii="宋体" w:hAnsi="宋体" w:eastAsia="宋体"/>
          <w:color w:val="auto"/>
          <w:szCs w:val="21"/>
        </w:rPr>
        <w:t>代表本公司授权</w:t>
      </w:r>
      <w:r>
        <w:rPr>
          <w:rFonts w:ascii="宋体" w:hAnsi="宋体" w:eastAsia="宋体"/>
          <w:color w:val="auto"/>
          <w:szCs w:val="21"/>
          <w:u w:val="single"/>
        </w:rPr>
        <w:t>（委托代理人姓名）</w:t>
      </w:r>
      <w:r>
        <w:rPr>
          <w:rFonts w:ascii="宋体" w:hAnsi="宋体" w:eastAsia="宋体"/>
          <w:color w:val="auto"/>
          <w:szCs w:val="21"/>
        </w:rPr>
        <w:t>为本公司合法代理人，以本单位名义亲自出席参加贵方组织的</w:t>
      </w:r>
      <w:r>
        <w:rPr>
          <w:rFonts w:ascii="宋体" w:hAnsi="宋体" w:eastAsia="宋体"/>
          <w:color w:val="auto"/>
          <w:szCs w:val="21"/>
          <w:u w:val="single"/>
        </w:rPr>
        <w:t>（采购项目名称）</w:t>
      </w:r>
      <w:r>
        <w:rPr>
          <w:rFonts w:ascii="宋体" w:hAnsi="宋体" w:eastAsia="宋体"/>
          <w:color w:val="auto"/>
          <w:szCs w:val="21"/>
        </w:rPr>
        <w:t>项目（项目编号：）的询价。代理人在本项目询价过程中所签署的一切文件和处理与之有关的一切事务，我方均予承认。</w:t>
      </w:r>
    </w:p>
    <w:p w14:paraId="5AA1D21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Cs w:val="21"/>
        </w:rPr>
      </w:pPr>
      <w:r>
        <w:rPr>
          <w:rFonts w:ascii="宋体" w:hAnsi="宋体" w:eastAsia="宋体"/>
          <w:color w:val="auto"/>
          <w:szCs w:val="21"/>
        </w:rPr>
        <w:t>代理人无转委托权。</w:t>
      </w:r>
    </w:p>
    <w:p w14:paraId="03D3932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color w:val="auto"/>
        </w:rPr>
      </w:pPr>
      <w:r>
        <w:rPr>
          <w:rFonts w:ascii="宋体" w:hAnsi="宋体" w:eastAsia="宋体"/>
          <w:b/>
          <w:color w:val="auto"/>
          <w:szCs w:val="21"/>
        </w:rPr>
        <w:t>供应商：</w:t>
      </w:r>
      <w:r>
        <w:rPr>
          <w:rFonts w:ascii="宋体" w:hAnsi="宋体" w:eastAsia="宋体"/>
          <w:b/>
          <w:color w:val="auto"/>
          <w:szCs w:val="21"/>
          <w:u w:val="single"/>
        </w:rPr>
        <w:t>（全称）</w:t>
      </w:r>
      <w:r>
        <w:rPr>
          <w:rFonts w:ascii="宋体" w:hAnsi="宋体" w:eastAsia="宋体"/>
          <w:b/>
          <w:color w:val="auto"/>
          <w:szCs w:val="21"/>
        </w:rPr>
        <w:t>（盖单位</w:t>
      </w:r>
      <w:r>
        <w:rPr>
          <w:rFonts w:hint="eastAsia" w:ascii="宋体" w:hAnsi="宋体" w:eastAsia="宋体"/>
          <w:b/>
          <w:color w:val="auto"/>
          <w:szCs w:val="21"/>
        </w:rPr>
        <w:t>鲜章</w:t>
      </w:r>
      <w:r>
        <w:rPr>
          <w:rFonts w:ascii="宋体" w:hAnsi="宋体" w:eastAsia="宋体"/>
          <w:b/>
          <w:color w:val="auto"/>
          <w:szCs w:val="21"/>
        </w:rPr>
        <w:t>）</w:t>
      </w:r>
    </w:p>
    <w:p w14:paraId="616B9B0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color w:val="auto"/>
        </w:rPr>
      </w:pPr>
      <w:r>
        <w:rPr>
          <w:rFonts w:ascii="宋体" w:hAnsi="宋体" w:eastAsia="宋体"/>
          <w:b/>
          <w:color w:val="auto"/>
          <w:szCs w:val="21"/>
        </w:rPr>
        <w:t>法定代表人</w:t>
      </w:r>
      <w:r>
        <w:rPr>
          <w:rFonts w:hint="eastAsia" w:ascii="宋体" w:hAnsi="宋体" w:eastAsia="宋体"/>
          <w:b/>
          <w:color w:val="auto"/>
          <w:szCs w:val="21"/>
        </w:rPr>
        <w:t>（负责人）</w:t>
      </w:r>
      <w:r>
        <w:rPr>
          <w:rFonts w:ascii="宋体" w:hAnsi="宋体" w:eastAsia="宋体"/>
          <w:b/>
          <w:color w:val="auto"/>
          <w:szCs w:val="21"/>
        </w:rPr>
        <w:t>：（</w:t>
      </w:r>
      <w:r>
        <w:rPr>
          <w:rFonts w:hint="eastAsia" w:ascii="宋体" w:hAnsi="宋体" w:eastAsia="宋体"/>
          <w:b/>
          <w:color w:val="auto"/>
          <w:szCs w:val="21"/>
        </w:rPr>
        <w:t>签名或盖章</w:t>
      </w:r>
      <w:r>
        <w:rPr>
          <w:rFonts w:ascii="宋体" w:hAnsi="宋体" w:eastAsia="宋体"/>
          <w:b/>
          <w:color w:val="auto"/>
          <w:szCs w:val="21"/>
        </w:rPr>
        <w:t>）</w:t>
      </w:r>
    </w:p>
    <w:p w14:paraId="140B404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Cs w:val="21"/>
        </w:rPr>
      </w:pPr>
      <w:r>
        <w:rPr>
          <w:rFonts w:ascii="宋体" w:hAnsi="宋体" w:eastAsia="宋体"/>
          <w:color w:val="auto"/>
          <w:szCs w:val="21"/>
        </w:rPr>
        <w:t>法定代表人身份证号码：</w:t>
      </w:r>
    </w:p>
    <w:p w14:paraId="68DECBE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eastAsia="宋体"/>
          <w:b/>
          <w:color w:val="auto"/>
          <w:szCs w:val="21"/>
        </w:rPr>
      </w:pPr>
    </w:p>
    <w:p w14:paraId="0C546F7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eastAsia="宋体"/>
          <w:b/>
          <w:color w:val="auto"/>
          <w:szCs w:val="21"/>
        </w:rPr>
      </w:pPr>
      <w:r>
        <w:rPr>
          <w:rFonts w:ascii="宋体" w:hAnsi="宋体" w:eastAsia="宋体"/>
          <w:b/>
          <w:color w:val="auto"/>
          <w:szCs w:val="21"/>
        </w:rPr>
        <w:t>委托代理人</w:t>
      </w:r>
      <w:r>
        <w:rPr>
          <w:rFonts w:hint="eastAsia" w:ascii="宋体" w:hAnsi="宋体" w:eastAsia="宋体"/>
          <w:b/>
          <w:color w:val="auto"/>
          <w:szCs w:val="21"/>
        </w:rPr>
        <w:t>姓名</w:t>
      </w:r>
      <w:r>
        <w:rPr>
          <w:rFonts w:ascii="宋体" w:hAnsi="宋体" w:eastAsia="宋体"/>
          <w:b/>
          <w:color w:val="auto"/>
          <w:szCs w:val="21"/>
        </w:rPr>
        <w:t>：</w:t>
      </w:r>
    </w:p>
    <w:p w14:paraId="6E3A3D1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Cs w:val="21"/>
        </w:rPr>
      </w:pPr>
      <w:r>
        <w:rPr>
          <w:rFonts w:ascii="宋体" w:hAnsi="宋体" w:eastAsia="宋体"/>
          <w:color w:val="auto"/>
          <w:szCs w:val="21"/>
        </w:rPr>
        <w:t>职务：</w:t>
      </w:r>
    </w:p>
    <w:p w14:paraId="6B24052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Cs w:val="21"/>
        </w:rPr>
      </w:pPr>
      <w:r>
        <w:rPr>
          <w:rFonts w:ascii="宋体" w:hAnsi="宋体" w:eastAsia="宋体"/>
          <w:color w:val="auto"/>
          <w:szCs w:val="21"/>
        </w:rPr>
        <w:t>代理人身份证号码：</w:t>
      </w:r>
    </w:p>
    <w:p w14:paraId="4CBFCF1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Cs w:val="21"/>
        </w:rPr>
      </w:pPr>
      <w:r>
        <w:rPr>
          <w:rFonts w:ascii="宋体" w:hAnsi="宋体" w:eastAsia="宋体"/>
          <w:color w:val="auto"/>
          <w:szCs w:val="21"/>
        </w:rPr>
        <w:t>年月日</w:t>
      </w:r>
    </w:p>
    <w:p w14:paraId="3563CCB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Cs w:val="21"/>
          <w:u w:val="single"/>
        </w:rPr>
      </w:pPr>
      <w:r>
        <w:rPr>
          <w:rFonts w:ascii="宋体" w:hAnsi="宋体" w:eastAsia="宋体"/>
          <w:color w:val="auto"/>
          <w:szCs w:val="21"/>
        </w:rPr>
        <w:t>附：委托代理人详细地址：</w:t>
      </w:r>
    </w:p>
    <w:p w14:paraId="3A0554E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Cs w:val="21"/>
        </w:rPr>
      </w:pPr>
      <w:r>
        <w:rPr>
          <w:rFonts w:ascii="宋体" w:hAnsi="宋体" w:eastAsia="宋体"/>
          <w:color w:val="auto"/>
          <w:szCs w:val="21"/>
        </w:rPr>
        <w:t>电话：</w:t>
      </w:r>
    </w:p>
    <w:tbl>
      <w:tblPr>
        <w:tblStyle w:val="10"/>
        <w:tblW w:w="0" w:type="auto"/>
        <w:tblInd w:w="7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8"/>
        <w:gridCol w:w="4292"/>
      </w:tblGrid>
      <w:tr w14:paraId="0D6F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198" w:type="dxa"/>
            <w:noWrap w:val="0"/>
            <w:vAlign w:val="top"/>
          </w:tcPr>
          <w:p w14:paraId="40F3C4D0">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vertAlign w:val="baseline"/>
                <w:lang w:eastAsia="zh-CN"/>
              </w:rPr>
            </w:pPr>
            <w:r>
              <w:rPr>
                <w:rFonts w:hint="eastAsia"/>
                <w:color w:val="auto"/>
                <w:vertAlign w:val="baseline"/>
                <w:lang w:eastAsia="zh-CN"/>
              </w:rPr>
              <w:t>法定代表人身份证正面</w:t>
            </w:r>
          </w:p>
        </w:tc>
        <w:tc>
          <w:tcPr>
            <w:tcW w:w="4292" w:type="dxa"/>
            <w:noWrap w:val="0"/>
            <w:vAlign w:val="top"/>
          </w:tcPr>
          <w:p w14:paraId="0F3BC3F6">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vertAlign w:val="baseline"/>
                <w:lang w:eastAsia="zh-CN"/>
              </w:rPr>
            </w:pPr>
            <w:r>
              <w:rPr>
                <w:rFonts w:hint="eastAsia"/>
                <w:color w:val="auto"/>
                <w:vertAlign w:val="baseline"/>
                <w:lang w:eastAsia="zh-CN"/>
              </w:rPr>
              <w:t>法定代表人身份证反面</w:t>
            </w:r>
          </w:p>
        </w:tc>
      </w:tr>
      <w:tr w14:paraId="203B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4198" w:type="dxa"/>
            <w:noWrap w:val="0"/>
            <w:vAlign w:val="top"/>
          </w:tcPr>
          <w:p w14:paraId="0BB5D4AB">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vertAlign w:val="baseline"/>
                <w:lang w:eastAsia="zh-CN"/>
              </w:rPr>
            </w:pPr>
            <w:r>
              <w:rPr>
                <w:rFonts w:hint="eastAsia"/>
                <w:color w:val="auto"/>
                <w:vertAlign w:val="baseline"/>
                <w:lang w:eastAsia="zh-CN"/>
              </w:rPr>
              <w:t>委托代理人身份证正面</w:t>
            </w:r>
          </w:p>
        </w:tc>
        <w:tc>
          <w:tcPr>
            <w:tcW w:w="4292" w:type="dxa"/>
            <w:noWrap w:val="0"/>
            <w:vAlign w:val="top"/>
          </w:tcPr>
          <w:p w14:paraId="13C38753">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vertAlign w:val="baseline"/>
                <w:lang w:eastAsia="zh-CN"/>
              </w:rPr>
            </w:pPr>
            <w:r>
              <w:rPr>
                <w:rFonts w:hint="eastAsia"/>
                <w:color w:val="auto"/>
                <w:vertAlign w:val="baseline"/>
                <w:lang w:eastAsia="zh-CN"/>
              </w:rPr>
              <w:t>委托代理人身份证反面</w:t>
            </w:r>
          </w:p>
        </w:tc>
      </w:tr>
    </w:tbl>
    <w:p w14:paraId="0E51170B">
      <w:pPr>
        <w:rPr>
          <w:rFonts w:hint="default"/>
          <w:lang w:val="en-US" w:eastAsia="zh-CN"/>
        </w:rPr>
      </w:pPr>
    </w:p>
    <w:p w14:paraId="4639AC69">
      <w:pPr>
        <w:pStyle w:val="5"/>
        <w:rPr>
          <w:rFonts w:hint="default"/>
          <w:lang w:val="en-US" w:eastAsia="zh-CN"/>
        </w:rPr>
      </w:pPr>
    </w:p>
    <w:p w14:paraId="773F8FC8">
      <w:pPr>
        <w:rPr>
          <w:rFonts w:hint="default"/>
          <w:lang w:val="en-US" w:eastAsia="zh-CN"/>
        </w:rPr>
      </w:pPr>
    </w:p>
    <w:p w14:paraId="233C8FF5">
      <w:pPr>
        <w:pStyle w:val="5"/>
        <w:rPr>
          <w:rFonts w:hint="default"/>
          <w:lang w:val="en-US" w:eastAsia="zh-CN"/>
        </w:rPr>
      </w:pPr>
    </w:p>
    <w:p w14:paraId="4182729E">
      <w:pPr>
        <w:rPr>
          <w:rFonts w:hint="default"/>
          <w:lang w:val="en-US" w:eastAsia="zh-CN"/>
        </w:rPr>
      </w:pPr>
    </w:p>
    <w:p w14:paraId="4F125698">
      <w:pPr>
        <w:pStyle w:val="5"/>
        <w:rPr>
          <w:rFonts w:hint="default"/>
          <w:lang w:val="en-US" w:eastAsia="zh-CN"/>
        </w:rPr>
      </w:pPr>
    </w:p>
    <w:p w14:paraId="118690CC">
      <w:pPr>
        <w:rPr>
          <w:rFonts w:hint="default"/>
          <w:lang w:val="en-US" w:eastAsia="zh-CN"/>
        </w:rPr>
      </w:pPr>
    </w:p>
    <w:p w14:paraId="7A512E88">
      <w:pPr>
        <w:pStyle w:val="5"/>
        <w:rPr>
          <w:rFonts w:hint="default"/>
          <w:lang w:val="en-US" w:eastAsia="zh-CN"/>
        </w:rPr>
      </w:pPr>
    </w:p>
    <w:p w14:paraId="4C2EE4FE">
      <w:pPr>
        <w:rPr>
          <w:rFonts w:hint="default"/>
          <w:lang w:val="en-US" w:eastAsia="zh-CN"/>
        </w:rPr>
      </w:pPr>
    </w:p>
    <w:p w14:paraId="7244DE26">
      <w:pPr>
        <w:pStyle w:val="3"/>
        <w:numPr>
          <w:ilvl w:val="1"/>
          <w:numId w:val="0"/>
        </w:numPr>
        <w:tabs>
          <w:tab w:val="left" w:pos="360"/>
        </w:tabs>
        <w:spacing w:before="0"/>
        <w:ind w:firstLine="2891" w:firstLineChars="900"/>
        <w:jc w:val="both"/>
        <w:rPr>
          <w:rFonts w:ascii="宋体" w:hAnsi="宋体" w:eastAsia="宋体"/>
          <w:bCs w:val="0"/>
          <w:color w:val="auto"/>
          <w:sz w:val="32"/>
        </w:rPr>
      </w:pPr>
      <w:r>
        <w:rPr>
          <w:rFonts w:hint="eastAsia" w:ascii="宋体" w:hAnsi="宋体" w:eastAsia="宋体"/>
          <w:bCs w:val="0"/>
          <w:color w:val="auto"/>
          <w:sz w:val="32"/>
          <w:lang w:val="en-US" w:eastAsia="zh-CN"/>
        </w:rPr>
        <w:t>十一、</w:t>
      </w:r>
      <w:r>
        <w:rPr>
          <w:rFonts w:ascii="宋体" w:hAnsi="宋体" w:eastAsia="宋体"/>
          <w:bCs w:val="0"/>
          <w:color w:val="auto"/>
          <w:sz w:val="32"/>
        </w:rPr>
        <w:t>商务条款偏离表</w:t>
      </w:r>
    </w:p>
    <w:p w14:paraId="6ECFAF84">
      <w:pPr>
        <w:spacing w:line="360" w:lineRule="auto"/>
        <w:ind w:firstLine="420" w:firstLineChars="200"/>
        <w:rPr>
          <w:rFonts w:ascii="宋体" w:hAnsi="宋体" w:eastAsia="宋体"/>
          <w:color w:val="auto"/>
        </w:rPr>
      </w:pPr>
      <w:r>
        <w:rPr>
          <w:rFonts w:ascii="宋体" w:hAnsi="宋体" w:eastAsia="宋体"/>
          <w:color w:val="auto"/>
        </w:rPr>
        <w:t>参加</w:t>
      </w:r>
      <w:r>
        <w:rPr>
          <w:rFonts w:hint="eastAsia" w:ascii="宋体" w:hAnsi="宋体" w:eastAsia="宋体"/>
          <w:color w:val="auto"/>
          <w:lang w:val="en-US" w:eastAsia="zh-CN"/>
        </w:rPr>
        <w:t>在线</w:t>
      </w:r>
      <w:r>
        <w:rPr>
          <w:rFonts w:ascii="宋体" w:hAnsi="宋体" w:eastAsia="宋体"/>
          <w:color w:val="auto"/>
        </w:rPr>
        <w:t>询价的供应商应逐条对应询价文件</w:t>
      </w:r>
      <w:r>
        <w:rPr>
          <w:rFonts w:hint="eastAsia" w:ascii="宋体" w:hAnsi="宋体" w:eastAsia="宋体"/>
          <w:color w:val="auto"/>
          <w:lang w:val="en-US" w:eastAsia="zh-CN"/>
        </w:rPr>
        <w:t>第一章</w:t>
      </w:r>
      <w:r>
        <w:rPr>
          <w:rFonts w:ascii="宋体" w:hAnsi="宋体" w:eastAsia="宋体"/>
          <w:color w:val="auto"/>
        </w:rPr>
        <w:t>“货物需求一览表”，包括交货期、付款方式、交货地、履约保证金等内容，并根据实际情况如实填写本表格。</w:t>
      </w:r>
    </w:p>
    <w:p w14:paraId="7FFFBFB5">
      <w:pPr>
        <w:spacing w:line="360" w:lineRule="auto"/>
        <w:rPr>
          <w:rFonts w:ascii="宋体" w:hAnsi="宋体" w:eastAsia="宋体"/>
          <w:color w:val="auto"/>
        </w:rPr>
      </w:pPr>
      <w:r>
        <w:rPr>
          <w:rFonts w:ascii="宋体" w:hAnsi="宋体" w:eastAsia="宋体"/>
          <w:color w:val="auto"/>
        </w:rPr>
        <w:t>项目名称：</w:t>
      </w:r>
    </w:p>
    <w:p w14:paraId="7ED57F1E">
      <w:pPr>
        <w:spacing w:line="360" w:lineRule="auto"/>
        <w:rPr>
          <w:rFonts w:ascii="宋体" w:hAnsi="宋体" w:eastAsia="宋体"/>
          <w:color w:val="auto"/>
          <w:u w:val="single"/>
        </w:rPr>
      </w:pPr>
      <w:r>
        <w:rPr>
          <w:rFonts w:ascii="宋体" w:hAnsi="宋体" w:eastAsia="宋体"/>
          <w:color w:val="auto"/>
        </w:rPr>
        <w:t>项目编号：</w:t>
      </w:r>
    </w:p>
    <w:p w14:paraId="1FA57B0C">
      <w:pPr>
        <w:spacing w:line="360" w:lineRule="auto"/>
        <w:rPr>
          <w:rFonts w:ascii="宋体" w:hAnsi="宋体" w:eastAsia="宋体"/>
          <w:color w:val="auto"/>
        </w:rPr>
      </w:pPr>
      <w:r>
        <w:rPr>
          <w:rFonts w:ascii="宋体" w:hAnsi="宋体" w:eastAsia="宋体"/>
          <w:color w:val="auto"/>
        </w:rPr>
        <w:t>A、□我公司已详细阅读询价文件中项商务要求，所有商务要求均无偏离，成交后我公司将严格遵照执行。</w:t>
      </w:r>
    </w:p>
    <w:p w14:paraId="3352EE79">
      <w:pPr>
        <w:spacing w:line="360" w:lineRule="auto"/>
        <w:rPr>
          <w:rFonts w:ascii="宋体" w:hAnsi="宋体" w:eastAsia="宋体"/>
          <w:color w:val="auto"/>
        </w:rPr>
      </w:pPr>
      <w:r>
        <w:rPr>
          <w:rFonts w:ascii="宋体" w:hAnsi="宋体" w:eastAsia="宋体"/>
          <w:color w:val="auto"/>
        </w:rPr>
        <w:t>B、□我公司已详细阅读询价文件中项商务要求，除下述条款有偏离外，其余条款我公司均予以认可，成交后将严格遵照执行。</w:t>
      </w:r>
    </w:p>
    <w:tbl>
      <w:tblPr>
        <w:tblStyle w:val="9"/>
        <w:tblW w:w="10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5075"/>
        <w:gridCol w:w="4846"/>
      </w:tblGrid>
      <w:tr w14:paraId="2AB4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58" w:type="dxa"/>
            <w:noWrap w:val="0"/>
            <w:vAlign w:val="center"/>
          </w:tcPr>
          <w:p w14:paraId="0F6B25B3">
            <w:pPr>
              <w:spacing w:line="360" w:lineRule="auto"/>
              <w:jc w:val="center"/>
              <w:rPr>
                <w:rFonts w:ascii="宋体" w:hAnsi="宋体" w:eastAsia="宋体"/>
                <w:color w:val="auto"/>
              </w:rPr>
            </w:pPr>
            <w:r>
              <w:rPr>
                <w:rFonts w:ascii="宋体" w:hAnsi="宋体" w:eastAsia="宋体"/>
                <w:color w:val="auto"/>
              </w:rPr>
              <w:t>序号</w:t>
            </w:r>
          </w:p>
        </w:tc>
        <w:tc>
          <w:tcPr>
            <w:tcW w:w="5075" w:type="dxa"/>
            <w:noWrap w:val="0"/>
            <w:vAlign w:val="center"/>
          </w:tcPr>
          <w:p w14:paraId="2AD9AB1A">
            <w:pPr>
              <w:spacing w:line="360" w:lineRule="auto"/>
              <w:jc w:val="center"/>
              <w:rPr>
                <w:rFonts w:ascii="宋体" w:hAnsi="宋体" w:eastAsia="宋体"/>
                <w:color w:val="auto"/>
              </w:rPr>
            </w:pPr>
            <w:r>
              <w:rPr>
                <w:rFonts w:ascii="宋体" w:hAnsi="宋体" w:eastAsia="宋体"/>
                <w:color w:val="auto"/>
              </w:rPr>
              <w:t>询价文件的商务条款要求</w:t>
            </w:r>
          </w:p>
        </w:tc>
        <w:tc>
          <w:tcPr>
            <w:tcW w:w="4846" w:type="dxa"/>
            <w:noWrap w:val="0"/>
            <w:vAlign w:val="center"/>
          </w:tcPr>
          <w:p w14:paraId="10B0FE51">
            <w:pPr>
              <w:spacing w:line="360" w:lineRule="auto"/>
              <w:jc w:val="center"/>
              <w:rPr>
                <w:rFonts w:ascii="宋体" w:hAnsi="宋体" w:eastAsia="宋体"/>
                <w:color w:val="auto"/>
              </w:rPr>
            </w:pPr>
            <w:r>
              <w:rPr>
                <w:rFonts w:ascii="宋体" w:hAnsi="宋体" w:eastAsia="宋体"/>
                <w:color w:val="auto"/>
              </w:rPr>
              <w:t>响应文件的商务条款</w:t>
            </w:r>
          </w:p>
        </w:tc>
      </w:tr>
      <w:tr w14:paraId="7B50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58" w:type="dxa"/>
            <w:noWrap w:val="0"/>
            <w:vAlign w:val="center"/>
          </w:tcPr>
          <w:p w14:paraId="65C73F90">
            <w:pPr>
              <w:spacing w:line="360" w:lineRule="auto"/>
              <w:jc w:val="center"/>
              <w:rPr>
                <w:rFonts w:ascii="宋体" w:hAnsi="宋体" w:eastAsia="宋体"/>
                <w:color w:val="auto"/>
              </w:rPr>
            </w:pPr>
          </w:p>
        </w:tc>
        <w:tc>
          <w:tcPr>
            <w:tcW w:w="5075" w:type="dxa"/>
            <w:noWrap w:val="0"/>
            <w:vAlign w:val="center"/>
          </w:tcPr>
          <w:p w14:paraId="18456F7B">
            <w:pPr>
              <w:spacing w:line="360" w:lineRule="auto"/>
              <w:jc w:val="center"/>
              <w:rPr>
                <w:rFonts w:ascii="宋体" w:hAnsi="宋体" w:eastAsia="宋体"/>
                <w:color w:val="auto"/>
              </w:rPr>
            </w:pPr>
          </w:p>
        </w:tc>
        <w:tc>
          <w:tcPr>
            <w:tcW w:w="4846" w:type="dxa"/>
            <w:noWrap w:val="0"/>
            <w:vAlign w:val="center"/>
          </w:tcPr>
          <w:p w14:paraId="46E26F5A">
            <w:pPr>
              <w:spacing w:line="360" w:lineRule="auto"/>
              <w:jc w:val="center"/>
              <w:rPr>
                <w:rFonts w:ascii="宋体" w:hAnsi="宋体" w:eastAsia="宋体"/>
                <w:color w:val="auto"/>
              </w:rPr>
            </w:pPr>
          </w:p>
        </w:tc>
      </w:tr>
      <w:tr w14:paraId="4F22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58" w:type="dxa"/>
            <w:noWrap w:val="0"/>
            <w:vAlign w:val="center"/>
          </w:tcPr>
          <w:p w14:paraId="12D285C3">
            <w:pPr>
              <w:spacing w:line="360" w:lineRule="auto"/>
              <w:jc w:val="center"/>
              <w:rPr>
                <w:rFonts w:ascii="宋体" w:hAnsi="宋体" w:eastAsia="宋体"/>
                <w:color w:val="auto"/>
              </w:rPr>
            </w:pPr>
          </w:p>
        </w:tc>
        <w:tc>
          <w:tcPr>
            <w:tcW w:w="5075" w:type="dxa"/>
            <w:noWrap w:val="0"/>
            <w:vAlign w:val="center"/>
          </w:tcPr>
          <w:p w14:paraId="2E4752EB">
            <w:pPr>
              <w:spacing w:line="360" w:lineRule="auto"/>
              <w:jc w:val="center"/>
              <w:rPr>
                <w:rFonts w:ascii="宋体" w:hAnsi="宋体" w:eastAsia="宋体"/>
                <w:color w:val="auto"/>
              </w:rPr>
            </w:pPr>
          </w:p>
        </w:tc>
        <w:tc>
          <w:tcPr>
            <w:tcW w:w="4846" w:type="dxa"/>
            <w:noWrap w:val="0"/>
            <w:vAlign w:val="center"/>
          </w:tcPr>
          <w:p w14:paraId="51B19EC2">
            <w:pPr>
              <w:spacing w:line="360" w:lineRule="auto"/>
              <w:jc w:val="center"/>
              <w:rPr>
                <w:rFonts w:ascii="宋体" w:hAnsi="宋体" w:eastAsia="宋体"/>
                <w:color w:val="auto"/>
              </w:rPr>
            </w:pPr>
          </w:p>
        </w:tc>
      </w:tr>
      <w:tr w14:paraId="0DE7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58" w:type="dxa"/>
            <w:noWrap w:val="0"/>
            <w:vAlign w:val="center"/>
          </w:tcPr>
          <w:p w14:paraId="65C649E2">
            <w:pPr>
              <w:spacing w:line="360" w:lineRule="auto"/>
              <w:jc w:val="center"/>
              <w:rPr>
                <w:rFonts w:ascii="宋体" w:hAnsi="宋体" w:eastAsia="宋体"/>
                <w:color w:val="auto"/>
              </w:rPr>
            </w:pPr>
          </w:p>
        </w:tc>
        <w:tc>
          <w:tcPr>
            <w:tcW w:w="5075" w:type="dxa"/>
            <w:noWrap w:val="0"/>
            <w:vAlign w:val="center"/>
          </w:tcPr>
          <w:p w14:paraId="4D79780B">
            <w:pPr>
              <w:spacing w:line="360" w:lineRule="auto"/>
              <w:jc w:val="center"/>
              <w:rPr>
                <w:rFonts w:ascii="宋体" w:hAnsi="宋体" w:eastAsia="宋体"/>
                <w:color w:val="auto"/>
              </w:rPr>
            </w:pPr>
          </w:p>
        </w:tc>
        <w:tc>
          <w:tcPr>
            <w:tcW w:w="4846" w:type="dxa"/>
            <w:noWrap w:val="0"/>
            <w:vAlign w:val="center"/>
          </w:tcPr>
          <w:p w14:paraId="10A55E1E">
            <w:pPr>
              <w:spacing w:line="360" w:lineRule="auto"/>
              <w:jc w:val="center"/>
              <w:rPr>
                <w:rFonts w:ascii="宋体" w:hAnsi="宋体" w:eastAsia="宋体"/>
                <w:color w:val="auto"/>
              </w:rPr>
            </w:pPr>
          </w:p>
        </w:tc>
      </w:tr>
      <w:tr w14:paraId="1222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658" w:type="dxa"/>
            <w:noWrap w:val="0"/>
            <w:vAlign w:val="center"/>
          </w:tcPr>
          <w:p w14:paraId="05F1A82C">
            <w:pPr>
              <w:spacing w:line="360" w:lineRule="auto"/>
              <w:jc w:val="center"/>
              <w:rPr>
                <w:rFonts w:ascii="宋体" w:hAnsi="宋体" w:eastAsia="宋体"/>
                <w:color w:val="auto"/>
              </w:rPr>
            </w:pPr>
          </w:p>
        </w:tc>
        <w:tc>
          <w:tcPr>
            <w:tcW w:w="5075" w:type="dxa"/>
            <w:noWrap w:val="0"/>
            <w:vAlign w:val="center"/>
          </w:tcPr>
          <w:p w14:paraId="4A765925">
            <w:pPr>
              <w:spacing w:line="360" w:lineRule="auto"/>
              <w:jc w:val="center"/>
              <w:rPr>
                <w:rFonts w:ascii="宋体" w:hAnsi="宋体" w:eastAsia="宋体"/>
                <w:color w:val="auto"/>
              </w:rPr>
            </w:pPr>
          </w:p>
        </w:tc>
        <w:tc>
          <w:tcPr>
            <w:tcW w:w="4846" w:type="dxa"/>
            <w:noWrap w:val="0"/>
            <w:vAlign w:val="center"/>
          </w:tcPr>
          <w:p w14:paraId="326C5F90">
            <w:pPr>
              <w:spacing w:line="360" w:lineRule="auto"/>
              <w:jc w:val="center"/>
              <w:rPr>
                <w:rFonts w:ascii="宋体" w:hAnsi="宋体" w:eastAsia="宋体"/>
                <w:color w:val="auto"/>
              </w:rPr>
            </w:pPr>
          </w:p>
        </w:tc>
      </w:tr>
    </w:tbl>
    <w:p w14:paraId="43AD4ED2">
      <w:pPr>
        <w:spacing w:line="360" w:lineRule="auto"/>
        <w:ind w:firstLine="2" w:firstLineChars="1"/>
        <w:rPr>
          <w:rFonts w:ascii="宋体" w:hAnsi="宋体" w:eastAsia="宋体"/>
          <w:color w:val="auto"/>
          <w:szCs w:val="21"/>
        </w:rPr>
      </w:pPr>
      <w:r>
        <w:rPr>
          <w:rFonts w:ascii="宋体" w:hAnsi="宋体" w:eastAsia="宋体"/>
          <w:color w:val="auto"/>
          <w:szCs w:val="21"/>
        </w:rPr>
        <w:t>供应商：（盖单位</w:t>
      </w:r>
      <w:r>
        <w:rPr>
          <w:rFonts w:hint="eastAsia" w:ascii="宋体" w:hAnsi="宋体" w:eastAsia="宋体"/>
          <w:color w:val="auto"/>
          <w:szCs w:val="21"/>
        </w:rPr>
        <w:t>鲜章</w:t>
      </w:r>
      <w:r>
        <w:rPr>
          <w:rFonts w:ascii="宋体" w:hAnsi="宋体" w:eastAsia="宋体"/>
          <w:color w:val="auto"/>
          <w:szCs w:val="21"/>
        </w:rPr>
        <w:t>）</w:t>
      </w:r>
    </w:p>
    <w:p w14:paraId="73088A56">
      <w:pPr>
        <w:spacing w:line="360" w:lineRule="auto"/>
        <w:ind w:firstLine="2" w:firstLineChars="1"/>
        <w:rPr>
          <w:rFonts w:ascii="宋体" w:hAnsi="宋体" w:eastAsia="宋体"/>
          <w:color w:val="auto"/>
          <w:szCs w:val="21"/>
        </w:rPr>
      </w:pPr>
      <w:r>
        <w:rPr>
          <w:rFonts w:ascii="宋体" w:hAnsi="宋体" w:eastAsia="宋体"/>
          <w:color w:val="auto"/>
          <w:szCs w:val="21"/>
        </w:rPr>
        <w:t>法定代表人：（</w:t>
      </w:r>
      <w:r>
        <w:rPr>
          <w:rFonts w:hint="eastAsia" w:ascii="宋体" w:hAnsi="宋体" w:eastAsia="宋体"/>
          <w:color w:val="auto"/>
          <w:szCs w:val="21"/>
        </w:rPr>
        <w:t>签名</w:t>
      </w:r>
      <w:r>
        <w:rPr>
          <w:rFonts w:ascii="宋体" w:hAnsi="宋体" w:eastAsia="宋体"/>
          <w:color w:val="auto"/>
          <w:szCs w:val="21"/>
        </w:rPr>
        <w:t>或签章）</w:t>
      </w:r>
    </w:p>
    <w:p w14:paraId="6241EE52">
      <w:pPr>
        <w:spacing w:line="360" w:lineRule="auto"/>
        <w:rPr>
          <w:rFonts w:ascii="宋体" w:hAnsi="宋体" w:eastAsia="宋体"/>
          <w:color w:val="auto"/>
          <w:szCs w:val="21"/>
          <w:u w:val="single"/>
        </w:rPr>
      </w:pPr>
      <w:r>
        <w:rPr>
          <w:rFonts w:ascii="宋体" w:hAnsi="宋体" w:eastAsia="宋体"/>
          <w:color w:val="auto"/>
          <w:szCs w:val="21"/>
        </w:rPr>
        <w:t>年月日</w:t>
      </w:r>
    </w:p>
    <w:p w14:paraId="5AA53706">
      <w:pPr>
        <w:pStyle w:val="6"/>
        <w:spacing w:line="360" w:lineRule="auto"/>
        <w:rPr>
          <w:rFonts w:ascii="宋体" w:hAnsi="宋体" w:eastAsia="宋体"/>
          <w:b/>
          <w:color w:val="auto"/>
        </w:rPr>
      </w:pPr>
      <w:r>
        <w:rPr>
          <w:rFonts w:ascii="宋体" w:hAnsi="宋体" w:eastAsia="宋体"/>
          <w:b/>
          <w:color w:val="auto"/>
        </w:rPr>
        <w:t>表格填写说明：</w:t>
      </w:r>
    </w:p>
    <w:p w14:paraId="55E52165">
      <w:pPr>
        <w:pStyle w:val="6"/>
        <w:spacing w:line="360" w:lineRule="auto"/>
        <w:rPr>
          <w:rFonts w:ascii="宋体" w:hAnsi="宋体" w:eastAsia="宋体"/>
          <w:color w:val="auto"/>
        </w:rPr>
      </w:pPr>
      <w:r>
        <w:rPr>
          <w:rFonts w:ascii="宋体" w:hAnsi="宋体" w:eastAsia="宋体"/>
          <w:color w:val="auto"/>
        </w:rPr>
        <w:t>1、供应商根据应根据实际情况，填写本表格，若无偏离，则勾选A项，签字盖章即可。若有偏离，则勾选B项，按表格要求及实际情况填写后，签字盖章。</w:t>
      </w:r>
    </w:p>
    <w:p w14:paraId="1B6C91F7">
      <w:pPr>
        <w:pStyle w:val="6"/>
        <w:spacing w:line="360" w:lineRule="auto"/>
        <w:rPr>
          <w:rFonts w:ascii="宋体" w:hAnsi="宋体" w:eastAsia="宋体"/>
          <w:color w:val="auto"/>
        </w:rPr>
      </w:pPr>
      <w:r>
        <w:rPr>
          <w:rFonts w:ascii="宋体" w:hAnsi="宋体" w:eastAsia="宋体"/>
          <w:color w:val="auto"/>
        </w:rPr>
        <w:t>2、表格中“询价文件的商务条款要求”在填写时应注明该条款在响应文件中的页码及条款号。</w:t>
      </w:r>
    </w:p>
    <w:p w14:paraId="53860B36">
      <w:pPr>
        <w:pStyle w:val="6"/>
        <w:spacing w:line="360" w:lineRule="auto"/>
        <w:rPr>
          <w:rFonts w:ascii="宋体" w:hAnsi="宋体" w:eastAsia="宋体"/>
          <w:color w:val="auto"/>
        </w:rPr>
      </w:pPr>
      <w:r>
        <w:rPr>
          <w:rFonts w:ascii="宋体" w:hAnsi="宋体" w:eastAsia="宋体"/>
          <w:color w:val="auto"/>
        </w:rPr>
        <w:t>3、表格中“响应文件的商务条款”请根据实际响应情况如实、完整、准确的填写。</w:t>
      </w:r>
    </w:p>
    <w:p w14:paraId="19C8ED6D">
      <w:pPr>
        <w:pStyle w:val="6"/>
        <w:spacing w:line="360" w:lineRule="auto"/>
        <w:rPr>
          <w:rFonts w:ascii="宋体" w:hAnsi="宋体" w:eastAsia="宋体"/>
          <w:b/>
          <w:color w:val="auto"/>
        </w:rPr>
      </w:pPr>
      <w:r>
        <w:rPr>
          <w:rFonts w:ascii="宋体" w:hAnsi="宋体" w:eastAsia="宋体"/>
          <w:color w:val="auto"/>
        </w:rPr>
        <w:t>4、</w:t>
      </w:r>
      <w:r>
        <w:rPr>
          <w:rFonts w:ascii="宋体" w:hAnsi="宋体" w:eastAsia="宋体"/>
          <w:b/>
          <w:color w:val="auto"/>
        </w:rPr>
        <w:t>本表格中内容与响应文件其余部分不一致的，以本表格为准。</w:t>
      </w:r>
    </w:p>
    <w:p w14:paraId="176F5813">
      <w:pPr>
        <w:pStyle w:val="6"/>
        <w:spacing w:line="360" w:lineRule="auto"/>
        <w:rPr>
          <w:rFonts w:ascii="宋体" w:hAnsi="宋体" w:eastAsia="宋体"/>
          <w:color w:val="auto"/>
        </w:rPr>
      </w:pPr>
      <w:r>
        <w:rPr>
          <w:rFonts w:ascii="宋体" w:hAnsi="宋体" w:eastAsia="宋体"/>
          <w:color w:val="auto"/>
        </w:rPr>
        <w:t>5、填表示例：（有偏离情况的）</w:t>
      </w:r>
    </w:p>
    <w:p w14:paraId="717E38A7">
      <w:pPr>
        <w:spacing w:line="360" w:lineRule="auto"/>
        <w:rPr>
          <w:rFonts w:ascii="宋体" w:hAnsi="宋体" w:eastAsia="宋体"/>
          <w:color w:val="auto"/>
        </w:rPr>
      </w:pPr>
      <w:r>
        <w:rPr>
          <w:rFonts w:ascii="宋体" w:hAnsi="宋体" w:eastAsia="宋体"/>
          <w:color w:val="auto"/>
        </w:rPr>
        <w:t>A、</w:t>
      </w:r>
      <w:r>
        <w:rPr>
          <w:rFonts w:ascii="宋体" w:hAnsi="宋体" w:eastAsia="宋体"/>
          <w:color w:val="auto"/>
        </w:rPr>
        <w:fldChar w:fldCharType="begin"/>
      </w:r>
      <w:r>
        <w:rPr>
          <w:rFonts w:ascii="宋体" w:hAnsi="宋体" w:eastAsia="宋体"/>
          <w:color w:val="auto"/>
        </w:rPr>
        <w:instrText xml:space="preserve"> eq \o\ac(□,</w:instrText>
      </w:r>
      <w:r>
        <w:rPr>
          <w:rFonts w:ascii="宋体" w:hAnsi="宋体" w:eastAsia="宋体"/>
          <w:color w:val="auto"/>
          <w:position w:val="2"/>
          <w:sz w:val="13"/>
        </w:rPr>
        <w:instrText xml:space="preserve">×</w:instrText>
      </w:r>
      <w:r>
        <w:rPr>
          <w:rFonts w:ascii="宋体" w:hAnsi="宋体" w:eastAsia="宋体"/>
          <w:color w:val="auto"/>
        </w:rPr>
        <w:instrText xml:space="preserve">)</w:instrText>
      </w:r>
      <w:r>
        <w:rPr>
          <w:rFonts w:ascii="宋体" w:hAnsi="宋体" w:eastAsia="宋体"/>
          <w:color w:val="auto"/>
        </w:rPr>
        <w:fldChar w:fldCharType="end"/>
      </w:r>
      <w:r>
        <w:rPr>
          <w:rFonts w:ascii="宋体" w:hAnsi="宋体" w:eastAsia="宋体"/>
          <w:color w:val="auto"/>
        </w:rPr>
        <w:t>我公司已详细阅读询价文件中项商务要求，所有商务要求均无偏离，成交后我公司将严格遵照执行。</w:t>
      </w:r>
    </w:p>
    <w:p w14:paraId="673C1E67">
      <w:pPr>
        <w:spacing w:line="360" w:lineRule="auto"/>
        <w:rPr>
          <w:rFonts w:ascii="宋体" w:hAnsi="宋体" w:eastAsia="宋体"/>
          <w:color w:val="auto"/>
        </w:rPr>
      </w:pPr>
      <w:r>
        <w:rPr>
          <w:rFonts w:ascii="宋体" w:hAnsi="宋体" w:eastAsia="宋体"/>
          <w:color w:val="auto"/>
        </w:rPr>
        <w:t>B、</w:t>
      </w:r>
      <w:r>
        <w:rPr>
          <w:rFonts w:ascii="宋体" w:hAnsi="宋体" w:eastAsia="宋体"/>
          <w:color w:val="auto"/>
        </w:rPr>
        <w:fldChar w:fldCharType="begin"/>
      </w:r>
      <w:r>
        <w:rPr>
          <w:rFonts w:ascii="宋体" w:hAnsi="宋体" w:eastAsia="宋体"/>
          <w:color w:val="auto"/>
        </w:rPr>
        <w:instrText xml:space="preserve"> eq \o\ac(□,√)</w:instrText>
      </w:r>
      <w:r>
        <w:rPr>
          <w:rFonts w:ascii="宋体" w:hAnsi="宋体" w:eastAsia="宋体"/>
          <w:color w:val="auto"/>
        </w:rPr>
        <w:fldChar w:fldCharType="end"/>
      </w:r>
      <w:r>
        <w:rPr>
          <w:rFonts w:ascii="宋体" w:hAnsi="宋体" w:eastAsia="宋体"/>
          <w:color w:val="auto"/>
        </w:rPr>
        <w:t>我公司已详细阅读询价文件中项商务要求，除下述条款有偏离外，其余条款我公司均予以认可，成交后将严格遵照执行。</w:t>
      </w:r>
    </w:p>
    <w:p w14:paraId="4E164C69">
      <w:pPr>
        <w:spacing w:line="360" w:lineRule="auto"/>
        <w:rPr>
          <w:rFonts w:ascii="宋体" w:hAnsi="宋体" w:eastAsia="宋体"/>
          <w:color w:val="auto"/>
        </w:rPr>
      </w:pPr>
    </w:p>
    <w:p w14:paraId="48A972D4">
      <w:pPr>
        <w:spacing w:line="360" w:lineRule="auto"/>
        <w:rPr>
          <w:rFonts w:ascii="宋体" w:hAnsi="宋体" w:eastAsia="宋体"/>
          <w:color w:val="auto"/>
        </w:rPr>
      </w:pPr>
    </w:p>
    <w:tbl>
      <w:tblPr>
        <w:tblStyle w:val="9"/>
        <w:tblW w:w="10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5439"/>
        <w:gridCol w:w="4529"/>
      </w:tblGrid>
      <w:tr w14:paraId="7EA3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51" w:type="dxa"/>
            <w:noWrap w:val="0"/>
            <w:vAlign w:val="center"/>
          </w:tcPr>
          <w:p w14:paraId="3E86DE2E">
            <w:pPr>
              <w:spacing w:line="360" w:lineRule="auto"/>
              <w:jc w:val="center"/>
              <w:rPr>
                <w:rFonts w:ascii="宋体" w:hAnsi="宋体" w:eastAsia="宋体"/>
                <w:color w:val="auto"/>
              </w:rPr>
            </w:pPr>
            <w:r>
              <w:rPr>
                <w:rFonts w:ascii="宋体" w:hAnsi="宋体" w:eastAsia="宋体"/>
                <w:color w:val="auto"/>
              </w:rPr>
              <w:t>序号</w:t>
            </w:r>
          </w:p>
        </w:tc>
        <w:tc>
          <w:tcPr>
            <w:tcW w:w="5439" w:type="dxa"/>
            <w:noWrap w:val="0"/>
            <w:vAlign w:val="center"/>
          </w:tcPr>
          <w:p w14:paraId="1C47A3F7">
            <w:pPr>
              <w:spacing w:line="360" w:lineRule="auto"/>
              <w:jc w:val="center"/>
              <w:rPr>
                <w:rFonts w:ascii="宋体" w:hAnsi="宋体" w:eastAsia="宋体"/>
                <w:color w:val="auto"/>
              </w:rPr>
            </w:pPr>
            <w:r>
              <w:rPr>
                <w:rFonts w:ascii="宋体" w:hAnsi="宋体" w:eastAsia="宋体"/>
                <w:color w:val="auto"/>
              </w:rPr>
              <w:t>询价文件的商务条款要求</w:t>
            </w:r>
          </w:p>
        </w:tc>
        <w:tc>
          <w:tcPr>
            <w:tcW w:w="4529" w:type="dxa"/>
            <w:noWrap w:val="0"/>
            <w:vAlign w:val="center"/>
          </w:tcPr>
          <w:p w14:paraId="6522948D">
            <w:pPr>
              <w:spacing w:line="360" w:lineRule="auto"/>
              <w:jc w:val="center"/>
              <w:rPr>
                <w:rFonts w:ascii="宋体" w:hAnsi="宋体" w:eastAsia="宋体"/>
                <w:color w:val="auto"/>
              </w:rPr>
            </w:pPr>
            <w:r>
              <w:rPr>
                <w:rFonts w:ascii="宋体" w:hAnsi="宋体" w:eastAsia="宋体"/>
                <w:color w:val="auto"/>
              </w:rPr>
              <w:t>响应文件的商务条款</w:t>
            </w:r>
          </w:p>
        </w:tc>
      </w:tr>
      <w:tr w14:paraId="3EC4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651" w:type="dxa"/>
            <w:noWrap w:val="0"/>
            <w:vAlign w:val="center"/>
          </w:tcPr>
          <w:p w14:paraId="13D61807">
            <w:pPr>
              <w:spacing w:line="360" w:lineRule="auto"/>
              <w:jc w:val="center"/>
              <w:rPr>
                <w:rFonts w:ascii="宋体" w:hAnsi="宋体" w:eastAsia="宋体"/>
                <w:color w:val="auto"/>
                <w:sz w:val="22"/>
              </w:rPr>
            </w:pPr>
            <w:r>
              <w:rPr>
                <w:rFonts w:ascii="宋体" w:hAnsi="宋体" w:eastAsia="宋体"/>
                <w:color w:val="auto"/>
                <w:sz w:val="22"/>
              </w:rPr>
              <w:t>1</w:t>
            </w:r>
          </w:p>
        </w:tc>
        <w:tc>
          <w:tcPr>
            <w:tcW w:w="5439" w:type="dxa"/>
            <w:noWrap w:val="0"/>
            <w:vAlign w:val="center"/>
          </w:tcPr>
          <w:p w14:paraId="4663CC57">
            <w:pPr>
              <w:spacing w:line="360" w:lineRule="auto"/>
              <w:rPr>
                <w:rFonts w:ascii="宋体" w:hAnsi="宋体" w:eastAsia="宋体"/>
                <w:color w:val="auto"/>
                <w:sz w:val="22"/>
                <w:szCs w:val="21"/>
              </w:rPr>
            </w:pPr>
            <w:r>
              <w:rPr>
                <w:rFonts w:ascii="宋体" w:hAnsi="宋体" w:eastAsia="宋体"/>
                <w:color w:val="auto"/>
                <w:sz w:val="22"/>
                <w:szCs w:val="21"/>
              </w:rPr>
              <w:t>P25、合同条款前附表。第2条。付款方式：设备到货后，安装、调试、验收合格后一次性支付合同总价的95%，设备使用三个月后无质量问题，运行正常，支付5%余款。</w:t>
            </w:r>
            <w:r>
              <w:rPr>
                <w:rFonts w:ascii="宋体" w:hAnsi="宋体" w:eastAsia="宋体"/>
                <w:color w:val="auto"/>
                <w:sz w:val="22"/>
                <w:szCs w:val="21"/>
              </w:rPr>
              <mc:AlternateContent>
                <mc:Choice Requires="wps">
                  <w:drawing>
                    <wp:anchor distT="0" distB="0" distL="114300" distR="114300" simplePos="0" relativeHeight="251660288" behindDoc="0" locked="0" layoutInCell="1" allowOverlap="1">
                      <wp:simplePos x="0" y="0"/>
                      <wp:positionH relativeFrom="column">
                        <wp:posOffset>1012825</wp:posOffset>
                      </wp:positionH>
                      <wp:positionV relativeFrom="paragraph">
                        <wp:posOffset>-366395</wp:posOffset>
                      </wp:positionV>
                      <wp:extent cx="5113655" cy="25825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113655" cy="2582545"/>
                              </a:xfrm>
                              <a:prstGeom prst="rect">
                                <a:avLst/>
                              </a:prstGeom>
                              <a:noFill/>
                              <a:ln>
                                <a:noFill/>
                              </a:ln>
                            </wps:spPr>
                            <wps:txbx>
                              <w:txbxContent>
                                <w:p w14:paraId="35DE5231">
                                  <w:pPr>
                                    <w:rPr>
                                      <w:rFonts w:ascii="黑体" w:hAnsi="黑体" w:eastAsia="黑体"/>
                                      <w:color w:val="FF0000"/>
                                      <w:sz w:val="215"/>
                                    </w:rPr>
                                  </w:pPr>
                                  <w:r>
                                    <w:rPr>
                                      <w:rFonts w:hint="eastAsia" w:ascii="黑体" w:hAnsi="黑体" w:eastAsia="黑体"/>
                                      <w:color w:val="FF0000"/>
                                      <w:sz w:val="215"/>
                                    </w:rPr>
                                    <w:t>样   表</w:t>
                                  </w:r>
                                </w:p>
                              </w:txbxContent>
                            </wps:txbx>
                            <wps:bodyPr upright="1"/>
                          </wps:wsp>
                        </a:graphicData>
                      </a:graphic>
                    </wp:anchor>
                  </w:drawing>
                </mc:Choice>
                <mc:Fallback>
                  <w:pict>
                    <v:shape id="_x0000_s1026" o:spid="_x0000_s1026" o:spt="202" type="#_x0000_t202" style="position:absolute;left:0pt;margin-left:79.75pt;margin-top:-28.85pt;height:203.35pt;width:402.65pt;z-index:251660288;mso-width-relative:page;mso-height-relative:page;" filled="f" stroked="f" coordsize="21600,21600" o:gfxdata="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c3FudgA&#10;AAALAQAADwAAAAAAAAABACAAAAAiAAAAZHJzL2Rvd25yZXYueG1sUEsBAhQAFAAAAAgAh07iQDSf&#10;EWWtAQAATwMAAA4AAAAAAAAAAQAgAAAAJwEAAGRycy9lMm9Eb2MueG1sUEsFBgAAAAAGAAYAWQEA&#10;AEYFAAAAAA==&#10;">
                      <v:fill on="f" focussize="0,0"/>
                      <v:stroke on="f"/>
                      <v:imagedata o:title=""/>
                      <o:lock v:ext="edit" aspectratio="f"/>
                      <v:textbox>
                        <w:txbxContent>
                          <w:p w14:paraId="35DE5231">
                            <w:pPr>
                              <w:rPr>
                                <w:rFonts w:ascii="黑体" w:hAnsi="黑体" w:eastAsia="黑体"/>
                                <w:color w:val="FF0000"/>
                                <w:sz w:val="215"/>
                              </w:rPr>
                            </w:pPr>
                            <w:r>
                              <w:rPr>
                                <w:rFonts w:hint="eastAsia" w:ascii="黑体" w:hAnsi="黑体" w:eastAsia="黑体"/>
                                <w:color w:val="FF0000"/>
                                <w:sz w:val="215"/>
                              </w:rPr>
                              <w:t>样   表</w:t>
                            </w:r>
                          </w:p>
                        </w:txbxContent>
                      </v:textbox>
                    </v:shape>
                  </w:pict>
                </mc:Fallback>
              </mc:AlternateContent>
            </w:r>
          </w:p>
        </w:tc>
        <w:tc>
          <w:tcPr>
            <w:tcW w:w="4529" w:type="dxa"/>
            <w:noWrap w:val="0"/>
            <w:vAlign w:val="center"/>
          </w:tcPr>
          <w:p w14:paraId="1E7BA1AA">
            <w:pPr>
              <w:spacing w:line="360" w:lineRule="auto"/>
              <w:rPr>
                <w:rFonts w:ascii="宋体" w:hAnsi="宋体" w:eastAsia="宋体"/>
                <w:color w:val="auto"/>
                <w:sz w:val="22"/>
              </w:rPr>
            </w:pPr>
            <w:r>
              <w:rPr>
                <w:rFonts w:ascii="宋体" w:hAnsi="宋体" w:eastAsia="宋体"/>
                <w:color w:val="auto"/>
                <w:sz w:val="22"/>
                <w:szCs w:val="21"/>
              </w:rPr>
              <w:t>付款方式：设备到货后，安装、调试、验收合格后一次性支付合同总价的97%，设备使用三个月后无质量问题，运行正常，支付3%余款。</w:t>
            </w:r>
          </w:p>
        </w:tc>
      </w:tr>
      <w:tr w14:paraId="50DF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51" w:type="dxa"/>
            <w:noWrap w:val="0"/>
            <w:vAlign w:val="center"/>
          </w:tcPr>
          <w:p w14:paraId="4BB5C854">
            <w:pPr>
              <w:spacing w:line="360" w:lineRule="auto"/>
              <w:jc w:val="center"/>
              <w:rPr>
                <w:rFonts w:ascii="宋体" w:hAnsi="宋体" w:eastAsia="宋体"/>
                <w:color w:val="auto"/>
                <w:sz w:val="22"/>
              </w:rPr>
            </w:pPr>
            <w:r>
              <w:rPr>
                <w:rFonts w:ascii="宋体" w:hAnsi="宋体" w:eastAsia="宋体"/>
                <w:color w:val="auto"/>
                <w:sz w:val="22"/>
              </w:rPr>
              <w:t>2</w:t>
            </w:r>
          </w:p>
        </w:tc>
        <w:tc>
          <w:tcPr>
            <w:tcW w:w="5439" w:type="dxa"/>
            <w:noWrap w:val="0"/>
            <w:vAlign w:val="center"/>
          </w:tcPr>
          <w:p w14:paraId="3EC6B6A2">
            <w:pPr>
              <w:spacing w:line="360" w:lineRule="auto"/>
              <w:rPr>
                <w:rFonts w:ascii="宋体" w:hAnsi="宋体" w:eastAsia="宋体"/>
                <w:color w:val="auto"/>
                <w:sz w:val="22"/>
              </w:rPr>
            </w:pPr>
            <w:r>
              <w:rPr>
                <w:rFonts w:ascii="宋体" w:hAnsi="宋体" w:eastAsia="宋体"/>
                <w:color w:val="auto"/>
                <w:sz w:val="22"/>
                <w:szCs w:val="21"/>
              </w:rPr>
              <w:t>P25、合同条款前附表。第1条。交货期：签订合同后30天内到货并完成验收；</w:t>
            </w:r>
          </w:p>
        </w:tc>
        <w:tc>
          <w:tcPr>
            <w:tcW w:w="4529" w:type="dxa"/>
            <w:noWrap w:val="0"/>
            <w:vAlign w:val="center"/>
          </w:tcPr>
          <w:p w14:paraId="16D9B554">
            <w:pPr>
              <w:spacing w:line="360" w:lineRule="auto"/>
              <w:rPr>
                <w:rFonts w:ascii="宋体" w:hAnsi="宋体" w:eastAsia="宋体"/>
                <w:color w:val="auto"/>
                <w:sz w:val="22"/>
                <w:szCs w:val="21"/>
              </w:rPr>
            </w:pPr>
            <w:r>
              <w:rPr>
                <w:rFonts w:ascii="宋体" w:hAnsi="宋体" w:eastAsia="宋体"/>
                <w:color w:val="auto"/>
                <w:sz w:val="22"/>
                <w:szCs w:val="21"/>
              </w:rPr>
              <w:t>交货期：签订合同后20天内到货并完成验收；</w:t>
            </w:r>
          </w:p>
        </w:tc>
      </w:tr>
    </w:tbl>
    <w:p w14:paraId="363F2C24">
      <w:pPr>
        <w:pStyle w:val="3"/>
        <w:numPr>
          <w:ilvl w:val="1"/>
          <w:numId w:val="0"/>
        </w:numPr>
        <w:tabs>
          <w:tab w:val="left" w:pos="360"/>
        </w:tabs>
        <w:spacing w:before="0"/>
        <w:ind w:firstLine="643" w:firstLineChars="200"/>
        <w:jc w:val="left"/>
        <w:rPr>
          <w:rFonts w:ascii="宋体" w:hAnsi="宋体" w:eastAsia="宋体"/>
          <w:bCs w:val="0"/>
          <w:color w:val="auto"/>
          <w:sz w:val="32"/>
        </w:rPr>
      </w:pPr>
      <w:r>
        <w:rPr>
          <w:rFonts w:ascii="宋体" w:hAnsi="宋体" w:eastAsia="宋体"/>
          <w:bCs w:val="0"/>
          <w:color w:val="auto"/>
          <w:sz w:val="32"/>
        </w:rPr>
        <w:t>技术规格偏离表</w:t>
      </w:r>
    </w:p>
    <w:p w14:paraId="73306E18">
      <w:pPr>
        <w:spacing w:line="360" w:lineRule="auto"/>
        <w:ind w:firstLine="420" w:firstLineChars="200"/>
        <w:rPr>
          <w:rFonts w:ascii="宋体" w:hAnsi="宋体" w:eastAsia="宋体"/>
          <w:color w:val="auto"/>
        </w:rPr>
      </w:pPr>
      <w:r>
        <w:rPr>
          <w:rFonts w:ascii="宋体" w:hAnsi="宋体" w:eastAsia="宋体"/>
          <w:color w:val="auto"/>
        </w:rPr>
        <w:t>参加询价的供应商应按所报产品的实际技术参数，逐条对应询价文件的第</w:t>
      </w:r>
      <w:r>
        <w:rPr>
          <w:rFonts w:hint="eastAsia" w:ascii="宋体" w:hAnsi="宋体" w:eastAsia="宋体"/>
          <w:color w:val="auto"/>
          <w:lang w:val="en-US" w:eastAsia="zh-CN"/>
        </w:rPr>
        <w:t>一</w:t>
      </w:r>
      <w:r>
        <w:rPr>
          <w:rFonts w:ascii="宋体" w:hAnsi="宋体" w:eastAsia="宋体"/>
          <w:color w:val="auto"/>
        </w:rPr>
        <w:t>章“货物需求一览表”中要求的技术规范如实、完整、准确的填写该表。</w:t>
      </w:r>
    </w:p>
    <w:p w14:paraId="5A93002B">
      <w:pPr>
        <w:spacing w:line="360" w:lineRule="auto"/>
        <w:ind w:firstLine="422" w:firstLineChars="200"/>
        <w:rPr>
          <w:rFonts w:ascii="宋体" w:hAnsi="宋体" w:eastAsia="宋体"/>
          <w:color w:val="auto"/>
        </w:rPr>
      </w:pPr>
      <w:r>
        <w:rPr>
          <w:rFonts w:hint="eastAsia" w:ascii="宋体" w:hAnsi="宋体" w:eastAsia="宋体"/>
          <w:b/>
          <w:color w:val="auto"/>
          <w:szCs w:val="21"/>
        </w:rPr>
        <w:t>★</w:t>
      </w:r>
      <w:r>
        <w:rPr>
          <w:rFonts w:ascii="宋体" w:hAnsi="宋体" w:eastAsia="宋体"/>
          <w:b/>
          <w:color w:val="auto"/>
        </w:rPr>
        <w:t>本表格将作为对参加询价的供应商技术部分的评审依据，未填写本表格的供应商将不能通过</w:t>
      </w:r>
      <w:r>
        <w:rPr>
          <w:rFonts w:hint="eastAsia" w:ascii="宋体" w:hAnsi="宋体" w:eastAsia="宋体"/>
          <w:b/>
          <w:color w:val="auto"/>
        </w:rPr>
        <w:t>符合性审查</w:t>
      </w:r>
      <w:r>
        <w:rPr>
          <w:rFonts w:ascii="宋体" w:hAnsi="宋体" w:eastAsia="宋体"/>
          <w:b/>
          <w:color w:val="auto"/>
        </w:rPr>
        <w:t>。</w:t>
      </w:r>
    </w:p>
    <w:p w14:paraId="665205B1">
      <w:pPr>
        <w:spacing w:line="360" w:lineRule="auto"/>
        <w:rPr>
          <w:rFonts w:ascii="宋体" w:hAnsi="宋体" w:eastAsia="宋体"/>
          <w:color w:val="auto"/>
        </w:rPr>
      </w:pPr>
      <w:r>
        <w:rPr>
          <w:rFonts w:ascii="宋体" w:hAnsi="宋体" w:eastAsia="宋体"/>
          <w:color w:val="auto"/>
        </w:rPr>
        <w:t>项目名称：项目编号：</w:t>
      </w:r>
    </w:p>
    <w:tbl>
      <w:tblPr>
        <w:tblStyle w:val="9"/>
        <w:tblW w:w="10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110"/>
        <w:gridCol w:w="2199"/>
        <w:gridCol w:w="3325"/>
        <w:gridCol w:w="1152"/>
        <w:gridCol w:w="1680"/>
      </w:tblGrid>
      <w:tr w14:paraId="1AF0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1191" w:type="dxa"/>
            <w:noWrap w:val="0"/>
            <w:vAlign w:val="center"/>
          </w:tcPr>
          <w:p w14:paraId="6EB1994D">
            <w:pPr>
              <w:spacing w:line="360" w:lineRule="auto"/>
              <w:jc w:val="center"/>
              <w:rPr>
                <w:rFonts w:ascii="宋体" w:hAnsi="宋体" w:eastAsia="宋体"/>
                <w:color w:val="auto"/>
              </w:rPr>
            </w:pPr>
            <w:r>
              <w:rPr>
                <w:rFonts w:ascii="宋体" w:hAnsi="宋体" w:eastAsia="宋体"/>
                <w:color w:val="auto"/>
              </w:rPr>
              <w:t>序号</w:t>
            </w:r>
          </w:p>
        </w:tc>
        <w:tc>
          <w:tcPr>
            <w:tcW w:w="1110" w:type="dxa"/>
            <w:noWrap w:val="0"/>
            <w:vAlign w:val="center"/>
          </w:tcPr>
          <w:p w14:paraId="150143DA">
            <w:pPr>
              <w:spacing w:line="360" w:lineRule="auto"/>
              <w:jc w:val="center"/>
              <w:rPr>
                <w:rFonts w:ascii="宋体" w:hAnsi="宋体" w:eastAsia="宋体"/>
                <w:color w:val="auto"/>
              </w:rPr>
            </w:pPr>
            <w:r>
              <w:rPr>
                <w:rFonts w:ascii="宋体" w:hAnsi="宋体" w:eastAsia="宋体"/>
                <w:color w:val="auto"/>
              </w:rPr>
              <w:t>货物名称</w:t>
            </w:r>
          </w:p>
        </w:tc>
        <w:tc>
          <w:tcPr>
            <w:tcW w:w="2199" w:type="dxa"/>
            <w:noWrap w:val="0"/>
            <w:vAlign w:val="center"/>
          </w:tcPr>
          <w:p w14:paraId="18C5A3ED">
            <w:pPr>
              <w:spacing w:line="360" w:lineRule="auto"/>
              <w:jc w:val="center"/>
              <w:rPr>
                <w:rFonts w:ascii="宋体" w:hAnsi="宋体" w:eastAsia="宋体"/>
                <w:color w:val="auto"/>
              </w:rPr>
            </w:pPr>
            <w:r>
              <w:rPr>
                <w:rFonts w:ascii="宋体" w:hAnsi="宋体" w:eastAsia="宋体"/>
                <w:color w:val="auto"/>
              </w:rPr>
              <w:t>询价文件技术规范、要求</w:t>
            </w:r>
          </w:p>
        </w:tc>
        <w:tc>
          <w:tcPr>
            <w:tcW w:w="3325" w:type="dxa"/>
            <w:noWrap w:val="0"/>
            <w:vAlign w:val="center"/>
          </w:tcPr>
          <w:p w14:paraId="0026B501">
            <w:pPr>
              <w:spacing w:line="360" w:lineRule="auto"/>
              <w:jc w:val="center"/>
              <w:rPr>
                <w:rFonts w:ascii="宋体" w:hAnsi="宋体" w:eastAsia="宋体"/>
                <w:color w:val="auto"/>
              </w:rPr>
            </w:pPr>
            <w:r>
              <w:rPr>
                <w:rFonts w:ascii="宋体" w:hAnsi="宋体" w:eastAsia="宋体"/>
                <w:color w:val="auto"/>
              </w:rPr>
              <w:t>所报品牌、型号、技术参数及配置</w:t>
            </w:r>
          </w:p>
        </w:tc>
        <w:tc>
          <w:tcPr>
            <w:tcW w:w="1152" w:type="dxa"/>
            <w:noWrap w:val="0"/>
            <w:vAlign w:val="center"/>
          </w:tcPr>
          <w:p w14:paraId="1DD533E5">
            <w:pPr>
              <w:spacing w:line="360" w:lineRule="auto"/>
              <w:jc w:val="center"/>
              <w:rPr>
                <w:rFonts w:hint="eastAsia" w:ascii="宋体" w:hAnsi="宋体" w:eastAsia="宋体"/>
                <w:color w:val="auto"/>
                <w:lang w:eastAsia="zh-CN"/>
              </w:rPr>
            </w:pPr>
            <w:r>
              <w:rPr>
                <w:rFonts w:ascii="宋体" w:hAnsi="宋体" w:eastAsia="宋体"/>
                <w:color w:val="auto"/>
              </w:rPr>
              <w:t>偏离</w:t>
            </w:r>
            <w:r>
              <w:rPr>
                <w:rFonts w:hint="eastAsia" w:ascii="宋体" w:hAnsi="宋体"/>
                <w:color w:val="auto"/>
                <w:lang w:eastAsia="zh-CN"/>
              </w:rPr>
              <w:t>情况</w:t>
            </w:r>
          </w:p>
        </w:tc>
        <w:tc>
          <w:tcPr>
            <w:tcW w:w="1680" w:type="dxa"/>
            <w:noWrap w:val="0"/>
            <w:vAlign w:val="center"/>
          </w:tcPr>
          <w:p w14:paraId="17BF3655">
            <w:pPr>
              <w:spacing w:line="360" w:lineRule="auto"/>
              <w:jc w:val="center"/>
              <w:rPr>
                <w:rFonts w:ascii="宋体" w:hAnsi="宋体" w:eastAsia="宋体"/>
                <w:color w:val="auto"/>
              </w:rPr>
            </w:pPr>
            <w:r>
              <w:rPr>
                <w:rFonts w:ascii="宋体" w:hAnsi="宋体" w:eastAsia="宋体"/>
                <w:color w:val="auto"/>
              </w:rPr>
              <w:t>说明</w:t>
            </w:r>
          </w:p>
        </w:tc>
      </w:tr>
      <w:tr w14:paraId="536A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191" w:type="dxa"/>
            <w:noWrap w:val="0"/>
            <w:vAlign w:val="center"/>
          </w:tcPr>
          <w:p w14:paraId="677E7882">
            <w:pPr>
              <w:spacing w:line="360" w:lineRule="auto"/>
              <w:jc w:val="center"/>
              <w:rPr>
                <w:rFonts w:ascii="宋体" w:hAnsi="宋体" w:eastAsia="宋体"/>
                <w:color w:val="auto"/>
              </w:rPr>
            </w:pPr>
          </w:p>
        </w:tc>
        <w:tc>
          <w:tcPr>
            <w:tcW w:w="1110" w:type="dxa"/>
            <w:noWrap w:val="0"/>
            <w:vAlign w:val="center"/>
          </w:tcPr>
          <w:p w14:paraId="6FAB74C7">
            <w:pPr>
              <w:spacing w:line="360" w:lineRule="auto"/>
              <w:jc w:val="center"/>
              <w:rPr>
                <w:rFonts w:ascii="宋体" w:hAnsi="宋体" w:eastAsia="宋体"/>
                <w:color w:val="auto"/>
              </w:rPr>
            </w:pPr>
          </w:p>
        </w:tc>
        <w:tc>
          <w:tcPr>
            <w:tcW w:w="2199" w:type="dxa"/>
            <w:noWrap w:val="0"/>
            <w:vAlign w:val="center"/>
          </w:tcPr>
          <w:p w14:paraId="3AB11F04">
            <w:pPr>
              <w:spacing w:line="360" w:lineRule="auto"/>
              <w:jc w:val="center"/>
              <w:rPr>
                <w:rFonts w:ascii="宋体" w:hAnsi="宋体" w:eastAsia="宋体"/>
                <w:color w:val="auto"/>
              </w:rPr>
            </w:pPr>
          </w:p>
        </w:tc>
        <w:tc>
          <w:tcPr>
            <w:tcW w:w="3325" w:type="dxa"/>
            <w:noWrap w:val="0"/>
            <w:vAlign w:val="center"/>
          </w:tcPr>
          <w:p w14:paraId="3E47C0A8">
            <w:pPr>
              <w:spacing w:line="360" w:lineRule="auto"/>
              <w:jc w:val="center"/>
              <w:rPr>
                <w:rFonts w:ascii="宋体" w:hAnsi="宋体" w:eastAsia="宋体"/>
                <w:color w:val="auto"/>
              </w:rPr>
            </w:pPr>
          </w:p>
        </w:tc>
        <w:tc>
          <w:tcPr>
            <w:tcW w:w="1152" w:type="dxa"/>
            <w:noWrap w:val="0"/>
            <w:vAlign w:val="center"/>
          </w:tcPr>
          <w:p w14:paraId="3BEE1CA6">
            <w:pPr>
              <w:spacing w:line="360" w:lineRule="auto"/>
              <w:jc w:val="center"/>
              <w:rPr>
                <w:rFonts w:ascii="宋体" w:hAnsi="宋体" w:eastAsia="宋体"/>
                <w:color w:val="auto"/>
              </w:rPr>
            </w:pPr>
          </w:p>
        </w:tc>
        <w:tc>
          <w:tcPr>
            <w:tcW w:w="1680" w:type="dxa"/>
            <w:noWrap w:val="0"/>
            <w:vAlign w:val="center"/>
          </w:tcPr>
          <w:p w14:paraId="0CC3DFC2">
            <w:pPr>
              <w:spacing w:line="360" w:lineRule="auto"/>
              <w:jc w:val="center"/>
              <w:rPr>
                <w:rFonts w:ascii="宋体" w:hAnsi="宋体" w:eastAsia="宋体"/>
                <w:color w:val="auto"/>
              </w:rPr>
            </w:pPr>
          </w:p>
        </w:tc>
      </w:tr>
      <w:tr w14:paraId="1A55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191" w:type="dxa"/>
            <w:noWrap w:val="0"/>
            <w:vAlign w:val="center"/>
          </w:tcPr>
          <w:p w14:paraId="39B9684F">
            <w:pPr>
              <w:spacing w:line="360" w:lineRule="auto"/>
              <w:jc w:val="center"/>
              <w:rPr>
                <w:rFonts w:ascii="宋体" w:hAnsi="宋体" w:eastAsia="宋体"/>
                <w:color w:val="auto"/>
              </w:rPr>
            </w:pPr>
          </w:p>
        </w:tc>
        <w:tc>
          <w:tcPr>
            <w:tcW w:w="1110" w:type="dxa"/>
            <w:noWrap w:val="0"/>
            <w:vAlign w:val="center"/>
          </w:tcPr>
          <w:p w14:paraId="674E4E7A">
            <w:pPr>
              <w:spacing w:line="360" w:lineRule="auto"/>
              <w:jc w:val="center"/>
              <w:rPr>
                <w:rFonts w:ascii="宋体" w:hAnsi="宋体" w:eastAsia="宋体"/>
                <w:color w:val="auto"/>
              </w:rPr>
            </w:pPr>
          </w:p>
        </w:tc>
        <w:tc>
          <w:tcPr>
            <w:tcW w:w="2199" w:type="dxa"/>
            <w:noWrap w:val="0"/>
            <w:vAlign w:val="center"/>
          </w:tcPr>
          <w:p w14:paraId="5EE37B47">
            <w:pPr>
              <w:spacing w:line="360" w:lineRule="auto"/>
              <w:jc w:val="center"/>
              <w:rPr>
                <w:rFonts w:ascii="宋体" w:hAnsi="宋体" w:eastAsia="宋体"/>
                <w:color w:val="auto"/>
              </w:rPr>
            </w:pPr>
          </w:p>
        </w:tc>
        <w:tc>
          <w:tcPr>
            <w:tcW w:w="3325" w:type="dxa"/>
            <w:noWrap w:val="0"/>
            <w:vAlign w:val="center"/>
          </w:tcPr>
          <w:p w14:paraId="1797599D">
            <w:pPr>
              <w:spacing w:line="360" w:lineRule="auto"/>
              <w:jc w:val="center"/>
              <w:rPr>
                <w:rFonts w:ascii="宋体" w:hAnsi="宋体" w:eastAsia="宋体"/>
                <w:color w:val="auto"/>
              </w:rPr>
            </w:pPr>
          </w:p>
        </w:tc>
        <w:tc>
          <w:tcPr>
            <w:tcW w:w="1152" w:type="dxa"/>
            <w:noWrap w:val="0"/>
            <w:vAlign w:val="center"/>
          </w:tcPr>
          <w:p w14:paraId="5D455190">
            <w:pPr>
              <w:spacing w:line="360" w:lineRule="auto"/>
              <w:jc w:val="center"/>
              <w:rPr>
                <w:rFonts w:ascii="宋体" w:hAnsi="宋体" w:eastAsia="宋体"/>
                <w:color w:val="auto"/>
              </w:rPr>
            </w:pPr>
          </w:p>
        </w:tc>
        <w:tc>
          <w:tcPr>
            <w:tcW w:w="1680" w:type="dxa"/>
            <w:noWrap w:val="0"/>
            <w:vAlign w:val="center"/>
          </w:tcPr>
          <w:p w14:paraId="52F10C1D">
            <w:pPr>
              <w:spacing w:line="360" w:lineRule="auto"/>
              <w:jc w:val="center"/>
              <w:rPr>
                <w:rFonts w:ascii="宋体" w:hAnsi="宋体" w:eastAsia="宋体"/>
                <w:color w:val="auto"/>
              </w:rPr>
            </w:pPr>
          </w:p>
        </w:tc>
      </w:tr>
      <w:tr w14:paraId="0B40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191" w:type="dxa"/>
            <w:noWrap w:val="0"/>
            <w:vAlign w:val="center"/>
          </w:tcPr>
          <w:p w14:paraId="7BBE6980">
            <w:pPr>
              <w:spacing w:line="360" w:lineRule="auto"/>
              <w:jc w:val="center"/>
              <w:rPr>
                <w:rFonts w:ascii="宋体" w:hAnsi="宋体" w:eastAsia="宋体"/>
                <w:color w:val="auto"/>
              </w:rPr>
            </w:pPr>
          </w:p>
        </w:tc>
        <w:tc>
          <w:tcPr>
            <w:tcW w:w="1110" w:type="dxa"/>
            <w:noWrap w:val="0"/>
            <w:vAlign w:val="center"/>
          </w:tcPr>
          <w:p w14:paraId="00E581FA">
            <w:pPr>
              <w:spacing w:line="360" w:lineRule="auto"/>
              <w:jc w:val="center"/>
              <w:rPr>
                <w:rFonts w:ascii="宋体" w:hAnsi="宋体" w:eastAsia="宋体"/>
                <w:color w:val="auto"/>
              </w:rPr>
            </w:pPr>
          </w:p>
        </w:tc>
        <w:tc>
          <w:tcPr>
            <w:tcW w:w="2199" w:type="dxa"/>
            <w:noWrap w:val="0"/>
            <w:vAlign w:val="center"/>
          </w:tcPr>
          <w:p w14:paraId="1179B39A">
            <w:pPr>
              <w:spacing w:line="360" w:lineRule="auto"/>
              <w:jc w:val="center"/>
              <w:rPr>
                <w:rFonts w:ascii="宋体" w:hAnsi="宋体" w:eastAsia="宋体"/>
                <w:color w:val="auto"/>
              </w:rPr>
            </w:pPr>
          </w:p>
        </w:tc>
        <w:tc>
          <w:tcPr>
            <w:tcW w:w="3325" w:type="dxa"/>
            <w:noWrap w:val="0"/>
            <w:vAlign w:val="center"/>
          </w:tcPr>
          <w:p w14:paraId="5555A356">
            <w:pPr>
              <w:spacing w:line="360" w:lineRule="auto"/>
              <w:jc w:val="center"/>
              <w:rPr>
                <w:rFonts w:ascii="宋体" w:hAnsi="宋体" w:eastAsia="宋体"/>
                <w:color w:val="auto"/>
              </w:rPr>
            </w:pPr>
          </w:p>
        </w:tc>
        <w:tc>
          <w:tcPr>
            <w:tcW w:w="1152" w:type="dxa"/>
            <w:noWrap w:val="0"/>
            <w:vAlign w:val="center"/>
          </w:tcPr>
          <w:p w14:paraId="6A63469A">
            <w:pPr>
              <w:spacing w:line="360" w:lineRule="auto"/>
              <w:jc w:val="center"/>
              <w:rPr>
                <w:rFonts w:ascii="宋体" w:hAnsi="宋体" w:eastAsia="宋体"/>
                <w:color w:val="auto"/>
              </w:rPr>
            </w:pPr>
          </w:p>
        </w:tc>
        <w:tc>
          <w:tcPr>
            <w:tcW w:w="1680" w:type="dxa"/>
            <w:noWrap w:val="0"/>
            <w:vAlign w:val="center"/>
          </w:tcPr>
          <w:p w14:paraId="4162A573">
            <w:pPr>
              <w:spacing w:line="360" w:lineRule="auto"/>
              <w:jc w:val="center"/>
              <w:rPr>
                <w:rFonts w:ascii="宋体" w:hAnsi="宋体" w:eastAsia="宋体"/>
                <w:color w:val="auto"/>
              </w:rPr>
            </w:pPr>
          </w:p>
        </w:tc>
      </w:tr>
      <w:tr w14:paraId="0B3D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191" w:type="dxa"/>
            <w:noWrap w:val="0"/>
            <w:vAlign w:val="center"/>
          </w:tcPr>
          <w:p w14:paraId="1061F7B8">
            <w:pPr>
              <w:spacing w:line="360" w:lineRule="auto"/>
              <w:jc w:val="center"/>
              <w:rPr>
                <w:rFonts w:ascii="宋体" w:hAnsi="宋体" w:eastAsia="宋体"/>
                <w:color w:val="auto"/>
              </w:rPr>
            </w:pPr>
          </w:p>
        </w:tc>
        <w:tc>
          <w:tcPr>
            <w:tcW w:w="1110" w:type="dxa"/>
            <w:noWrap w:val="0"/>
            <w:vAlign w:val="center"/>
          </w:tcPr>
          <w:p w14:paraId="02B23EE7">
            <w:pPr>
              <w:spacing w:line="360" w:lineRule="auto"/>
              <w:jc w:val="center"/>
              <w:rPr>
                <w:rFonts w:ascii="宋体" w:hAnsi="宋体" w:eastAsia="宋体"/>
                <w:color w:val="auto"/>
              </w:rPr>
            </w:pPr>
          </w:p>
        </w:tc>
        <w:tc>
          <w:tcPr>
            <w:tcW w:w="2199" w:type="dxa"/>
            <w:noWrap w:val="0"/>
            <w:vAlign w:val="center"/>
          </w:tcPr>
          <w:p w14:paraId="511BA4E8">
            <w:pPr>
              <w:spacing w:line="360" w:lineRule="auto"/>
              <w:jc w:val="center"/>
              <w:rPr>
                <w:rFonts w:ascii="宋体" w:hAnsi="宋体" w:eastAsia="宋体"/>
                <w:color w:val="auto"/>
              </w:rPr>
            </w:pPr>
          </w:p>
        </w:tc>
        <w:tc>
          <w:tcPr>
            <w:tcW w:w="3325" w:type="dxa"/>
            <w:noWrap w:val="0"/>
            <w:vAlign w:val="center"/>
          </w:tcPr>
          <w:p w14:paraId="2C6F2696">
            <w:pPr>
              <w:spacing w:line="360" w:lineRule="auto"/>
              <w:jc w:val="center"/>
              <w:rPr>
                <w:rFonts w:ascii="宋体" w:hAnsi="宋体" w:eastAsia="宋体"/>
                <w:color w:val="auto"/>
              </w:rPr>
            </w:pPr>
          </w:p>
        </w:tc>
        <w:tc>
          <w:tcPr>
            <w:tcW w:w="1152" w:type="dxa"/>
            <w:noWrap w:val="0"/>
            <w:vAlign w:val="center"/>
          </w:tcPr>
          <w:p w14:paraId="437B6273">
            <w:pPr>
              <w:spacing w:line="360" w:lineRule="auto"/>
              <w:jc w:val="center"/>
              <w:rPr>
                <w:rFonts w:ascii="宋体" w:hAnsi="宋体" w:eastAsia="宋体"/>
                <w:color w:val="auto"/>
              </w:rPr>
            </w:pPr>
          </w:p>
        </w:tc>
        <w:tc>
          <w:tcPr>
            <w:tcW w:w="1680" w:type="dxa"/>
            <w:noWrap w:val="0"/>
            <w:vAlign w:val="center"/>
          </w:tcPr>
          <w:p w14:paraId="47D6D14A">
            <w:pPr>
              <w:spacing w:line="360" w:lineRule="auto"/>
              <w:jc w:val="center"/>
              <w:rPr>
                <w:rFonts w:ascii="宋体" w:hAnsi="宋体" w:eastAsia="宋体"/>
                <w:color w:val="auto"/>
              </w:rPr>
            </w:pPr>
          </w:p>
        </w:tc>
      </w:tr>
      <w:tr w14:paraId="2321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191" w:type="dxa"/>
            <w:noWrap w:val="0"/>
            <w:vAlign w:val="center"/>
          </w:tcPr>
          <w:p w14:paraId="6E1438D3">
            <w:pPr>
              <w:spacing w:line="360" w:lineRule="auto"/>
              <w:jc w:val="center"/>
              <w:rPr>
                <w:rFonts w:ascii="宋体" w:hAnsi="宋体" w:eastAsia="宋体"/>
                <w:color w:val="auto"/>
              </w:rPr>
            </w:pPr>
          </w:p>
        </w:tc>
        <w:tc>
          <w:tcPr>
            <w:tcW w:w="1110" w:type="dxa"/>
            <w:noWrap w:val="0"/>
            <w:vAlign w:val="center"/>
          </w:tcPr>
          <w:p w14:paraId="1EDD7740">
            <w:pPr>
              <w:spacing w:line="360" w:lineRule="auto"/>
              <w:jc w:val="center"/>
              <w:rPr>
                <w:rFonts w:ascii="宋体" w:hAnsi="宋体" w:eastAsia="宋体"/>
                <w:color w:val="auto"/>
              </w:rPr>
            </w:pPr>
          </w:p>
        </w:tc>
        <w:tc>
          <w:tcPr>
            <w:tcW w:w="2199" w:type="dxa"/>
            <w:noWrap w:val="0"/>
            <w:vAlign w:val="center"/>
          </w:tcPr>
          <w:p w14:paraId="6F81A064">
            <w:pPr>
              <w:spacing w:line="360" w:lineRule="auto"/>
              <w:jc w:val="center"/>
              <w:rPr>
                <w:rFonts w:ascii="宋体" w:hAnsi="宋体" w:eastAsia="宋体"/>
                <w:color w:val="auto"/>
              </w:rPr>
            </w:pPr>
          </w:p>
        </w:tc>
        <w:tc>
          <w:tcPr>
            <w:tcW w:w="3325" w:type="dxa"/>
            <w:noWrap w:val="0"/>
            <w:vAlign w:val="center"/>
          </w:tcPr>
          <w:p w14:paraId="43F2CFA0">
            <w:pPr>
              <w:spacing w:line="360" w:lineRule="auto"/>
              <w:jc w:val="center"/>
              <w:rPr>
                <w:rFonts w:ascii="宋体" w:hAnsi="宋体" w:eastAsia="宋体"/>
                <w:color w:val="auto"/>
              </w:rPr>
            </w:pPr>
          </w:p>
        </w:tc>
        <w:tc>
          <w:tcPr>
            <w:tcW w:w="1152" w:type="dxa"/>
            <w:noWrap w:val="0"/>
            <w:vAlign w:val="center"/>
          </w:tcPr>
          <w:p w14:paraId="2ED9C072">
            <w:pPr>
              <w:spacing w:line="360" w:lineRule="auto"/>
              <w:jc w:val="center"/>
              <w:rPr>
                <w:rFonts w:ascii="宋体" w:hAnsi="宋体" w:eastAsia="宋体"/>
                <w:color w:val="auto"/>
              </w:rPr>
            </w:pPr>
          </w:p>
        </w:tc>
        <w:tc>
          <w:tcPr>
            <w:tcW w:w="1680" w:type="dxa"/>
            <w:noWrap w:val="0"/>
            <w:vAlign w:val="center"/>
          </w:tcPr>
          <w:p w14:paraId="6A5C5926">
            <w:pPr>
              <w:spacing w:line="360" w:lineRule="auto"/>
              <w:jc w:val="center"/>
              <w:rPr>
                <w:rFonts w:ascii="宋体" w:hAnsi="宋体" w:eastAsia="宋体"/>
                <w:color w:val="auto"/>
              </w:rPr>
            </w:pPr>
          </w:p>
        </w:tc>
      </w:tr>
    </w:tbl>
    <w:p w14:paraId="1488BBA8">
      <w:pPr>
        <w:spacing w:line="360" w:lineRule="auto"/>
        <w:ind w:firstLine="2" w:firstLineChars="1"/>
        <w:rPr>
          <w:rFonts w:ascii="宋体" w:hAnsi="宋体" w:eastAsia="宋体"/>
          <w:color w:val="auto"/>
          <w:szCs w:val="21"/>
        </w:rPr>
      </w:pPr>
      <w:r>
        <w:rPr>
          <w:rFonts w:ascii="宋体" w:hAnsi="宋体" w:eastAsia="宋体"/>
          <w:color w:val="auto"/>
          <w:szCs w:val="21"/>
        </w:rPr>
        <w:t>供应商：（盖单位</w:t>
      </w:r>
      <w:r>
        <w:rPr>
          <w:rFonts w:hint="eastAsia" w:ascii="宋体" w:hAnsi="宋体" w:eastAsia="宋体"/>
          <w:color w:val="auto"/>
          <w:szCs w:val="21"/>
        </w:rPr>
        <w:t>鲜章</w:t>
      </w:r>
      <w:r>
        <w:rPr>
          <w:rFonts w:ascii="宋体" w:hAnsi="宋体" w:eastAsia="宋体"/>
          <w:color w:val="auto"/>
          <w:szCs w:val="21"/>
        </w:rPr>
        <w:t>）</w:t>
      </w:r>
    </w:p>
    <w:p w14:paraId="11BE874F">
      <w:pPr>
        <w:spacing w:line="360" w:lineRule="auto"/>
        <w:ind w:firstLine="2" w:firstLineChars="1"/>
        <w:rPr>
          <w:rFonts w:ascii="宋体" w:hAnsi="宋体" w:eastAsia="宋体"/>
          <w:color w:val="auto"/>
          <w:szCs w:val="21"/>
        </w:rPr>
      </w:pPr>
      <w:r>
        <w:rPr>
          <w:rFonts w:ascii="宋体" w:hAnsi="宋体" w:eastAsia="宋体"/>
          <w:color w:val="auto"/>
          <w:szCs w:val="21"/>
        </w:rPr>
        <w:t>法定代表人：（签名或签章）</w:t>
      </w:r>
    </w:p>
    <w:p w14:paraId="29F9FB28">
      <w:pPr>
        <w:spacing w:line="360" w:lineRule="auto"/>
        <w:rPr>
          <w:rFonts w:ascii="宋体" w:hAnsi="宋体" w:eastAsia="宋体"/>
          <w:color w:val="auto"/>
          <w:szCs w:val="21"/>
          <w:u w:val="single"/>
        </w:rPr>
      </w:pPr>
      <w:r>
        <w:rPr>
          <w:rFonts w:ascii="宋体" w:hAnsi="宋体" w:eastAsia="宋体"/>
          <w:color w:val="auto"/>
          <w:szCs w:val="21"/>
        </w:rPr>
        <w:t>年月日</w:t>
      </w:r>
    </w:p>
    <w:p w14:paraId="0B4D246C">
      <w:pPr>
        <w:pStyle w:val="6"/>
        <w:spacing w:line="360" w:lineRule="auto"/>
        <w:rPr>
          <w:rFonts w:ascii="宋体" w:hAnsi="宋体" w:eastAsia="宋体"/>
          <w:b/>
          <w:color w:val="auto"/>
        </w:rPr>
      </w:pPr>
      <w:r>
        <w:rPr>
          <w:rFonts w:ascii="宋体" w:hAnsi="宋体" w:eastAsia="宋体"/>
          <w:b/>
          <w:color w:val="auto"/>
        </w:rPr>
        <w:t>表格填写说明：</w:t>
      </w:r>
    </w:p>
    <w:p w14:paraId="11C53E40">
      <w:pPr>
        <w:pStyle w:val="6"/>
        <w:spacing w:line="360" w:lineRule="auto"/>
        <w:rPr>
          <w:rFonts w:ascii="宋体" w:hAnsi="宋体" w:eastAsia="宋体"/>
          <w:color w:val="auto"/>
        </w:rPr>
      </w:pPr>
      <w:r>
        <w:rPr>
          <w:rFonts w:ascii="宋体" w:hAnsi="宋体" w:eastAsia="宋体"/>
          <w:color w:val="auto"/>
        </w:rPr>
        <w:t>1、表格中“货物名称”及“询价文件技术规范、要求”可按“货物需求一览表”内容复制。</w:t>
      </w:r>
    </w:p>
    <w:p w14:paraId="7E96CCFF">
      <w:pPr>
        <w:pStyle w:val="6"/>
        <w:spacing w:line="360" w:lineRule="auto"/>
        <w:rPr>
          <w:rFonts w:ascii="宋体" w:hAnsi="宋体" w:eastAsia="宋体"/>
          <w:b/>
          <w:color w:val="auto"/>
          <w:szCs w:val="21"/>
        </w:rPr>
      </w:pPr>
      <w:r>
        <w:rPr>
          <w:rFonts w:ascii="宋体" w:hAnsi="宋体" w:eastAsia="宋体"/>
          <w:color w:val="auto"/>
          <w:szCs w:val="21"/>
        </w:rPr>
        <w:t>2、表格中“所报品牌、型号、技术参数及配置”请根据实际所报产品情况如实、完整、准确地填写，请勿复制、粘贴询价文件要求。</w:t>
      </w:r>
      <w:r>
        <w:rPr>
          <w:rFonts w:ascii="宋体" w:hAnsi="宋体" w:eastAsia="宋体"/>
          <w:b/>
          <w:color w:val="auto"/>
          <w:szCs w:val="21"/>
        </w:rPr>
        <w:t>若由于疏忽大意或未能完整、如实填写，导致的一切后果由参加询价的供应商自行承担。</w:t>
      </w:r>
    </w:p>
    <w:p w14:paraId="643E6091">
      <w:pPr>
        <w:pStyle w:val="6"/>
        <w:spacing w:line="360" w:lineRule="auto"/>
        <w:rPr>
          <w:rFonts w:ascii="宋体" w:hAnsi="宋体" w:eastAsia="宋体"/>
          <w:color w:val="auto"/>
          <w:szCs w:val="21"/>
        </w:rPr>
      </w:pPr>
      <w:r>
        <w:rPr>
          <w:rFonts w:ascii="宋体" w:hAnsi="宋体" w:eastAsia="宋体"/>
          <w:color w:val="auto"/>
          <w:szCs w:val="21"/>
        </w:rPr>
        <w:t>3、表格中“偏离”部分，只能如实填写“有偏离”或“无偏离”。凡响应内容与询价文件要求有区别的均按“有偏离</w:t>
      </w:r>
      <w:r>
        <w:rPr>
          <w:rFonts w:hint="eastAsia" w:ascii="宋体" w:hAnsi="宋体" w:eastAsia="宋体"/>
          <w:color w:val="auto"/>
          <w:szCs w:val="21"/>
        </w:rPr>
        <w:t>”</w:t>
      </w:r>
      <w:r>
        <w:rPr>
          <w:rFonts w:ascii="宋体" w:hAnsi="宋体" w:eastAsia="宋体"/>
          <w:color w:val="auto"/>
          <w:szCs w:val="21"/>
        </w:rPr>
        <w:t>填写，并在说明栏中写明技术指标。</w:t>
      </w:r>
    </w:p>
    <w:p w14:paraId="3373BC7A">
      <w:pPr>
        <w:pStyle w:val="6"/>
        <w:spacing w:line="360" w:lineRule="auto"/>
        <w:rPr>
          <w:rFonts w:ascii="宋体" w:hAnsi="宋体" w:eastAsia="宋体"/>
          <w:color w:val="auto"/>
          <w:szCs w:val="21"/>
        </w:rPr>
      </w:pPr>
      <w:r>
        <w:rPr>
          <w:rFonts w:ascii="宋体" w:hAnsi="宋体" w:eastAsia="宋体"/>
          <w:color w:val="auto"/>
          <w:szCs w:val="21"/>
        </w:rPr>
        <w:t>4、表格中“说明”部分，若有偏离，则填写偏离指标</w:t>
      </w:r>
      <w:r>
        <w:rPr>
          <w:rFonts w:hint="eastAsia" w:hAnsi="宋体"/>
          <w:color w:val="auto"/>
          <w:szCs w:val="21"/>
          <w:lang w:eastAsia="zh-CN"/>
        </w:rPr>
        <w:t>，并提供证明偏离情况的材料。</w:t>
      </w:r>
      <w:r>
        <w:rPr>
          <w:rFonts w:ascii="宋体" w:hAnsi="宋体" w:eastAsia="宋体"/>
          <w:color w:val="auto"/>
          <w:szCs w:val="21"/>
        </w:rPr>
        <w:t>若无偏离，则不填写内容。</w:t>
      </w:r>
    </w:p>
    <w:p w14:paraId="1A446F63">
      <w:pPr>
        <w:pStyle w:val="6"/>
        <w:spacing w:line="360" w:lineRule="auto"/>
        <w:rPr>
          <w:rFonts w:ascii="宋体" w:hAnsi="宋体" w:eastAsia="宋体"/>
          <w:b/>
          <w:color w:val="auto"/>
          <w:szCs w:val="21"/>
        </w:rPr>
      </w:pPr>
      <w:r>
        <w:rPr>
          <w:rFonts w:ascii="宋体" w:hAnsi="宋体" w:eastAsia="宋体"/>
          <w:color w:val="auto"/>
          <w:szCs w:val="21"/>
        </w:rPr>
        <w:t>5、</w:t>
      </w:r>
      <w:r>
        <w:rPr>
          <w:rFonts w:ascii="宋体" w:hAnsi="宋体" w:eastAsia="宋体"/>
          <w:b/>
          <w:color w:val="auto"/>
          <w:szCs w:val="21"/>
        </w:rPr>
        <w:t>本表格中内容与响应文件其余部分不一致的，以本表格为准。</w:t>
      </w:r>
    </w:p>
    <w:p w14:paraId="06DEEB1B">
      <w:pPr>
        <w:pStyle w:val="6"/>
        <w:spacing w:line="360" w:lineRule="auto"/>
        <w:rPr>
          <w:rFonts w:ascii="宋体" w:hAnsi="宋体" w:eastAsia="宋体"/>
          <w:b/>
          <w:bCs/>
          <w:color w:val="auto"/>
          <w:szCs w:val="21"/>
        </w:rPr>
      </w:pPr>
      <w:r>
        <w:rPr>
          <w:rFonts w:ascii="宋体" w:hAnsi="宋体" w:eastAsia="宋体"/>
          <w:b/>
          <w:bCs/>
          <w:color w:val="auto"/>
          <w:szCs w:val="21"/>
        </w:rPr>
        <w:t>6、填表示例：</w:t>
      </w:r>
    </w:p>
    <w:tbl>
      <w:tblPr>
        <w:tblStyle w:val="9"/>
        <w:tblW w:w="10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980"/>
        <w:gridCol w:w="3411"/>
        <w:gridCol w:w="3033"/>
        <w:gridCol w:w="917"/>
        <w:gridCol w:w="1726"/>
      </w:tblGrid>
      <w:tr w14:paraId="771E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550" w:type="dxa"/>
            <w:noWrap w:val="0"/>
            <w:vAlign w:val="center"/>
          </w:tcPr>
          <w:p w14:paraId="1CC2C666">
            <w:pPr>
              <w:spacing w:line="360" w:lineRule="auto"/>
              <w:jc w:val="center"/>
              <w:rPr>
                <w:rFonts w:ascii="宋体" w:hAnsi="宋体" w:eastAsia="宋体"/>
                <w:color w:val="auto"/>
                <w:szCs w:val="21"/>
              </w:rPr>
            </w:pPr>
            <w:r>
              <w:rPr>
                <w:rFonts w:ascii="宋体" w:hAnsi="宋体" w:eastAsia="宋体"/>
                <w:color w:val="auto"/>
                <w:szCs w:val="21"/>
              </w:rPr>
              <w:t>序号</w:t>
            </w:r>
          </w:p>
        </w:tc>
        <w:tc>
          <w:tcPr>
            <w:tcW w:w="980" w:type="dxa"/>
            <w:noWrap w:val="0"/>
            <w:vAlign w:val="center"/>
          </w:tcPr>
          <w:p w14:paraId="69E7CEA5">
            <w:pPr>
              <w:spacing w:line="360" w:lineRule="auto"/>
              <w:jc w:val="center"/>
              <w:rPr>
                <w:rFonts w:ascii="宋体" w:hAnsi="宋体" w:eastAsia="宋体"/>
                <w:color w:val="auto"/>
                <w:szCs w:val="21"/>
              </w:rPr>
            </w:pPr>
            <w:r>
              <w:rPr>
                <w:rFonts w:ascii="宋体" w:hAnsi="宋体" w:eastAsia="宋体"/>
                <w:color w:val="auto"/>
                <w:szCs w:val="21"/>
              </w:rPr>
              <w:t>货物名称</w:t>
            </w:r>
          </w:p>
        </w:tc>
        <w:tc>
          <w:tcPr>
            <w:tcW w:w="3411" w:type="dxa"/>
            <w:noWrap w:val="0"/>
            <w:vAlign w:val="center"/>
          </w:tcPr>
          <w:p w14:paraId="446258DF">
            <w:pPr>
              <w:spacing w:line="360" w:lineRule="auto"/>
              <w:jc w:val="center"/>
              <w:rPr>
                <w:rFonts w:ascii="宋体" w:hAnsi="宋体" w:eastAsia="宋体"/>
                <w:color w:val="auto"/>
                <w:szCs w:val="21"/>
              </w:rPr>
            </w:pPr>
            <w:r>
              <w:rPr>
                <w:rFonts w:ascii="宋体" w:hAnsi="宋体" w:eastAsia="宋体"/>
                <w:color w:val="auto"/>
                <w:szCs w:val="21"/>
              </w:rPr>
              <w:t>询价文件技术规范、要求</w:t>
            </w:r>
          </w:p>
        </w:tc>
        <w:tc>
          <w:tcPr>
            <w:tcW w:w="3033" w:type="dxa"/>
            <w:noWrap w:val="0"/>
            <w:vAlign w:val="center"/>
          </w:tcPr>
          <w:p w14:paraId="2D70AAFB">
            <w:pPr>
              <w:spacing w:line="360" w:lineRule="auto"/>
              <w:jc w:val="center"/>
              <w:rPr>
                <w:rFonts w:ascii="宋体" w:hAnsi="宋体" w:eastAsia="宋体"/>
                <w:color w:val="auto"/>
                <w:szCs w:val="21"/>
              </w:rPr>
            </w:pPr>
            <w:r>
              <w:rPr>
                <w:rFonts w:ascii="宋体" w:hAnsi="宋体" w:eastAsia="宋体"/>
                <w:color w:val="auto"/>
                <w:szCs w:val="21"/>
              </w:rPr>
              <w:t>所报品牌、型号、</w:t>
            </w:r>
          </w:p>
          <w:p w14:paraId="34C81FDD">
            <w:pPr>
              <w:spacing w:line="360" w:lineRule="auto"/>
              <w:jc w:val="center"/>
              <w:rPr>
                <w:rFonts w:ascii="宋体" w:hAnsi="宋体" w:eastAsia="宋体"/>
                <w:color w:val="auto"/>
                <w:szCs w:val="21"/>
              </w:rPr>
            </w:pPr>
            <w:r>
              <w:rPr>
                <w:rFonts w:ascii="宋体" w:hAnsi="宋体" w:eastAsia="宋体"/>
                <w:color w:val="auto"/>
                <w:szCs w:val="21"/>
              </w:rPr>
              <w:t>技术参数及配置</w:t>
            </w:r>
          </w:p>
        </w:tc>
        <w:tc>
          <w:tcPr>
            <w:tcW w:w="917" w:type="dxa"/>
            <w:noWrap w:val="0"/>
            <w:vAlign w:val="center"/>
          </w:tcPr>
          <w:p w14:paraId="30BE5779">
            <w:pPr>
              <w:spacing w:line="360" w:lineRule="auto"/>
              <w:jc w:val="center"/>
              <w:rPr>
                <w:rFonts w:ascii="宋体" w:hAnsi="宋体" w:eastAsia="宋体"/>
                <w:color w:val="auto"/>
                <w:szCs w:val="21"/>
              </w:rPr>
            </w:pPr>
            <w:r>
              <w:rPr>
                <w:rFonts w:ascii="宋体" w:hAnsi="宋体" w:eastAsia="宋体"/>
                <w:color w:val="auto"/>
                <w:szCs w:val="21"/>
              </w:rPr>
              <w:t>偏离</w:t>
            </w:r>
          </w:p>
        </w:tc>
        <w:tc>
          <w:tcPr>
            <w:tcW w:w="1726" w:type="dxa"/>
            <w:noWrap w:val="0"/>
            <w:vAlign w:val="center"/>
          </w:tcPr>
          <w:p w14:paraId="5113821D">
            <w:pPr>
              <w:spacing w:line="360" w:lineRule="auto"/>
              <w:jc w:val="center"/>
              <w:rPr>
                <w:rFonts w:ascii="宋体" w:hAnsi="宋体" w:eastAsia="宋体"/>
                <w:color w:val="auto"/>
                <w:szCs w:val="21"/>
              </w:rPr>
            </w:pPr>
            <w:r>
              <w:rPr>
                <w:rFonts w:ascii="宋体" w:hAnsi="宋体" w:eastAsia="宋体"/>
                <w:color w:val="auto"/>
                <w:szCs w:val="21"/>
              </w:rPr>
              <w:t>说明</w:t>
            </w:r>
          </w:p>
        </w:tc>
      </w:tr>
      <w:tr w14:paraId="2924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0" w:hRule="atLeast"/>
          <w:jc w:val="center"/>
        </w:trPr>
        <w:tc>
          <w:tcPr>
            <w:tcW w:w="550" w:type="dxa"/>
            <w:noWrap w:val="0"/>
            <w:vAlign w:val="center"/>
          </w:tcPr>
          <w:p w14:paraId="736A64DE">
            <w:pPr>
              <w:spacing w:line="360" w:lineRule="auto"/>
              <w:jc w:val="center"/>
              <w:rPr>
                <w:rFonts w:ascii="宋体" w:hAnsi="宋体" w:eastAsia="宋体"/>
                <w:color w:val="auto"/>
                <w:szCs w:val="21"/>
              </w:rPr>
            </w:pPr>
            <w:r>
              <w:rPr>
                <w:rFonts w:ascii="宋体" w:hAnsi="宋体" w:eastAsia="宋体"/>
                <w:color w:val="auto"/>
                <w:szCs w:val="21"/>
              </w:rPr>
              <w:t>1</w:t>
            </w:r>
          </w:p>
        </w:tc>
        <w:tc>
          <w:tcPr>
            <w:tcW w:w="980" w:type="dxa"/>
            <w:noWrap w:val="0"/>
            <w:vAlign w:val="center"/>
          </w:tcPr>
          <w:p w14:paraId="69E4F304">
            <w:pPr>
              <w:spacing w:line="360" w:lineRule="auto"/>
              <w:jc w:val="center"/>
              <w:rPr>
                <w:rFonts w:ascii="宋体" w:hAnsi="宋体" w:eastAsia="宋体"/>
                <w:color w:val="auto"/>
                <w:szCs w:val="21"/>
              </w:rPr>
            </w:pPr>
            <w:r>
              <w:rPr>
                <w:rFonts w:ascii="宋体" w:hAnsi="宋体" w:eastAsia="宋体"/>
                <w:color w:val="auto"/>
                <w:szCs w:val="21"/>
              </w:rPr>
              <w:t>台式电脑</w:t>
            </w:r>
          </w:p>
        </w:tc>
        <w:tc>
          <w:tcPr>
            <w:tcW w:w="3411" w:type="dxa"/>
            <w:noWrap w:val="0"/>
            <w:vAlign w:val="center"/>
          </w:tcPr>
          <w:p w14:paraId="2391A753">
            <w:pPr>
              <w:widowControl/>
              <w:spacing w:line="360" w:lineRule="auto"/>
              <w:rPr>
                <w:rFonts w:ascii="宋体" w:hAnsi="宋体" w:eastAsia="宋体"/>
                <w:color w:val="auto"/>
                <w:kern w:val="0"/>
                <w:szCs w:val="21"/>
              </w:rPr>
            </w:pPr>
            <w:r>
              <w:rPr>
                <w:rFonts w:ascii="宋体" w:hAnsi="宋体" w:eastAsia="宋体"/>
                <w:color w:val="auto"/>
                <w:kern w:val="0"/>
                <w:szCs w:val="21"/>
              </w:rPr>
              <mc:AlternateContent>
                <mc:Choice Requires="wps">
                  <w:drawing>
                    <wp:anchor distT="0" distB="0" distL="114300" distR="114300" simplePos="0" relativeHeight="251661312" behindDoc="0" locked="0" layoutInCell="1" allowOverlap="1">
                      <wp:simplePos x="0" y="0"/>
                      <wp:positionH relativeFrom="column">
                        <wp:posOffset>460375</wp:posOffset>
                      </wp:positionH>
                      <wp:positionV relativeFrom="paragraph">
                        <wp:posOffset>579755</wp:posOffset>
                      </wp:positionV>
                      <wp:extent cx="5113655" cy="25825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113655" cy="2582545"/>
                              </a:xfrm>
                              <a:prstGeom prst="rect">
                                <a:avLst/>
                              </a:prstGeom>
                              <a:noFill/>
                              <a:ln>
                                <a:noFill/>
                              </a:ln>
                            </wps:spPr>
                            <wps:txbx>
                              <w:txbxContent>
                                <w:p w14:paraId="26A71424">
                                  <w:pPr>
                                    <w:rPr>
                                      <w:rFonts w:ascii="黑体" w:hAnsi="黑体" w:eastAsia="黑体"/>
                                      <w:color w:val="FF0000"/>
                                      <w:sz w:val="215"/>
                                    </w:rPr>
                                  </w:pPr>
                                  <w:r>
                                    <w:rPr>
                                      <w:rFonts w:hint="eastAsia" w:ascii="黑体" w:hAnsi="黑体" w:eastAsia="黑体"/>
                                      <w:color w:val="FF0000"/>
                                      <w:sz w:val="215"/>
                                    </w:rPr>
                                    <w:t>样   表</w:t>
                                  </w:r>
                                </w:p>
                              </w:txbxContent>
                            </wps:txbx>
                            <wps:bodyPr upright="1"/>
                          </wps:wsp>
                        </a:graphicData>
                      </a:graphic>
                    </wp:anchor>
                  </w:drawing>
                </mc:Choice>
                <mc:Fallback>
                  <w:pict>
                    <v:shape id="_x0000_s1026" o:spid="_x0000_s1026" o:spt="202" type="#_x0000_t202" style="position:absolute;left:0pt;margin-left:36.25pt;margin-top:45.65pt;height:203.35pt;width:402.65pt;z-index:251661312;mso-width-relative:page;mso-height-relative:page;" filled="f" stroked="f" coordsize="21600,21600" o:gfxdata="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8CrwdcA&#10;AAAJAQAADwAAAAAAAAABACAAAAAiAAAAZHJzL2Rvd25yZXYueG1sUEsBAhQAFAAAAAgAh07iQCbQ&#10;wHauAQAATwMAAA4AAAAAAAAAAQAgAAAAJgEAAGRycy9lMm9Eb2MueG1sUEsFBgAAAAAGAAYAWQEA&#10;AEYFAAAAAA==&#10;">
                      <v:fill on="f" focussize="0,0"/>
                      <v:stroke on="f"/>
                      <v:imagedata o:title=""/>
                      <o:lock v:ext="edit" aspectratio="f"/>
                      <v:textbox>
                        <w:txbxContent>
                          <w:p w14:paraId="26A71424">
                            <w:pPr>
                              <w:rPr>
                                <w:rFonts w:ascii="黑体" w:hAnsi="黑体" w:eastAsia="黑体"/>
                                <w:color w:val="FF0000"/>
                                <w:sz w:val="215"/>
                              </w:rPr>
                            </w:pPr>
                            <w:r>
                              <w:rPr>
                                <w:rFonts w:hint="eastAsia" w:ascii="黑体" w:hAnsi="黑体" w:eastAsia="黑体"/>
                                <w:color w:val="FF0000"/>
                                <w:sz w:val="215"/>
                              </w:rPr>
                              <w:t>样   表</w:t>
                            </w:r>
                          </w:p>
                        </w:txbxContent>
                      </v:textbox>
                    </v:shape>
                  </w:pict>
                </mc:Fallback>
              </mc:AlternateContent>
            </w:r>
            <w:r>
              <w:rPr>
                <w:rFonts w:ascii="宋体" w:hAnsi="宋体" w:eastAsia="宋体"/>
                <w:color w:val="auto"/>
                <w:kern w:val="0"/>
                <w:szCs w:val="21"/>
              </w:rPr>
              <w:t xml:space="preserve"> Intel酷睿双核 E7400/Intel 芯片组/2*1G DDR2/320G SATA/256M 双头独立显卡/DVD刻录/主板集成声卡网卡/机箱电源/鼠标/键盘/硬盘保护卡/ 22″LCD 2台（参考品牌型号：联想启天M690）</w:t>
            </w:r>
          </w:p>
          <w:p w14:paraId="321AB22C">
            <w:pPr>
              <w:spacing w:line="360" w:lineRule="auto"/>
              <w:rPr>
                <w:rFonts w:ascii="宋体" w:hAnsi="宋体" w:eastAsia="宋体"/>
                <w:color w:val="auto"/>
                <w:szCs w:val="21"/>
              </w:rPr>
            </w:pPr>
            <w:r>
              <w:rPr>
                <w:rFonts w:hint="eastAsia" w:ascii="宋体" w:hAnsi="宋体" w:eastAsia="宋体" w:cs="宋体"/>
                <w:color w:val="auto"/>
                <w:kern w:val="0"/>
                <w:szCs w:val="21"/>
              </w:rPr>
              <w:t>★</w:t>
            </w:r>
            <w:r>
              <w:rPr>
                <w:rFonts w:ascii="宋体" w:hAnsi="宋体" w:eastAsia="宋体"/>
                <w:color w:val="auto"/>
                <w:kern w:val="0"/>
                <w:szCs w:val="21"/>
              </w:rPr>
              <w:t>该项产品为政府强制采购节能产品，必须选报在财政部、国家发改委联合公布的《节能产品政府采购清单》中的产品，并在响应文件中提供投标产品在“节能清单”中单页复印件一份, 并在复印件上标注出所投产品及型号。否则，符合性评审不予通过。</w:t>
            </w:r>
          </w:p>
        </w:tc>
        <w:tc>
          <w:tcPr>
            <w:tcW w:w="3033" w:type="dxa"/>
            <w:noWrap w:val="0"/>
            <w:vAlign w:val="center"/>
          </w:tcPr>
          <w:p w14:paraId="1D81CF2F">
            <w:pPr>
              <w:widowControl/>
              <w:spacing w:line="360" w:lineRule="auto"/>
              <w:jc w:val="left"/>
              <w:rPr>
                <w:rFonts w:ascii="宋体" w:hAnsi="宋体" w:eastAsia="宋体"/>
                <w:color w:val="auto"/>
                <w:kern w:val="0"/>
                <w:szCs w:val="21"/>
              </w:rPr>
            </w:pPr>
            <w:r>
              <w:rPr>
                <w:rFonts w:ascii="宋体" w:hAnsi="宋体" w:eastAsia="宋体"/>
                <w:color w:val="auto"/>
                <w:kern w:val="0"/>
                <w:szCs w:val="21"/>
              </w:rPr>
              <w:t>联想扬天 M5300N；AMD Athlon64 X2 7750 2.7G ；RS690V芯片组；DDR2 2GB；SATA硬盘 7200转、320GB；硬盘保护卡；光驱 DVD刻录；22寸液晶 2台；显卡 ATI HD 4350 显存512M 支持DirectX 10；板载声卡；网卡板载10-100M网卡；键盘/光电鼠标；操作系统 Windows XP Home，政府节能产品，清单复印件附后。</w:t>
            </w:r>
          </w:p>
          <w:p w14:paraId="0CDF5A38">
            <w:pPr>
              <w:spacing w:line="360" w:lineRule="auto"/>
              <w:jc w:val="center"/>
              <w:rPr>
                <w:rFonts w:ascii="宋体" w:hAnsi="宋体" w:eastAsia="宋体"/>
                <w:color w:val="auto"/>
                <w:szCs w:val="21"/>
              </w:rPr>
            </w:pPr>
          </w:p>
        </w:tc>
        <w:tc>
          <w:tcPr>
            <w:tcW w:w="917" w:type="dxa"/>
            <w:noWrap w:val="0"/>
            <w:vAlign w:val="center"/>
          </w:tcPr>
          <w:p w14:paraId="6637F00A">
            <w:pPr>
              <w:spacing w:line="360" w:lineRule="auto"/>
              <w:jc w:val="center"/>
              <w:rPr>
                <w:rFonts w:ascii="宋体" w:hAnsi="宋体" w:eastAsia="宋体"/>
                <w:color w:val="auto"/>
                <w:szCs w:val="21"/>
              </w:rPr>
            </w:pPr>
            <w:r>
              <w:rPr>
                <w:rFonts w:ascii="宋体" w:hAnsi="宋体" w:eastAsia="宋体"/>
                <w:color w:val="auto"/>
                <w:szCs w:val="21"/>
              </w:rPr>
              <w:t>有偏离</w:t>
            </w:r>
          </w:p>
        </w:tc>
        <w:tc>
          <w:tcPr>
            <w:tcW w:w="1726" w:type="dxa"/>
            <w:noWrap w:val="0"/>
            <w:vAlign w:val="center"/>
          </w:tcPr>
          <w:p w14:paraId="6F48744A">
            <w:pPr>
              <w:spacing w:line="360" w:lineRule="auto"/>
              <w:rPr>
                <w:rFonts w:ascii="宋体" w:hAnsi="宋体" w:eastAsia="宋体"/>
                <w:color w:val="auto"/>
                <w:kern w:val="0"/>
                <w:szCs w:val="21"/>
              </w:rPr>
            </w:pPr>
            <w:r>
              <w:rPr>
                <w:rFonts w:ascii="宋体" w:hAnsi="宋体" w:eastAsia="宋体"/>
                <w:color w:val="auto"/>
                <w:kern w:val="0"/>
                <w:szCs w:val="21"/>
              </w:rPr>
              <w:t>1、AMD Athlon64 X2 7750 2.7G；</w:t>
            </w:r>
          </w:p>
          <w:p w14:paraId="37CA0651">
            <w:pPr>
              <w:spacing w:line="360" w:lineRule="auto"/>
              <w:rPr>
                <w:rFonts w:ascii="宋体" w:hAnsi="宋体" w:eastAsia="宋体"/>
                <w:color w:val="auto"/>
                <w:szCs w:val="21"/>
              </w:rPr>
            </w:pPr>
            <w:r>
              <w:rPr>
                <w:rFonts w:ascii="宋体" w:hAnsi="宋体" w:eastAsia="宋体"/>
                <w:color w:val="auto"/>
                <w:szCs w:val="21"/>
              </w:rPr>
              <w:t>2、</w:t>
            </w:r>
            <w:r>
              <w:rPr>
                <w:rFonts w:ascii="宋体" w:hAnsi="宋体" w:eastAsia="宋体"/>
                <w:color w:val="auto"/>
                <w:kern w:val="0"/>
                <w:szCs w:val="21"/>
              </w:rPr>
              <w:t>RS690V芯片组</w:t>
            </w:r>
          </w:p>
          <w:p w14:paraId="7782BA34">
            <w:pPr>
              <w:spacing w:line="360" w:lineRule="auto"/>
              <w:rPr>
                <w:rFonts w:ascii="宋体" w:hAnsi="宋体" w:eastAsia="宋体"/>
                <w:color w:val="auto"/>
                <w:szCs w:val="21"/>
              </w:rPr>
            </w:pPr>
            <w:r>
              <w:rPr>
                <w:rFonts w:ascii="宋体" w:hAnsi="宋体" w:eastAsia="宋体"/>
                <w:color w:val="auto"/>
                <w:szCs w:val="21"/>
              </w:rPr>
              <w:t>3、显卡 ATI HD 4350 显存512M 支持DirectX 10</w:t>
            </w:r>
          </w:p>
          <w:p w14:paraId="1BEC8929">
            <w:pPr>
              <w:spacing w:line="360" w:lineRule="auto"/>
              <w:rPr>
                <w:rFonts w:ascii="宋体" w:hAnsi="宋体" w:eastAsia="宋体"/>
                <w:color w:val="auto"/>
                <w:szCs w:val="21"/>
              </w:rPr>
            </w:pPr>
            <w:r>
              <w:rPr>
                <w:rFonts w:ascii="宋体" w:hAnsi="宋体" w:eastAsia="宋体"/>
                <w:color w:val="auto"/>
                <w:szCs w:val="21"/>
              </w:rPr>
              <w:t>4、</w:t>
            </w:r>
            <w:r>
              <w:rPr>
                <w:rFonts w:ascii="宋体" w:hAnsi="宋体" w:eastAsia="宋体"/>
                <w:color w:val="auto"/>
                <w:kern w:val="0"/>
                <w:szCs w:val="21"/>
              </w:rPr>
              <w:t>操作系统 Windows XP Home</w:t>
            </w:r>
          </w:p>
        </w:tc>
      </w:tr>
      <w:tr w14:paraId="62DC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3" w:hRule="atLeast"/>
          <w:jc w:val="center"/>
        </w:trPr>
        <w:tc>
          <w:tcPr>
            <w:tcW w:w="550" w:type="dxa"/>
            <w:noWrap w:val="0"/>
            <w:vAlign w:val="center"/>
          </w:tcPr>
          <w:p w14:paraId="7BE3E3E4">
            <w:pPr>
              <w:spacing w:line="360" w:lineRule="auto"/>
              <w:jc w:val="center"/>
              <w:rPr>
                <w:rFonts w:ascii="宋体" w:hAnsi="宋体" w:eastAsia="宋体"/>
                <w:color w:val="auto"/>
                <w:szCs w:val="21"/>
              </w:rPr>
            </w:pPr>
            <w:r>
              <w:rPr>
                <w:rFonts w:ascii="宋体" w:hAnsi="宋体" w:eastAsia="宋体"/>
                <w:color w:val="auto"/>
                <w:szCs w:val="21"/>
              </w:rPr>
              <w:t>2</w:t>
            </w:r>
          </w:p>
        </w:tc>
        <w:tc>
          <w:tcPr>
            <w:tcW w:w="980" w:type="dxa"/>
            <w:noWrap w:val="0"/>
            <w:vAlign w:val="center"/>
          </w:tcPr>
          <w:p w14:paraId="56039656">
            <w:pPr>
              <w:spacing w:line="360" w:lineRule="auto"/>
              <w:jc w:val="center"/>
              <w:rPr>
                <w:rFonts w:ascii="宋体" w:hAnsi="宋体" w:eastAsia="宋体"/>
                <w:color w:val="auto"/>
                <w:szCs w:val="21"/>
              </w:rPr>
            </w:pPr>
            <w:r>
              <w:rPr>
                <w:rFonts w:ascii="宋体" w:hAnsi="宋体" w:eastAsia="宋体"/>
                <w:color w:val="auto"/>
                <w:szCs w:val="21"/>
              </w:rPr>
              <w:t>打印机</w:t>
            </w:r>
          </w:p>
        </w:tc>
        <w:tc>
          <w:tcPr>
            <w:tcW w:w="3411" w:type="dxa"/>
            <w:noWrap w:val="0"/>
            <w:vAlign w:val="center"/>
          </w:tcPr>
          <w:p w14:paraId="5C8714F4">
            <w:pPr>
              <w:spacing w:line="360" w:lineRule="auto"/>
              <w:rPr>
                <w:rFonts w:ascii="宋体" w:hAnsi="宋体" w:eastAsia="宋体"/>
                <w:color w:val="auto"/>
                <w:szCs w:val="21"/>
              </w:rPr>
            </w:pPr>
            <w:r>
              <w:rPr>
                <w:rFonts w:ascii="宋体" w:hAnsi="宋体" w:eastAsia="宋体"/>
                <w:color w:val="auto"/>
                <w:szCs w:val="21"/>
              </w:rPr>
              <w:t>黑白23/1200*1200（有效输出）/2MB/USB2.0接口/嵌入式网络打印服务器/纸张、信封、投影胶片、标签、卡片、明信片、硫酸纸//A4幅面，采用零秒预热技术；</w:t>
            </w:r>
          </w:p>
        </w:tc>
        <w:tc>
          <w:tcPr>
            <w:tcW w:w="3033" w:type="dxa"/>
            <w:noWrap w:val="0"/>
            <w:vAlign w:val="center"/>
          </w:tcPr>
          <w:p w14:paraId="1965A03E">
            <w:pPr>
              <w:spacing w:line="360" w:lineRule="auto"/>
              <w:rPr>
                <w:rFonts w:ascii="宋体" w:hAnsi="宋体" w:eastAsia="宋体"/>
                <w:color w:val="auto"/>
                <w:szCs w:val="21"/>
              </w:rPr>
            </w:pPr>
            <w:r>
              <w:rPr>
                <w:rFonts w:ascii="宋体" w:hAnsi="宋体" w:eastAsia="宋体"/>
                <w:color w:val="auto"/>
                <w:szCs w:val="21"/>
              </w:rPr>
              <w:t>爱普生Aculaser M8000N激光打印机；黑白23/1200*1200（有效输出）/2MB/USB2.0接口/嵌入式网络打印服务器/纸张、信封、投影胶片、标签、卡片、明信片、硫酸纸/A4幅面，零秒预热。</w:t>
            </w:r>
          </w:p>
        </w:tc>
        <w:tc>
          <w:tcPr>
            <w:tcW w:w="917" w:type="dxa"/>
            <w:noWrap w:val="0"/>
            <w:vAlign w:val="center"/>
          </w:tcPr>
          <w:p w14:paraId="5B08892E">
            <w:pPr>
              <w:spacing w:line="360" w:lineRule="auto"/>
              <w:jc w:val="center"/>
              <w:rPr>
                <w:rFonts w:ascii="宋体" w:hAnsi="宋体" w:eastAsia="宋体"/>
                <w:color w:val="auto"/>
                <w:szCs w:val="21"/>
              </w:rPr>
            </w:pPr>
            <w:r>
              <w:rPr>
                <w:rFonts w:ascii="宋体" w:hAnsi="宋体" w:eastAsia="宋体"/>
                <w:color w:val="auto"/>
                <w:szCs w:val="21"/>
              </w:rPr>
              <w:t>无偏离</w:t>
            </w:r>
          </w:p>
        </w:tc>
        <w:tc>
          <w:tcPr>
            <w:tcW w:w="1726" w:type="dxa"/>
            <w:noWrap w:val="0"/>
            <w:vAlign w:val="center"/>
          </w:tcPr>
          <w:p w14:paraId="223E79FA">
            <w:pPr>
              <w:spacing w:line="360" w:lineRule="auto"/>
              <w:jc w:val="center"/>
              <w:rPr>
                <w:rFonts w:ascii="宋体" w:hAnsi="宋体" w:eastAsia="宋体"/>
                <w:color w:val="auto"/>
                <w:szCs w:val="21"/>
              </w:rPr>
            </w:pPr>
          </w:p>
        </w:tc>
      </w:tr>
    </w:tbl>
    <w:p w14:paraId="4B42734D">
      <w:pPr>
        <w:rPr>
          <w:rFonts w:hint="default"/>
          <w:lang w:val="en-US" w:eastAsia="zh-CN"/>
        </w:rPr>
      </w:pPr>
    </w:p>
    <w:p w14:paraId="6B22401F">
      <w:pPr>
        <w:pStyle w:val="5"/>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落实节能、环保政策要求证明材料</w:t>
      </w:r>
    </w:p>
    <w:p w14:paraId="63505A2C">
      <w:pP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供应商根据所投产品实际情况提交、格式自拟。</w:t>
      </w:r>
    </w:p>
    <w:p w14:paraId="437CAC13">
      <w:pPr>
        <w:pStyle w:val="5"/>
        <w:rPr>
          <w:rFonts w:hint="eastAsia" w:ascii="宋体" w:hAnsi="宋体" w:eastAsia="宋体" w:cs="宋体"/>
          <w:color w:val="FF0000"/>
          <w:sz w:val="21"/>
          <w:szCs w:val="21"/>
          <w:lang w:val="en-US" w:eastAsia="zh-CN"/>
        </w:rPr>
      </w:pPr>
      <w:r>
        <w:rPr>
          <w:rFonts w:hint="eastAsia" w:ascii="宋体" w:hAnsi="宋体" w:eastAsia="宋体" w:cs="宋体"/>
          <w:b/>
          <w:bCs/>
          <w:color w:val="FF0000"/>
          <w:sz w:val="21"/>
          <w:szCs w:val="21"/>
          <w:lang w:val="en-US" w:eastAsia="zh-CN"/>
        </w:rPr>
        <w:t>以上供应商按照第一章至第十一条顺序格式填写，并鲜章签字扫描PDF文件上传政采云进行投标。如未按照以上采购要求进行上传，采购方将取消中标资格。带</w:t>
      </w:r>
      <w:r>
        <w:rPr>
          <w:rFonts w:hint="eastAsia" w:ascii="宋体" w:hAnsi="宋体" w:eastAsia="宋体" w:cs="宋体"/>
          <w:b/>
          <w:bCs/>
          <w:color w:val="auto"/>
          <w:sz w:val="21"/>
          <w:szCs w:val="21"/>
          <w:lang w:val="en-US" w:eastAsia="zh-CN"/>
        </w:rPr>
        <w:t>▲★内容必须满足.</w:t>
      </w:r>
    </w:p>
    <w:p w14:paraId="6F5DA43B">
      <w:pPr>
        <w:rPr>
          <w:rFonts w:ascii="Arial"/>
          <w:sz w:val="21"/>
        </w:rPr>
      </w:pPr>
    </w:p>
    <w:sectPr>
      <w:headerReference r:id="rId8" w:type="first"/>
      <w:footerReference r:id="rId11" w:type="first"/>
      <w:headerReference r:id="rId6" w:type="default"/>
      <w:footerReference r:id="rId9" w:type="default"/>
      <w:headerReference r:id="rId7" w:type="even"/>
      <w:footerReference r:id="rId10" w:type="even"/>
      <w:pgSz w:w="11906" w:h="16838"/>
      <w:pgMar w:top="2098" w:right="1474" w:bottom="1984" w:left="1587" w:header="851" w:footer="1587"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5C56A">
    <w:pPr>
      <w:spacing w:before="1" w:line="177" w:lineRule="auto"/>
      <w:ind w:left="4955"/>
      <w:rPr>
        <w:rFonts w:ascii="宋体" w:hAnsi="宋体" w:eastAsia="宋体" w:cs="宋体"/>
        <w:sz w:val="31"/>
        <w:szCs w:val="31"/>
      </w:rPr>
    </w:pPr>
    <w:r>
      <w:rPr>
        <w:rFonts w:ascii="宋体" w:hAnsi="宋体" w:eastAsia="宋体" w:cs="宋体"/>
        <w:spacing w:val="-17"/>
        <w:sz w:val="31"/>
        <w:szCs w:val="31"/>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C1E51">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6E0F7">
                          <w:pPr>
                            <w:pStyle w:val="7"/>
                            <w:rPr>
                              <w:rStyle w:val="12"/>
                              <w:rFonts w:ascii="宋体" w:hAnsi="宋体"/>
                              <w:b/>
                              <w:sz w:val="28"/>
                              <w:szCs w:val="28"/>
                            </w:rPr>
                          </w:pPr>
                          <w:r>
                            <w:rPr>
                              <w:rFonts w:ascii="宋体" w:hAnsi="宋体"/>
                              <w:b/>
                              <w:sz w:val="28"/>
                              <w:szCs w:val="28"/>
                            </w:rPr>
                            <w:fldChar w:fldCharType="begin"/>
                          </w:r>
                          <w:r>
                            <w:rPr>
                              <w:rStyle w:val="12"/>
                              <w:rFonts w:ascii="宋体" w:hAnsi="宋体"/>
                              <w:b/>
                              <w:sz w:val="28"/>
                              <w:szCs w:val="28"/>
                            </w:rPr>
                            <w:instrText xml:space="preserve">PAGE  </w:instrText>
                          </w:r>
                          <w:r>
                            <w:rPr>
                              <w:rFonts w:ascii="宋体" w:hAnsi="宋体"/>
                              <w:b/>
                              <w:sz w:val="28"/>
                              <w:szCs w:val="28"/>
                            </w:rPr>
                            <w:fldChar w:fldCharType="separate"/>
                          </w:r>
                          <w:r>
                            <w:rPr>
                              <w:rStyle w:val="12"/>
                              <w:rFonts w:ascii="宋体" w:hAnsi="宋体"/>
                              <w:b/>
                              <w:sz w:val="28"/>
                              <w:szCs w:val="28"/>
                            </w:rPr>
                            <w:t>- 1 -</w:t>
                          </w:r>
                          <w:r>
                            <w:rPr>
                              <w:rFonts w:ascii="宋体" w:hAnsi="宋体"/>
                              <w:b/>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66E0F7">
                    <w:pPr>
                      <w:pStyle w:val="7"/>
                      <w:rPr>
                        <w:rStyle w:val="12"/>
                        <w:rFonts w:ascii="宋体" w:hAnsi="宋体"/>
                        <w:b/>
                        <w:sz w:val="28"/>
                        <w:szCs w:val="28"/>
                      </w:rPr>
                    </w:pPr>
                    <w:r>
                      <w:rPr>
                        <w:rFonts w:ascii="宋体" w:hAnsi="宋体"/>
                        <w:b/>
                        <w:sz w:val="28"/>
                        <w:szCs w:val="28"/>
                      </w:rPr>
                      <w:fldChar w:fldCharType="begin"/>
                    </w:r>
                    <w:r>
                      <w:rPr>
                        <w:rStyle w:val="12"/>
                        <w:rFonts w:ascii="宋体" w:hAnsi="宋体"/>
                        <w:b/>
                        <w:sz w:val="28"/>
                        <w:szCs w:val="28"/>
                      </w:rPr>
                      <w:instrText xml:space="preserve">PAGE  </w:instrText>
                    </w:r>
                    <w:r>
                      <w:rPr>
                        <w:rFonts w:ascii="宋体" w:hAnsi="宋体"/>
                        <w:b/>
                        <w:sz w:val="28"/>
                        <w:szCs w:val="28"/>
                      </w:rPr>
                      <w:fldChar w:fldCharType="separate"/>
                    </w:r>
                    <w:r>
                      <w:rPr>
                        <w:rStyle w:val="12"/>
                        <w:rFonts w:ascii="宋体" w:hAnsi="宋体"/>
                        <w:b/>
                        <w:sz w:val="28"/>
                        <w:szCs w:val="28"/>
                      </w:rPr>
                      <w:t>- 1 -</w:t>
                    </w:r>
                    <w:r>
                      <w:rPr>
                        <w:rFonts w:ascii="宋体" w:hAnsi="宋体"/>
                        <w:b/>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25236">
    <w:pPr>
      <w:pStyle w:val="7"/>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308FF">
                          <w:pPr>
                            <w:pStyle w:val="7"/>
                            <w:rPr>
                              <w:rStyle w:val="12"/>
                              <w:rFonts w:ascii="宋体" w:hAnsi="宋体"/>
                              <w:b/>
                              <w:sz w:val="28"/>
                              <w:szCs w:val="28"/>
                            </w:rPr>
                          </w:pPr>
                          <w:r>
                            <w:rPr>
                              <w:rFonts w:ascii="宋体" w:hAnsi="宋体"/>
                              <w:b/>
                              <w:sz w:val="28"/>
                              <w:szCs w:val="28"/>
                            </w:rPr>
                            <w:fldChar w:fldCharType="begin"/>
                          </w:r>
                          <w:r>
                            <w:rPr>
                              <w:rStyle w:val="12"/>
                              <w:rFonts w:ascii="宋体" w:hAnsi="宋体"/>
                              <w:b/>
                              <w:sz w:val="28"/>
                              <w:szCs w:val="28"/>
                            </w:rPr>
                            <w:instrText xml:space="preserve">PAGE  </w:instrText>
                          </w:r>
                          <w:r>
                            <w:rPr>
                              <w:rFonts w:ascii="宋体" w:hAnsi="宋体"/>
                              <w:b/>
                              <w:sz w:val="28"/>
                              <w:szCs w:val="28"/>
                            </w:rPr>
                            <w:fldChar w:fldCharType="separate"/>
                          </w:r>
                          <w:r>
                            <w:rPr>
                              <w:rStyle w:val="12"/>
                              <w:rFonts w:ascii="宋体" w:hAnsi="宋体"/>
                              <w:b/>
                              <w:sz w:val="28"/>
                              <w:szCs w:val="28"/>
                            </w:rPr>
                            <w:t>- 8 -</w:t>
                          </w:r>
                          <w:r>
                            <w:rPr>
                              <w:rFonts w:ascii="宋体" w:hAnsi="宋体"/>
                              <w:b/>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7E308FF">
                    <w:pPr>
                      <w:pStyle w:val="7"/>
                      <w:rPr>
                        <w:rStyle w:val="12"/>
                        <w:rFonts w:ascii="宋体" w:hAnsi="宋体"/>
                        <w:b/>
                        <w:sz w:val="28"/>
                        <w:szCs w:val="28"/>
                      </w:rPr>
                    </w:pPr>
                    <w:r>
                      <w:rPr>
                        <w:rFonts w:ascii="宋体" w:hAnsi="宋体"/>
                        <w:b/>
                        <w:sz w:val="28"/>
                        <w:szCs w:val="28"/>
                      </w:rPr>
                      <w:fldChar w:fldCharType="begin"/>
                    </w:r>
                    <w:r>
                      <w:rPr>
                        <w:rStyle w:val="12"/>
                        <w:rFonts w:ascii="宋体" w:hAnsi="宋体"/>
                        <w:b/>
                        <w:sz w:val="28"/>
                        <w:szCs w:val="28"/>
                      </w:rPr>
                      <w:instrText xml:space="preserve">PAGE  </w:instrText>
                    </w:r>
                    <w:r>
                      <w:rPr>
                        <w:rFonts w:ascii="宋体" w:hAnsi="宋体"/>
                        <w:b/>
                        <w:sz w:val="28"/>
                        <w:szCs w:val="28"/>
                      </w:rPr>
                      <w:fldChar w:fldCharType="separate"/>
                    </w:r>
                    <w:r>
                      <w:rPr>
                        <w:rStyle w:val="12"/>
                        <w:rFonts w:ascii="宋体" w:hAnsi="宋体"/>
                        <w:b/>
                        <w:sz w:val="28"/>
                        <w:szCs w:val="28"/>
                      </w:rPr>
                      <w:t>- 8 -</w:t>
                    </w:r>
                    <w:r>
                      <w:rPr>
                        <w:rFonts w:ascii="宋体" w:hAnsi="宋体"/>
                        <w:b/>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3B604">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32C90">
    <w:pPr>
      <w:pStyle w:val="8"/>
      <w:pBdr>
        <w:bottom w:val="none" w:color="auto" w:sz="0" w:space="2"/>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DA4D1">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3375B">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22BCF4"/>
    <w:multiLevelType w:val="singleLevel"/>
    <w:tmpl w:val="1622BCF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472417B"/>
    <w:rsid w:val="049D3B67"/>
    <w:rsid w:val="07F67816"/>
    <w:rsid w:val="08FA50E4"/>
    <w:rsid w:val="0E415563"/>
    <w:rsid w:val="0F787F0B"/>
    <w:rsid w:val="122374E3"/>
    <w:rsid w:val="14C409C2"/>
    <w:rsid w:val="198033E4"/>
    <w:rsid w:val="19C448FF"/>
    <w:rsid w:val="19CF7EC7"/>
    <w:rsid w:val="1ECB5101"/>
    <w:rsid w:val="1FFB7C68"/>
    <w:rsid w:val="20EC75B1"/>
    <w:rsid w:val="21612148"/>
    <w:rsid w:val="21666272"/>
    <w:rsid w:val="284B3398"/>
    <w:rsid w:val="298C6060"/>
    <w:rsid w:val="314341CC"/>
    <w:rsid w:val="31992E3D"/>
    <w:rsid w:val="360062A6"/>
    <w:rsid w:val="36CA3A99"/>
    <w:rsid w:val="38521F98"/>
    <w:rsid w:val="3AF76123"/>
    <w:rsid w:val="3BBD3BCC"/>
    <w:rsid w:val="3E412C3A"/>
    <w:rsid w:val="49470F79"/>
    <w:rsid w:val="4A653D24"/>
    <w:rsid w:val="4A897F87"/>
    <w:rsid w:val="4B685902"/>
    <w:rsid w:val="4BF47196"/>
    <w:rsid w:val="502358F3"/>
    <w:rsid w:val="5054115B"/>
    <w:rsid w:val="517D19DC"/>
    <w:rsid w:val="52D27EA5"/>
    <w:rsid w:val="531723BF"/>
    <w:rsid w:val="53FE1C7E"/>
    <w:rsid w:val="6256564E"/>
    <w:rsid w:val="647B46E8"/>
    <w:rsid w:val="64E57B6C"/>
    <w:rsid w:val="668F5A22"/>
    <w:rsid w:val="68681DFB"/>
    <w:rsid w:val="73614501"/>
    <w:rsid w:val="73C05A2C"/>
    <w:rsid w:val="78E54BF5"/>
    <w:rsid w:val="797A07C3"/>
    <w:rsid w:val="7DA939D5"/>
    <w:rsid w:val="7DEA3FF1"/>
    <w:rsid w:val="7FEE21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120" w:after="120" w:line="360" w:lineRule="auto"/>
      <w:jc w:val="center"/>
      <w:outlineLvl w:val="1"/>
    </w:pPr>
    <w:rPr>
      <w:rFonts w:ascii="Arial" w:hAnsi="Arial"/>
      <w:b/>
      <w:bCs/>
      <w:sz w:val="28"/>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unhideWhenUsed/>
    <w:qFormat/>
    <w:uiPriority w:val="99"/>
    <w:rPr>
      <w:rFonts w:ascii="宋体"/>
      <w:sz w:val="18"/>
      <w:szCs w:val="18"/>
    </w:rPr>
  </w:style>
  <w:style w:type="paragraph" w:styleId="5">
    <w:name w:val="Body Text"/>
    <w:basedOn w:val="1"/>
    <w:next w:val="1"/>
    <w:qFormat/>
    <w:uiPriority w:val="0"/>
    <w:pPr>
      <w:widowControl/>
      <w:spacing w:line="360" w:lineRule="auto"/>
    </w:pPr>
    <w:rPr>
      <w:color w:val="FF0000"/>
    </w:rPr>
  </w:style>
  <w:style w:type="paragraph" w:styleId="6">
    <w:name w:val="Plain Text"/>
    <w:basedOn w:val="1"/>
    <w:next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0"/>
      <w:szCs w:val="20"/>
      <w:lang w:val="en-US" w:eastAsia="en-US" w:bidi="ar-SA"/>
    </w:rPr>
  </w:style>
  <w:style w:type="character" w:customStyle="1" w:styleId="15">
    <w:name w:val="font41"/>
    <w:basedOn w:val="11"/>
    <w:qFormat/>
    <w:uiPriority w:val="0"/>
    <w:rPr>
      <w:rFonts w:hint="eastAsia" w:ascii="宋体" w:hAnsi="宋体" w:eastAsia="宋体" w:cs="宋体"/>
      <w:b/>
      <w:bCs/>
      <w:color w:val="000000"/>
      <w:sz w:val="22"/>
      <w:szCs w:val="22"/>
      <w:u w:val="none"/>
    </w:rPr>
  </w:style>
  <w:style w:type="character" w:customStyle="1" w:styleId="16">
    <w:name w:val="font0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11572</Words>
  <Characters>13150</Characters>
  <TotalTime>53</TotalTime>
  <ScaleCrop>false</ScaleCrop>
  <LinksUpToDate>false</LinksUpToDate>
  <CharactersWithSpaces>13374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2024-11-26T08:17:00Z</dcterms:created>
  <dc:creator>Kingsoft-PDF</dc:creator>
  <cp:lastModifiedBy>小廖的</cp:lastModifiedBy>
  <cp:lastPrinted>2024-11-29T10:05:00Z</cp:lastPrinted>
  <dcterms:modified xsi:type="dcterms:W3CDTF">2024-12-27T08:10:33Z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2024-11-26T08:17:14Z</vt:filetime>
  </property>
  <property fmtid="{D5CDD505-2E9C-101B-9397-08002B2CF9AE}" pid="4" name="UsrData">
    <vt:lpwstr>6745138780400b0020e703d3wl</vt:lpwstr>
  </property>
  <property fmtid="{D5CDD505-2E9C-101B-9397-08002B2CF9AE}" pid="5" name="KSOProductBuildVer">
    <vt:lpwstr>2052-12.1.0.19770</vt:lpwstr>
  </property>
  <property fmtid="{D5CDD505-2E9C-101B-9397-08002B2CF9AE}" pid="6" name="ICV">
    <vt:lpwstr>9202B4B2E0F74071828E58B56B222E54_13</vt:lpwstr>
  </property>
  <property fmtid="{D5CDD505-2E9C-101B-9397-08002B2CF9AE}" pid="7" name="KSOTemplateDocerSaveRecord">
    <vt:lpwstr>eyJoZGlkIjoiNWU3MDk2YzQyYmNiZDRlZGMzNzgyNTkwYzMzMjljZmEiLCJ1c2VySWQiOiI3MzQ5MjMwMDkifQ==</vt:lpwstr>
  </property>
</Properties>
</file>