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BB6790">
      <w:pPr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西畴县公安局指挥中心显示屏采购项目</w:t>
      </w:r>
    </w:p>
    <w:p w14:paraId="0C79BA4C">
      <w:pPr>
        <w:jc w:val="center"/>
        <w:rPr>
          <w:rFonts w:eastAsia="方正仿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（采购需求）</w:t>
      </w:r>
    </w:p>
    <w:p w14:paraId="408A3576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（一）采购标的需实现的功能或者目标，以及为落实政府采购政策需满足的要求； </w:t>
      </w:r>
    </w:p>
    <w:p w14:paraId="4A61FEE4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遵循中华人民共和国有关法律规定，保障</w:t>
      </w:r>
      <w:r>
        <w:rPr>
          <w:rFonts w:hint="eastAsia" w:eastAsia="方正仿宋_GBK"/>
          <w:sz w:val="32"/>
          <w:szCs w:val="32"/>
          <w:lang w:val="en-US" w:eastAsia="zh-CN"/>
        </w:rPr>
        <w:t>西畴县公安局</w:t>
      </w:r>
      <w:r>
        <w:rPr>
          <w:rFonts w:hint="eastAsia" w:eastAsia="方正仿宋_GBK"/>
          <w:sz w:val="32"/>
          <w:szCs w:val="32"/>
        </w:rPr>
        <w:t>正常开展相关工作，通过制定采购需求标准、预留采购份额、价格评审优惠、优先采购等措施，实现节约能源、保护环境、扶持不发达地区和少数民族地区、促进中小企业发展等目标。</w:t>
      </w:r>
    </w:p>
    <w:p w14:paraId="23A02489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（二）采购标的需执行的国家相关标准、行业标准、地方标准或者其他标准、规范； </w:t>
      </w:r>
    </w:p>
    <w:p w14:paraId="674BBA3F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按照《中华人民共和国政府采购法》《中华人民共和国政府采购法实施条例》《政府采购货物和服务招投标管理办法（财政部令第87号）》等有关规定及相关行业、地方或其他现行标准、规范执行。</w:t>
      </w:r>
    </w:p>
    <w:p w14:paraId="432F7DD6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（三）采购标的需满足的质量、安全、技术规格、物理特性等要求；</w:t>
      </w:r>
    </w:p>
    <w:p w14:paraId="1EC987C0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1.满足国家、行业、相关规范标准，符合甲方要求且一次性验收合格。</w:t>
      </w:r>
    </w:p>
    <w:p w14:paraId="4FC03FED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2.采购货物为原制造商制造的全新产品，整体无污染，无侵权行为、表面无划损、无任何缺陷隐患，在中国境内可依常规安全合法使用。</w:t>
      </w:r>
    </w:p>
    <w:p w14:paraId="41345791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3.采购货物为原厂商未启封全新包装，具有出厂合格证，序列号、包装箱号与出厂批号一致，并可追索查阅。</w:t>
      </w:r>
    </w:p>
    <w:p w14:paraId="436D1E78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（验收标准依次序对照适用标准为：①符合中华人民共和国国家安全质量标准、环保标准或行业标准；②符合招标文件和响应承诺中甲方认可的合理最佳配置、参数及各项要求；③货物来源国适用的官方标准。）</w:t>
      </w:r>
    </w:p>
    <w:p w14:paraId="1DD53181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（四）采购标的的数量、采购项目交付或者实施的时间和地点； </w:t>
      </w:r>
    </w:p>
    <w:p w14:paraId="55D7D09C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采购数量：符合云南省政府采购实施计划（采购单位）编报表中申报内容的数量（详见清单）；</w:t>
      </w:r>
    </w:p>
    <w:p w14:paraId="17E815F9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交货时间：按采购人需求；</w:t>
      </w:r>
    </w:p>
    <w:p w14:paraId="4B4F9007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交货地点：</w:t>
      </w:r>
      <w:r>
        <w:rPr>
          <w:rFonts w:hint="eastAsia" w:eastAsia="方正仿宋_GBK"/>
          <w:sz w:val="32"/>
          <w:szCs w:val="32"/>
          <w:lang w:val="en-US" w:eastAsia="zh-CN"/>
        </w:rPr>
        <w:t>西畴县公安局内</w:t>
      </w:r>
      <w:r>
        <w:rPr>
          <w:rFonts w:hint="eastAsia" w:eastAsia="方正仿宋_GBK"/>
          <w:sz w:val="32"/>
          <w:szCs w:val="32"/>
        </w:rPr>
        <w:t>指定地点。</w:t>
      </w:r>
    </w:p>
    <w:p w14:paraId="542012F3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 xml:space="preserve">（五）采购标的需满足的服务标准、期限、效率等要求； </w:t>
      </w:r>
    </w:p>
    <w:p w14:paraId="47772A2E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1.质保期不低于</w:t>
      </w:r>
      <w:r>
        <w:rPr>
          <w:rFonts w:hint="eastAsia" w:eastAsia="方正仿宋_GBK"/>
          <w:sz w:val="32"/>
          <w:szCs w:val="32"/>
          <w:u w:val="single"/>
          <w:lang w:val="en-US" w:eastAsia="zh-CN"/>
        </w:rPr>
        <w:t>12</w:t>
      </w:r>
      <w:r>
        <w:rPr>
          <w:rFonts w:hint="eastAsia" w:eastAsia="方正仿宋_GBK"/>
          <w:sz w:val="32"/>
          <w:szCs w:val="32"/>
          <w:u w:val="single"/>
        </w:rPr>
        <w:t>个月</w:t>
      </w:r>
      <w:r>
        <w:rPr>
          <w:rFonts w:hint="eastAsia" w:eastAsia="方正仿宋_GBK"/>
          <w:sz w:val="32"/>
          <w:szCs w:val="32"/>
        </w:rPr>
        <w:t>，质保期内乙方对所供货物实行提供包修、包换、包退、包维护保养，期满后可同时提供终身维修保养服务。如个别货物质保期与合同不一致的，以后到达的为准。</w:t>
      </w:r>
    </w:p>
    <w:p w14:paraId="7D637122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2.在质保期内，所有采购货物的质保服务方式均为乙方上门服务，即由乙方派员到使用现场维修，乙方在接到甲方售后要求后，15分钟内电话响应，60分钟内技术服务人员到达故障现场进行维修，2小时内排除故障，在维修过程中，3小时内无法排除故障的，提供同等配置的备用产品以保证甲方产品的正常使用，并提供相应措施和提供相应人员培训。</w:t>
      </w:r>
    </w:p>
    <w:p w14:paraId="4DCEC3E6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3.如需更换配件的，要求更换的配件跟被更换的品牌、类型相一致或者是同类同档次的全新替代品，属于产品质量问题的，乙方需征得甲方管理人员同意进行更换，属于人为损坏的，乙方需征得甲方管理人员书面同意后，方可更换，只收取材料费，除材料费外的其他所有产生的费用由乙方自行承担。若是没有按上述要求回应及给予解决的，超过5次（不含），甲方有权请第三方公司进行售后，售后金额由乙方承担。如因质量问题维修后都无法使用的，则需无条件进行更换。质保期满后的货物维护由双方协商再定。</w:t>
      </w:r>
    </w:p>
    <w:p w14:paraId="5988BA8A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4.乙方承诺所售出的一切产品均为公司本厂生产、全新的、未曾使用过、无瑕疵的合格优质产品，非人为损坏，产品质保期内保修，在此期间内，一旦LED板发生变形、脱落、开裂等产品自身的质量问题，将维修或更换，实行：“包修”、“包换”、“包退”三包服务。</w:t>
      </w:r>
    </w:p>
    <w:p w14:paraId="56CCF7F5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5.其他售后要求</w:t>
      </w:r>
    </w:p>
    <w:p w14:paraId="49B25C55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 xml:space="preserve">（1）提供维护、技术咨询、指导服务。 </w:t>
      </w:r>
    </w:p>
    <w:p w14:paraId="5F72C9A5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（2）提供送货上门、提供安装和调试，附安装说明书和售后服务电话。</w:t>
      </w:r>
    </w:p>
    <w:p w14:paraId="5FD7A53B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（3）产品交付使用一周内，进行上门观察检测使用情况。</w:t>
      </w:r>
    </w:p>
    <w:p w14:paraId="372C9993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（4）在安装验收后，提供专业的产品养护及使用技巧培训。</w:t>
      </w:r>
    </w:p>
    <w:p w14:paraId="4986BC86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（5）产品使用期间，提供上门维修服务，每季度上门回访做维修保养，核查产品的质量状况，发现问题及时处理。</w:t>
      </w:r>
    </w:p>
    <w:p w14:paraId="3C8566C8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 xml:space="preserve">（6）保修期满前 1 个月内乙方应负责对产品进行一次全面检查，如发现潜在问题，应负责排除，保证产品正常使用。 </w:t>
      </w:r>
    </w:p>
    <w:p w14:paraId="55E5DED7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（7）乙方公司为甲方预存零配件，产品交付使用时乙方为甲方管理部门提供一定数量的零配件。</w:t>
      </w:r>
    </w:p>
    <w:p w14:paraId="6705C65E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（8）在质量保证期内，任何原因造成的产品不能正常使用的情况下，乙方均应提供替代产品，以确保甲方正常办公。</w:t>
      </w:r>
    </w:p>
    <w:p w14:paraId="7A00475D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（9）</w:t>
      </w:r>
      <w:bookmarkStart w:id="0" w:name="OLE_LINK3"/>
      <w:bookmarkStart w:id="1" w:name="OLE_LINK4"/>
      <w:r>
        <w:rPr>
          <w:rFonts w:hint="eastAsia" w:eastAsia="方正仿宋_GBK"/>
          <w:sz w:val="32"/>
          <w:szCs w:val="32"/>
        </w:rPr>
        <w:t>在质保期内，同一缺陷经三次维修、调换后仍无法达到质量标准的，则认定该类产品均不合格，甲方有权将该类产品无条件退货、退款。由此造成的损失，全部由乙方承担。</w:t>
      </w:r>
      <w:bookmarkEnd w:id="0"/>
      <w:bookmarkEnd w:id="1"/>
    </w:p>
    <w:p w14:paraId="71A26FC4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（六）采购标的的验收标准；</w:t>
      </w:r>
    </w:p>
    <w:p w14:paraId="1D85DFD7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1、货物若有国家标准按照国家标准验收，若无国家标准按行业标准验收，为原制造商制造的全新产品，整体无污染，无侵权行为、表面无划损、无任何缺陷隐患，在中国境内可依常规安全合法使用。</w:t>
      </w:r>
    </w:p>
    <w:p w14:paraId="64E0B87C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2、按照LED屏幕的验收标准进行验收。每一批次的空调到达送货地点、安装调试完成后，由乙方和甲方共同现场确认。包括：型号、规格、数量、外观质量、及包装完整无损。</w:t>
      </w:r>
    </w:p>
    <w:p w14:paraId="2CFE06D4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3、整体验收合格后，乙方应同时交付产品使用手册、产品质量合格证书、质量检验报告。</w:t>
      </w:r>
    </w:p>
    <w:p w14:paraId="32336523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4、项目验收标准依次序对照适用标准为：①符合中华人民共和国国家安全质量标准、环保标准或行业标准；②符合询价文件和响应承诺中甲方认可的合理最佳配置、参数及各项要求；③货物来源国适用的官方标准</w:t>
      </w:r>
    </w:p>
    <w:p w14:paraId="485D9605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5、在验收货物时，若发现乙方交付货物的质量、性能和规格与合同中约定不符，或有缺陷的，包括潜在的缺陷等，甲方有权拒收货物，乙方应按质保期及售后服务要求进行更换，若更换后的货物的质量、性能和规格与合同中约定仍不符，或仍有缺陷，包括潜在的缺陷等，视为乙方违约，甲方有权终止合同，并主张合同价款30%的违约金。违约金不足以弥补甲方损失的，乙方还应支付差额部分的损失。且甲方有权申请本合同货物使用地的第三方检验机构检验，并根据检验报告及质量保证条款向乙方提出索赔。在合同履行各个阶段所发生的索赔协商期内，乙方应继续履行合同，不得中止。</w:t>
      </w:r>
    </w:p>
    <w:p w14:paraId="0E7CF707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9、在未验收并交付甲方使用前，所有货物的成品保护均由乙方负责。</w:t>
      </w:r>
    </w:p>
    <w:p w14:paraId="2263A46C">
      <w:pPr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（七</w:t>
      </w:r>
      <w:bookmarkStart w:id="2" w:name="OLE_LINK2"/>
      <w:bookmarkStart w:id="3" w:name="OLE_LINK1"/>
      <w:r>
        <w:rPr>
          <w:rFonts w:eastAsia="方正仿宋_GBK"/>
          <w:sz w:val="32"/>
          <w:szCs w:val="32"/>
        </w:rPr>
        <w:t>）</w:t>
      </w:r>
      <w:r>
        <w:rPr>
          <w:rFonts w:hint="eastAsia" w:eastAsia="方正仿宋_GBK"/>
          <w:sz w:val="32"/>
          <w:szCs w:val="32"/>
        </w:rPr>
        <w:t>付款方式。</w:t>
      </w:r>
      <w:bookmarkEnd w:id="2"/>
      <w:bookmarkEnd w:id="3"/>
    </w:p>
    <w:p w14:paraId="4515F9E1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设备到位、运达现场、验收无损坏，安装调试完毕，验收合格后</w:t>
      </w:r>
      <w:r>
        <w:rPr>
          <w:rFonts w:hint="eastAsia" w:eastAsia="方正仿宋_GBK"/>
          <w:sz w:val="32"/>
          <w:szCs w:val="32"/>
          <w:lang w:val="en-US" w:eastAsia="zh-CN"/>
        </w:rPr>
        <w:t>2</w:t>
      </w:r>
      <w:bookmarkStart w:id="4" w:name="_GoBack"/>
      <w:bookmarkEnd w:id="4"/>
      <w:r>
        <w:rPr>
          <w:rFonts w:hint="eastAsia" w:eastAsia="方正仿宋_GBK"/>
          <w:sz w:val="32"/>
          <w:szCs w:val="32"/>
        </w:rPr>
        <w:t>个月内支付合同全款。</w:t>
      </w:r>
    </w:p>
    <w:p w14:paraId="32C6A1CC">
      <w:pPr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</w:t>
      </w:r>
      <w:r>
        <w:rPr>
          <w:rFonts w:hint="eastAsia" w:eastAsia="方正仿宋_GBK"/>
          <w:sz w:val="32"/>
          <w:szCs w:val="32"/>
        </w:rPr>
        <w:t>八</w:t>
      </w:r>
      <w:r>
        <w:rPr>
          <w:rFonts w:eastAsia="方正仿宋_GBK"/>
          <w:sz w:val="32"/>
          <w:szCs w:val="32"/>
        </w:rPr>
        <w:t>）</w:t>
      </w:r>
      <w:r>
        <w:rPr>
          <w:rFonts w:hint="eastAsia" w:eastAsia="方正仿宋_GBK"/>
          <w:sz w:val="32"/>
          <w:szCs w:val="32"/>
        </w:rPr>
        <w:t>交货地点及安装要求</w:t>
      </w:r>
      <w:r>
        <w:rPr>
          <w:rFonts w:eastAsia="方正仿宋_GBK"/>
          <w:sz w:val="32"/>
          <w:szCs w:val="32"/>
        </w:rPr>
        <w:t>。</w:t>
      </w:r>
    </w:p>
    <w:p w14:paraId="2E7811B2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1、送货上门到指定的地点，</w:t>
      </w:r>
      <w:r>
        <w:rPr>
          <w:rFonts w:hint="eastAsia" w:eastAsia="方正仿宋_GBK"/>
          <w:sz w:val="32"/>
          <w:szCs w:val="32"/>
          <w:lang w:val="en-US" w:eastAsia="zh-CN"/>
        </w:rPr>
        <w:t>西畴县公安局指挥中心</w:t>
      </w:r>
      <w:r>
        <w:rPr>
          <w:rFonts w:hint="eastAsia" w:eastAsia="方正仿宋_GBK"/>
          <w:sz w:val="32"/>
          <w:szCs w:val="32"/>
        </w:rPr>
        <w:t>。</w:t>
      </w:r>
    </w:p>
    <w:p w14:paraId="3765C31F">
      <w:pPr>
        <w:ind w:firstLine="640" w:firstLineChars="200"/>
        <w:rPr>
          <w:rFonts w:eastAsia="方正仿宋_GBK"/>
          <w:sz w:val="32"/>
          <w:szCs w:val="32"/>
        </w:rPr>
      </w:pPr>
      <w:r>
        <w:rPr>
          <w:rFonts w:hint="eastAsia" w:eastAsia="方正仿宋_GBK"/>
          <w:sz w:val="32"/>
          <w:szCs w:val="32"/>
        </w:rPr>
        <w:t>2、中标方需在中标公布时间结束后3日内备全所需材料，由于我方单位特殊，在双方签订合同后，待我方通知后方可进场施工，施工工期为</w:t>
      </w:r>
      <w:r>
        <w:rPr>
          <w:rFonts w:hint="eastAsia" w:eastAsia="方正仿宋_GBK"/>
          <w:sz w:val="32"/>
          <w:szCs w:val="32"/>
          <w:lang w:val="en-US" w:eastAsia="zh-CN"/>
        </w:rPr>
        <w:t>25</w:t>
      </w:r>
      <w:r>
        <w:rPr>
          <w:rFonts w:hint="eastAsia" w:eastAsia="方正仿宋_GBK"/>
          <w:sz w:val="32"/>
          <w:szCs w:val="32"/>
        </w:rPr>
        <w:t>个工作日内。</w:t>
      </w:r>
    </w:p>
    <w:p w14:paraId="2F8088FA">
      <w:pPr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</w:t>
      </w:r>
      <w:r>
        <w:rPr>
          <w:rFonts w:hint="eastAsia" w:eastAsia="方正仿宋_GBK"/>
          <w:sz w:val="32"/>
          <w:szCs w:val="32"/>
        </w:rPr>
        <w:t>九</w:t>
      </w:r>
      <w:r>
        <w:rPr>
          <w:rFonts w:eastAsia="方正仿宋_GBK"/>
          <w:sz w:val="32"/>
          <w:szCs w:val="32"/>
        </w:rPr>
        <w:t>）</w:t>
      </w:r>
      <w:r>
        <w:rPr>
          <w:rFonts w:hint="eastAsia" w:eastAsia="方正仿宋_GBK"/>
          <w:sz w:val="32"/>
          <w:szCs w:val="32"/>
        </w:rPr>
        <w:t>该采购项目全部预留中小微企业。</w:t>
      </w:r>
    </w:p>
    <w:p w14:paraId="61FD120E">
      <w:pPr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（</w:t>
      </w:r>
      <w:r>
        <w:rPr>
          <w:rFonts w:hint="eastAsia" w:eastAsia="方正仿宋_GBK"/>
          <w:sz w:val="32"/>
          <w:szCs w:val="32"/>
        </w:rPr>
        <w:t>十</w:t>
      </w:r>
      <w:r>
        <w:rPr>
          <w:rFonts w:eastAsia="方正仿宋_GBK"/>
          <w:sz w:val="32"/>
          <w:szCs w:val="32"/>
        </w:rPr>
        <w:t>）采购标的的其他技术、服务等要求详见下表。</w:t>
      </w:r>
    </w:p>
    <w:p w14:paraId="7386D740"/>
    <w:p w14:paraId="322D010E"/>
    <w:p w14:paraId="7594FA5A"/>
    <w:tbl>
      <w:tblPr>
        <w:tblStyle w:val="4"/>
        <w:tblW w:w="0" w:type="auto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3"/>
        <w:gridCol w:w="1005"/>
        <w:gridCol w:w="6602"/>
        <w:gridCol w:w="544"/>
        <w:gridCol w:w="724"/>
        <w:gridCol w:w="1171"/>
      </w:tblGrid>
      <w:tr w14:paraId="73859A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0" w:type="auto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95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微软雅黑" w:hAnsi="微软雅黑" w:eastAsia="微软雅黑" w:cs="微软雅黑"/>
                <w:i w:val="0"/>
                <w:iCs w:val="0"/>
                <w:color w:val="000000"/>
                <w:sz w:val="48"/>
                <w:szCs w:val="48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西畴县公安局指挥中心显示屏采购项目</w:t>
            </w:r>
          </w:p>
        </w:tc>
      </w:tr>
      <w:tr w14:paraId="038D9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3FC77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06A94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2E885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参数要求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132CD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76469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4FC75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核定金额（元）</w:t>
            </w:r>
          </w:p>
        </w:tc>
      </w:tr>
      <w:tr w14:paraId="456E79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BF2F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AC36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P1.2小间距LED屏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A9B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1、LED像素点间距≤1.25mm;像素密度≥640000点/㎡，SMD封装1R1G1B， 三合一封装；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2、有效显示尺寸为8.4m*1.6875m，投标方也可根据自身产品尺寸进行拼接，但是显示尺寸长和宽均不得小于规定长宽，误差范围不超过2％；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3、单元尺寸≤600x337.5x29.5（mm），重量＜3.5kg；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4、显示屏幕峰值亮度≥600nits,峰值功耗＜460W/m2 （600nits亮度），平均功耗＜160W/m2(600nits亮度)；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5、高温工作：将样品放置40C环境试验箱，通电工作8h后恢复常温1h，试验中、试验后样品外观结构和功能无异常，功能应正常；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6、低温工作：将样品放置-10C环境试验箱，通电工作8h后恢复常温1h，试验中、试验后样品外观结构和功能无异常，功能应正常；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7、高温存储：测试样品不包装、不通电，样品放入试验箱中，试验箱内温度60C，存放4h，试验后室温恢复4h后，试验后样品外观结构和功能应正常；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8、低温存储：测试样品不包装、不通电，放入试验箱中，试验箱内温度-20C，存放4h，试验后室温恢复4h后，试验后样品外观结构和功能应正常；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9、工作湿度：最高工作环境温度下，相对湿度10%~90%，通电工作8h，无凝露；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10、储存湿度：最高工作环境温度下，相对湿度10%~90%，储存8h，无凝露；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11、符合 SJ/T 11590-2016 LED显示屏图像质量主观评价方法，从显示屏正面分别观察高速行驶中的汽车车牌，奔跑中的运动员面容，图像清晰无拖影、能轻松识 别车牌号及运动员面部特征；符合评价优；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12、符合 SJ/T 11590-2016 LED显示屏图像质量主观评价方法，观察显示屏正面及侧面人的肤色是否逼真、蓝天、白云、红旗，绿草地是否存在偏色现象；符合评价优；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13、符合 SJ/T 11590-2016 LED 显示屏图像质量主观评价方法，从正面及侧面分别观察亮度及色度是否均匀，是否有马赛克现象及灰尘效应；符合评价优；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14、符合 SJ/T 11590-2016 LED 显示屏图像质量主观评价方法，从正面及侧面分别观察模块及箱体的拼缝处，是否存在高于正常亮度的亮线条或低于正常亮度的暗线条。符合评价优；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15、依据GB/T20145-2006 标准要求，LED显示屏辐亮度≤100 W·m-2·sr-1 ，判定级别为RG0无危级，LED屏幕蓝光辐射符合国标无危级要求；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16、支架组装式设计，支架采用组装式设计，支持拆装；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17、LED单元箱体间连接网线具备L型等非矩形框架走线方式，网线利用率＞95%。符合评价为优；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18、LED屏幕通过局域网客户端，局域网WEB端，红外遥控器，射频遥控器，物理按键五种种方式实现亮度调节。符合评价为优；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19、屏幕控制参数，联屏文件设置数据通过TCP/IP通讯协议实现多级级联管理和控制。符合评价为优；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20、文持信源接入状态显示，可通过物理按键、客户端、遥控器、设备自带Web浏览器进行信源切换；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21、LED屏幕具备OSD菜单显示功能，实现可视化屏幕调节功能；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、支持通过Web浏览器，查看LED整墙的概览信息和LED屏连线状态;支持查看行列网格展示屏幕接收卡规模、在Web端鼠标移到网格上时，可展示该网格所属网口的所有接收卡单元，高亮展示，展示网线连线顺序，网口号，展示工作状态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23、支持从客户端、设备自带Web浏览器查看与绑定的接收卡的序号、接收卡型号、接收卡软件版本、网口link状态、接收卡电压、接收卡温度；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24、箱体内部灯板部分功率和信号传输采用一体式浮动触点接触连接器；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25、★LED制造商应具有较强的实验室检测能力，具备抗扰度GB/T 17618-2015 4.2.1和抗盐雾GB/T 2423.17-2008 6标准的测试能力；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26、产品需提供中国环保产品（II型）认证证书、中国环境标志产品认证证书、CCC认证证书。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DB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43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14.175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2C2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210000</w:t>
            </w:r>
          </w:p>
        </w:tc>
      </w:tr>
      <w:tr w14:paraId="48B35F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5D4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B85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集中式拼控器【输入板】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66D0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1、4路HDMI输入板；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2、4路HDMI输入板，支持4路HDMI1.4信号输入；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3、支持HDMI音频复合输入；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4、支持自定义分辨率输入；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5、视频输入接口类型：HDMI 1.4；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6、视频输入接口数：4 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7、音频输入接口数：4；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8、音频输入接口类型：HDMI复合音频 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15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D81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40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67500</w:t>
            </w:r>
          </w:p>
        </w:tc>
      </w:tr>
      <w:tr w14:paraId="16BD9C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2A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E9D0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集中式拼控器【输出板】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0C6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1、网口二合一输出板；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2、LED输出板卡：集成LED发送卡功能，网线输出，可直连LED控制卡；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3、单板卡支持920W像素点带载，单网线最大带载65W；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4、单板卡带1个3.5 mm音频口，支持1路独立音频输出；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5、支持视频信号444输出；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6、视频输出接口类型：RJ45；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7、视频输出接口数：20；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8、视频输出分辨率：输出分辨率宽(144-8192)，高(144-4320)，总像素点不超过920 W；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9、视频输出最大分辨率：4K；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10、视频输出LED带载能力：单板带载920W，宽度144~8192，高度144~4320 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11、音频输出接口类型：3.5 mm音频座子；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12、音频输出接口数：1 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91B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90E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F03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18000</w:t>
            </w:r>
          </w:p>
        </w:tc>
      </w:tr>
      <w:tr w14:paraId="7B667B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8FA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202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集中式拼控器【机箱】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809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1、★产品支持GB/T 28181-2022技术要求；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★支持通过抓屏软件，将远程笔记本桌面实时解码上墙显示，实时画面帧率≥30fps；可同时抓取8个4K信号上墙显示，且上墙前后CPU占用率无明显变化；支持在电视墙进行8画面分割显示；可对远程笔记本桌面进行整屏、单窗口、自定义区域抓屏上墙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3、支持将输入的视频图像以60fps的帧率显示输出；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4、单个信号源可多屏同步输出，单个信号源可同步跨屏输出；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5、★支持对16路信号源输入的视频融合拼接，支持分辨率为15360×8640的信号源同步上墙显示，同步延时≤2ms；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6、可通过客户端软件对信号源边缘进行裁剪，裁剪位置上、下、左、右可调整；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7、不同输出端口可同时输出不同分辨率的视频图像，可适配不同分辨率的LED屏；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8、可通过客户端软件远程操控进行图片划线标注、图片展示、视频播放、office文件演示；支持在移动端安装客户端软件，通过局域网远程控制电视墙、信号源、视频矩阵；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9、可在客户端软件中进行用户添加、删除、修改、密码设置等操作，可为不同用户设置不同管理权限（资源权限、配置权限、操作权限），最多可设置64个用户；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10、支持风扇热插拔，可根据环境温度自适应调整风扇转速；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11、可自动保存断电前的运行参数，重新加电后可恢复到断电前的状态；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12、可手动控制LED屏、LCD屏的开关机；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13、信号源中断且再次上线时，可自动与样机恢复连接；网络直连环境下，连接恢复时间≤3 s；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14、可对视频画面进行去黑边、区域放大等实时处理；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15、可通过无线网络将手机、平板、键盘等设备的视频图像进行输出显示；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、电源插头或电源引入端与外壳裸露金属部件之间的绝缘电阻，经相对湿度为91%～95%、温度为40℃、48h的受潮预处理后，加强绝缘的设备不小于5MΩ，基本绝缘的设备不小于2MΩ，Ⅲ类设备不小于1MΩ；工作电压超过500V的设备,上述绝缘电阻的阻值数应乘以一个系数,该系数等于工作电压除以500V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、★支持音视频绑定/解绑；单墙支持绑定/解绑1路音频输出；可通过矩阵界面切换音频输入、输出对应关系，可自定义编辑音频输入、输出名称，名称支持64个英文字符或32个中文字符，可编辑是否在矩阵界面中展示音频输入、输出，支持查看输入输出对应关系；同一输入可关联多个输出；支持一键解除所有音频输入、输出对应关系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18、★支持40个输入音频通道、64个输出音频通道，支持模拟音频与HDMI内嵌音频的选择输入，支持模拟音频与HDMI内嵌音频同时输出；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、★支持字幕功能，单电视墙支持3字幕，单输出接口支持2个字幕，样机总计支持12个字幕；支持横向及竖向字幕，支持数字时钟显示;支持对字体透明度、背景颜色、大小、对齐方式、移动速度、间距、位置、运动特效进行设置；支持字体库上传、删除，样机支持不少于3个字体库；字幕最大尺寸支持19400x4320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20、★单张解码板卡支持24路分辨率为1920x1080@30fps或48 路 分辨 率为1280x720@30fps图像输出；支持H264、H265、SmartH.264、SmartH.265、MJPEG等视频格式，支持PS、TS、ES、RTP等封装格式，支持G.711A、G.711U、G.722.1、G.726、AAC-LC音频格式；支持对网络源画面进行放大、缩小、移动等操作；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21、★单张解码板卡支持4路分辨率为1920x1080@30fps(MJPEG)图像输出；支持1路分辨率为8160x3920@30fps或2路分辨率为8160x1960@30fps图像输出；解码板卡最多支持创建4个墙，支持单卡单接口建屏，整机最多支持创建8个墙；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、★支持报警功能，当发生IP冲突、断网、温度异常、风扇异常、非法访问时，可联动报警及报警信息上墙，支持事件触发后联动网络设备主码流/子码流上墙报警、网络设备录像、电视墙场景报警上墙，关联的报警信息上墙持续时间为15s;支持对30日内报警事件进行检索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23、★支持条屏功能，可设置条屏并显示，条屏支持文字、图片、天气、时间、表格、可视化web页面、视频等；支持对上述元素的布局进行编辑，单条字幕支持多种字体、颜色；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24、★除对LED大屏系统的管理控制外，还需无缝接入西畴县公安局现有城市监控系统平台软件，并实现全县视频资源解码上墙，若中标产品无法实现，则中标单位须无条件更换产品，以满足招标要求。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244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FBD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65D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29700</w:t>
            </w:r>
          </w:p>
        </w:tc>
      </w:tr>
      <w:tr w14:paraId="46AE1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FA2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969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配电柜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4C0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1、控制方式：面板控制、电脑控制、电脑定时、中控控制；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2、面板控制: 一键延时启停,紧急停止,模式切换，单键单元控制；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3、电脑控制: 可一键延时启停，单路启停，紧急停止。对功率、温度、烟雾等状态实时检测,并保存操作记录,报警记录；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4、电脑定时: 每天可设置最多4组时间段，按星期启停。定好时间后，支持脱机定时运行；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5、中控控制: 提供MODBUS-RTU、MODBUS-TCP、MODBUS-UDP协议；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6、自动联机，直接操作，不用人工设置；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7、配有应急启动模块（QN-Smart/007）, PLC故障应急使用；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8、保护内容：1）零线电缆高温保护  2）高温断电保护  3）短路保护  4）烟雾保护；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9、输入电压：380V；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10、输出电压：220V；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11、额定功率：10KW；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12、输出回路：3个单相回路（AC220V）；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13、每路输出最大带载功率：≤3.33KW；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14、回路状态监测：单回路；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15、远程控制：有；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16、分步逐级上电：有；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17、计划任务上电：有；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18、温度检测：有；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19、逻辑联动控制：有；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20、主断路器：德力西32A断路器*1；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21、交流接触器：德力西32A交流接触器*1；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22、子断路器：德力西32A微型1P断路器*3；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23、控制回路断路器：德力西10A 1P+N微型漏电保护断路器*1；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24、零地排：8位铜排*1；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25、PLC控制器：正松PLC-180控制器*1；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26、PLC控制电源模块：正松DC24V电源*1；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27、串口服务器：485转USB头*1 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A5A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AE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2DB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4100</w:t>
            </w:r>
          </w:p>
        </w:tc>
      </w:tr>
      <w:tr w14:paraId="3FB19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EE4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56D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平板电脑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77A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10寸专用平板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30CE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F6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51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1980</w:t>
            </w:r>
          </w:p>
        </w:tc>
      </w:tr>
      <w:tr w14:paraId="44190C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725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84CD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HDMI线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81D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30米HDMI连接线，PC或其他输出设备至拼接控制器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3C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F84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54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8900</w:t>
            </w:r>
          </w:p>
        </w:tc>
      </w:tr>
      <w:tr w14:paraId="7864EA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39C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F80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RVV电源线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19E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3芯RVV电源线（4mm2）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导体类型：无氧铜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护套类型：PVC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线缆芯数：3芯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线缆类型（电源线）：RVV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1A1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CB7B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765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1420</w:t>
            </w:r>
          </w:p>
        </w:tc>
      </w:tr>
      <w:tr w14:paraId="050788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4C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005E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铜缆双绞线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E059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超5类网线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标准：符合ISO/IEC 11801、TIA-568.2-D、GB/T 18015.5要求,所用材料符合RoHS要求，性能指标优于现行5e类线缆100MHz标准；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标准装箱长度:305m±1.5m；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芯线规格:24AWG,无氧铜；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线缆结构：4对8芯双绞线,每芯均有颜色区分,外皮印有厂商标识及电缆编码，有撕裂绳；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F4DD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40F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7D5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1960</w:t>
            </w:r>
          </w:p>
        </w:tc>
      </w:tr>
      <w:tr w14:paraId="25EBF6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70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55E2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主电缆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4574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主配电柜至LED大屏配电柜三项五线10平方1组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5DB7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70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EA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17000</w:t>
            </w:r>
          </w:p>
        </w:tc>
      </w:tr>
      <w:tr w14:paraId="05D8E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48C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470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融合管理软件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1AF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电视墙管理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1、支持管理LCD、LED电视墙；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2、支持信号源预览，支持电视墙可视化操作；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3、支持登录网络源的账号密码进行网络源预览；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4、支持窗口创建、清空、移动、改变大小、置顶、置底操作；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5、支持窗口放大还原、全屏显示、画面拼接，支持窗口锁定；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6、支持监控画面及本地源画面上墙操作；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7、支持添加字幕，编辑字幕信息，包括文字字幕、时钟字幕等，支持编辑字幕背景色，透明度；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8、支持预编辑功能：支持进入预编辑操作界面，对电视墙进行进行操作，实际电视墙无变化，通过上墙按键将配置的电视墙界面投到大屏中；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9、支持场景保存，支持场景调用及场景切换；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10、支持一键清空所有窗口信息；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中控管理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1、支持在触控屏上控制窗帘、灯光、空调等设备；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2、支持通过可视化界面调用中控接口；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3、支持幕布升降控制；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4、支持灯光开光、亮度控制，支持自定义灯光名称；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5、支持空调开关、模式选择、温度调节、风速控制；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6、支持窗帘控制；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7、支持开关控制，支持自定义开关名称；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8、支持配置中控主机矩阵输入输出通道关系，并进行矩阵图像切换；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9、支持中控主机自带及外设音频设备的音频控制；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10、支持实现中控主机环境传感器接入的数据展示（温度、湿度、PM2.5）；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11、支持一键调用情景模式；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12、支持中控主机Web端进行APP界面类型的编辑（多媒体控制、环境控制、开关、情景模式等），通过Web可配置界面类型有无；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播控管理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1、支持多媒体内容图片、视频、文字、office文件的增删改查；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2、支持编辑内容名称及描述信息；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3、支持内容窗口的增、删、移动等操作；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4、支持播控内容的可前进、后退、刷新操作；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5、支持通视频播放进度的控制，可以看到对应的视频缩略图；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6、CS客户端数量：4；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7、web客户端数量：8；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8、移动客户端数量：4；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9、编码设备接入数：300；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10、监控点数量：300；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11、报警输入：64；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12、报警输出：64；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13、流媒体接入数：2；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14、墙个数：32；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15、解码设备接入数：8；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16、发送卡数量：128；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17、单LCD墙最大规格：16*20；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18、单LED墙最大规格：16*20；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19、可配置视图个数：128；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20、视图组：10；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21、每个视图组下最大视图数量：10；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22、运维模块：支持；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23、报警模块：支持 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F4B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套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47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49E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</w:t>
            </w:r>
          </w:p>
        </w:tc>
      </w:tr>
      <w:tr w14:paraId="1E40FD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3A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D8C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交换机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A550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三层网管交换机,交换容量396Gbps/3.96Tbps,包转发率108Mpps/144Mpps;24个10/100/1000Mbps自适应电口,4个SFP千兆光口;支持静态路由、三层聚合口、ACL、端口镜像等功能,支持小贝APP和云平台统一管理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66D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6E9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82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3600</w:t>
            </w:r>
          </w:p>
        </w:tc>
      </w:tr>
      <w:tr w14:paraId="1716AE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82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437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交换机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EA1D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三层网管交换机,交换容量758Gbps/7.58Tbps,包转发率148Mpps/222Mpps;48个10/100/1000Mbps自适应电口,4个SFP千兆光口;支持静态路由、三层聚合口、ACL、端口镜像等功能,支持小贝APP和云平台统一管理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B5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2F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A4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7360</w:t>
            </w:r>
          </w:p>
        </w:tc>
      </w:tr>
      <w:tr w14:paraId="4F7DF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B54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B95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钢结构及包边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D73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根据用户方提供的图纸及现场勘测，按设计图进行施工（采用镀锌方管制作）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专为显示屏定制的拉丝不锈钢包边（不锈钢厚度1.0mm，颜色可根据用户需求定制）。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8BD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86C1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14.175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87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15000</w:t>
            </w:r>
          </w:p>
        </w:tc>
      </w:tr>
      <w:tr w14:paraId="711BB8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0F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5C89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标准安装服务包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EA1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1、图纸方案；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2、支架安装；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3、屏幕及发送卡安装；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4、配电柜安装；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5、系统调试；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6、使用培训。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AB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410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14.175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557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13480</w:t>
            </w:r>
          </w:p>
        </w:tc>
      </w:tr>
      <w:tr w14:paraId="5298FC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3DA602A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FCF89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5BF3C24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2BF7389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 w14:paraId="64ADF91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B8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400000</w:t>
            </w:r>
          </w:p>
        </w:tc>
      </w:tr>
    </w:tbl>
    <w:p w14:paraId="59D0B925"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259"/>
    <w:rsid w:val="0011300E"/>
    <w:rsid w:val="001C07A1"/>
    <w:rsid w:val="002F4666"/>
    <w:rsid w:val="003054A9"/>
    <w:rsid w:val="003C2132"/>
    <w:rsid w:val="00460AC1"/>
    <w:rsid w:val="00544259"/>
    <w:rsid w:val="0073616E"/>
    <w:rsid w:val="007B7B24"/>
    <w:rsid w:val="00896998"/>
    <w:rsid w:val="00904750"/>
    <w:rsid w:val="00A7641E"/>
    <w:rsid w:val="00A818CC"/>
    <w:rsid w:val="00C24245"/>
    <w:rsid w:val="00C31694"/>
    <w:rsid w:val="00D6262A"/>
    <w:rsid w:val="00D71DE9"/>
    <w:rsid w:val="00DE19E5"/>
    <w:rsid w:val="22D141D3"/>
    <w:rsid w:val="257B40CB"/>
    <w:rsid w:val="45C724F4"/>
    <w:rsid w:val="4DA85365"/>
    <w:rsid w:val="5A490BF9"/>
    <w:rsid w:val="681C7458"/>
    <w:rsid w:val="6D371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  <w:style w:type="character" w:customStyle="1" w:styleId="8">
    <w:name w:val="font1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9">
    <w:name w:val="font4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Home</Company>
  <Pages>10</Pages>
  <Words>2479</Words>
  <Characters>2499</Characters>
  <Lines>127</Lines>
  <Paragraphs>35</Paragraphs>
  <TotalTime>127</TotalTime>
  <ScaleCrop>false</ScaleCrop>
  <LinksUpToDate>false</LinksUpToDate>
  <CharactersWithSpaces>2507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2025-04-08T06:30:00Z</dcterms:created>
  <dc:creator>China</dc:creator>
  <cp:lastModifiedBy>.com</cp:lastModifiedBy>
  <dcterms:modified xsi:type="dcterms:W3CDTF">2025-04-10T07:00:04Z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eyJoZGlkIjoiNmE4OTVkZTQ5MjcxODViNTIzNWViOWU1YjMzYTk1MGMiLCJ1c2VySWQiOiIzNjkzMTA5NDkifQ==</vt:lpwstr>
  </property>
  <property fmtid="{D5CDD505-2E9C-101B-9397-08002B2CF9AE}" pid="3" name="KSOProductBuildVer">
    <vt:lpwstr>2052-12.1.0.20784</vt:lpwstr>
  </property>
  <property fmtid="{D5CDD505-2E9C-101B-9397-08002B2CF9AE}" pid="4" name="ICV">
    <vt:lpwstr>6DEB9127CD92471F8EE521D77DCE0DCD_13</vt:lpwstr>
  </property>
</Properties>
</file>