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D5DB9">
      <w:pPr>
        <w:widowControl/>
        <w:ind w:left="1324" w:leftChars="210" w:hanging="883" w:hangingChars="200"/>
        <w:jc w:val="left"/>
        <w:rPr>
          <w:rFonts w:ascii="黑体" w:hAnsi="黑体" w:eastAsia="黑体" w:cs="黑体"/>
          <w:sz w:val="44"/>
          <w:szCs w:val="44"/>
        </w:rPr>
      </w:pPr>
      <w:r>
        <w:rPr>
          <w:rFonts w:hint="eastAsia" w:ascii="黑体" w:hAnsi="黑体" w:eastAsia="黑体" w:cs="黑体"/>
          <w:b/>
          <w:bCs/>
          <w:color w:val="212529"/>
          <w:kern w:val="0"/>
          <w:sz w:val="44"/>
          <w:szCs w:val="44"/>
        </w:rPr>
        <w:t>国家传染病智能监测预警硬件采购项目</w:t>
      </w:r>
    </w:p>
    <w:p w14:paraId="21FD599F">
      <w:pPr>
        <w:spacing w:line="360" w:lineRule="auto"/>
        <w:rPr>
          <w:bCs/>
          <w:sz w:val="24"/>
          <w:szCs w:val="24"/>
        </w:rPr>
      </w:pPr>
    </w:p>
    <w:p w14:paraId="223CFF98">
      <w:pPr>
        <w:spacing w:line="360" w:lineRule="auto"/>
        <w:rPr>
          <w:bCs/>
          <w:sz w:val="24"/>
          <w:szCs w:val="24"/>
        </w:rPr>
      </w:pPr>
    </w:p>
    <w:p w14:paraId="6FA857EC">
      <w:pPr>
        <w:numPr>
          <w:ilvl w:val="0"/>
          <w:numId w:val="1"/>
        </w:numPr>
        <w:spacing w:line="360" w:lineRule="auto"/>
        <w:rPr>
          <w:b/>
          <w:sz w:val="28"/>
          <w:szCs w:val="28"/>
        </w:rPr>
      </w:pPr>
      <w:r>
        <w:rPr>
          <w:rFonts w:hint="eastAsia"/>
          <w:b/>
          <w:sz w:val="28"/>
          <w:szCs w:val="28"/>
        </w:rPr>
        <w:t>项目背景：</w:t>
      </w:r>
    </w:p>
    <w:p w14:paraId="447D7121">
      <w:pPr>
        <w:spacing w:line="360" w:lineRule="auto"/>
        <w:ind w:firstLine="480" w:firstLineChars="200"/>
        <w:rPr>
          <w:bCs/>
          <w:sz w:val="24"/>
          <w:szCs w:val="24"/>
        </w:rPr>
      </w:pPr>
      <w:r>
        <w:rPr>
          <w:rFonts w:hint="eastAsia"/>
          <w:bCs/>
          <w:sz w:val="24"/>
          <w:szCs w:val="24"/>
        </w:rPr>
        <w:t>我院为响应云南省疾控中心要求，</w:t>
      </w:r>
      <w:r>
        <w:rPr>
          <w:bCs/>
          <w:sz w:val="24"/>
          <w:szCs w:val="24"/>
        </w:rPr>
        <w:t>为加快推动国家传染病智能监测预警前置软件部署应用有关工作，实现医疗机构传染病相关数据自动化交换，提高数据集成、风险识别、智能分析和及时预警能力，</w:t>
      </w:r>
      <w:r>
        <w:rPr>
          <w:rFonts w:hint="eastAsia"/>
          <w:bCs/>
          <w:sz w:val="24"/>
          <w:szCs w:val="24"/>
        </w:rPr>
        <w:t>按照</w:t>
      </w:r>
      <w:r>
        <w:rPr>
          <w:bCs/>
          <w:sz w:val="24"/>
          <w:szCs w:val="24"/>
        </w:rPr>
        <w:t>国家疾控局组织编制</w:t>
      </w:r>
      <w:r>
        <w:rPr>
          <w:rFonts w:hint="eastAsia"/>
          <w:bCs/>
          <w:sz w:val="24"/>
          <w:szCs w:val="24"/>
        </w:rPr>
        <w:t>的</w:t>
      </w:r>
      <w:r>
        <w:rPr>
          <w:bCs/>
          <w:sz w:val="24"/>
          <w:szCs w:val="24"/>
        </w:rPr>
        <w:t>《国家传染病智能监测预警前置软件服务器软硬件环境配置要求(试行)》部署实施</w:t>
      </w:r>
      <w:r>
        <w:rPr>
          <w:rFonts w:hint="eastAsia"/>
          <w:bCs/>
          <w:sz w:val="24"/>
          <w:szCs w:val="24"/>
        </w:rPr>
        <w:t>硬件。</w:t>
      </w:r>
    </w:p>
    <w:p w14:paraId="1971FA6E">
      <w:pPr>
        <w:spacing w:line="360" w:lineRule="auto"/>
        <w:rPr>
          <w:b/>
          <w:sz w:val="24"/>
          <w:szCs w:val="24"/>
        </w:rPr>
      </w:pPr>
    </w:p>
    <w:p w14:paraId="4DD60DDB">
      <w:pPr>
        <w:spacing w:line="360" w:lineRule="auto"/>
        <w:ind w:firstLine="482" w:firstLineChars="200"/>
        <w:rPr>
          <w:b/>
          <w:sz w:val="24"/>
          <w:szCs w:val="24"/>
        </w:rPr>
      </w:pPr>
    </w:p>
    <w:p w14:paraId="2022F535">
      <w:pPr>
        <w:numPr>
          <w:ilvl w:val="0"/>
          <w:numId w:val="1"/>
        </w:numPr>
        <w:spacing w:line="360" w:lineRule="auto"/>
        <w:rPr>
          <w:b/>
          <w:sz w:val="28"/>
          <w:szCs w:val="28"/>
        </w:rPr>
      </w:pPr>
      <w:r>
        <w:rPr>
          <w:rFonts w:hint="eastAsia"/>
          <w:b/>
          <w:sz w:val="28"/>
          <w:szCs w:val="28"/>
        </w:rPr>
        <w:t>产品清单</w:t>
      </w:r>
    </w:p>
    <w:p w14:paraId="11128A9F">
      <w:pPr>
        <w:spacing w:line="360" w:lineRule="auto"/>
        <w:rPr>
          <w:b/>
          <w:sz w:val="24"/>
          <w:szCs w:val="24"/>
        </w:rPr>
      </w:pPr>
    </w:p>
    <w:tbl>
      <w:tblPr>
        <w:tblStyle w:val="7"/>
        <w:tblW w:w="8519" w:type="dxa"/>
        <w:jc w:val="center"/>
        <w:tblLayout w:type="autofit"/>
        <w:tblCellMar>
          <w:top w:w="0" w:type="dxa"/>
          <w:left w:w="108" w:type="dxa"/>
          <w:bottom w:w="0" w:type="dxa"/>
          <w:right w:w="108" w:type="dxa"/>
        </w:tblCellMar>
      </w:tblPr>
      <w:tblGrid>
        <w:gridCol w:w="941"/>
        <w:gridCol w:w="2639"/>
        <w:gridCol w:w="1009"/>
        <w:gridCol w:w="998"/>
        <w:gridCol w:w="1466"/>
        <w:gridCol w:w="1466"/>
      </w:tblGrid>
      <w:tr w14:paraId="6C6E9960">
        <w:tblPrEx>
          <w:tblCellMar>
            <w:top w:w="0" w:type="dxa"/>
            <w:left w:w="108" w:type="dxa"/>
            <w:bottom w:w="0" w:type="dxa"/>
            <w:right w:w="108" w:type="dxa"/>
          </w:tblCellMar>
        </w:tblPrEx>
        <w:trPr>
          <w:trHeight w:val="535" w:hRule="atLeast"/>
          <w:jc w:val="center"/>
        </w:trPr>
        <w:tc>
          <w:tcPr>
            <w:tcW w:w="941" w:type="dxa"/>
            <w:tcBorders>
              <w:top w:val="single" w:color="auto" w:sz="4" w:space="0"/>
              <w:left w:val="single" w:color="auto" w:sz="4" w:space="0"/>
              <w:bottom w:val="nil"/>
              <w:right w:val="single" w:color="auto" w:sz="4" w:space="0"/>
            </w:tcBorders>
            <w:shd w:val="clear" w:color="auto" w:fill="auto"/>
            <w:vAlign w:val="center"/>
          </w:tcPr>
          <w:p w14:paraId="250C260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639" w:type="dxa"/>
            <w:tcBorders>
              <w:top w:val="single" w:color="auto" w:sz="4" w:space="0"/>
              <w:left w:val="nil"/>
              <w:bottom w:val="nil"/>
              <w:right w:val="single" w:color="auto" w:sz="4" w:space="0"/>
            </w:tcBorders>
            <w:shd w:val="clear" w:color="auto" w:fill="auto"/>
            <w:vAlign w:val="center"/>
          </w:tcPr>
          <w:p w14:paraId="664BC9D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1009" w:type="dxa"/>
            <w:tcBorders>
              <w:top w:val="single" w:color="auto" w:sz="4" w:space="0"/>
              <w:left w:val="nil"/>
              <w:bottom w:val="nil"/>
              <w:right w:val="single" w:color="auto" w:sz="4" w:space="0"/>
            </w:tcBorders>
            <w:shd w:val="clear" w:color="auto" w:fill="auto"/>
            <w:vAlign w:val="center"/>
          </w:tcPr>
          <w:p w14:paraId="1FE35B4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998" w:type="dxa"/>
            <w:tcBorders>
              <w:top w:val="single" w:color="auto" w:sz="4" w:space="0"/>
              <w:left w:val="nil"/>
              <w:bottom w:val="nil"/>
              <w:right w:val="single" w:color="auto" w:sz="4" w:space="0"/>
            </w:tcBorders>
            <w:shd w:val="clear" w:color="auto" w:fill="auto"/>
            <w:vAlign w:val="center"/>
          </w:tcPr>
          <w:p w14:paraId="535394D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1466" w:type="dxa"/>
            <w:tcBorders>
              <w:top w:val="single" w:color="auto" w:sz="4" w:space="0"/>
              <w:left w:val="nil"/>
              <w:bottom w:val="nil"/>
              <w:right w:val="single" w:color="auto" w:sz="4" w:space="0"/>
            </w:tcBorders>
            <w:shd w:val="clear" w:color="auto" w:fill="auto"/>
            <w:vAlign w:val="center"/>
          </w:tcPr>
          <w:p w14:paraId="7E4F8CC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限价</w:t>
            </w:r>
          </w:p>
        </w:tc>
        <w:tc>
          <w:tcPr>
            <w:tcW w:w="1466" w:type="dxa"/>
            <w:tcBorders>
              <w:top w:val="single" w:color="auto" w:sz="4" w:space="0"/>
              <w:left w:val="nil"/>
              <w:bottom w:val="nil"/>
              <w:right w:val="single" w:color="auto" w:sz="4" w:space="0"/>
            </w:tcBorders>
            <w:shd w:val="clear" w:color="auto" w:fill="auto"/>
            <w:vAlign w:val="center"/>
          </w:tcPr>
          <w:p w14:paraId="52B09BA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5A990C40">
        <w:tblPrEx>
          <w:tblCellMar>
            <w:top w:w="0" w:type="dxa"/>
            <w:left w:w="108" w:type="dxa"/>
            <w:bottom w:w="0" w:type="dxa"/>
            <w:right w:w="108" w:type="dxa"/>
          </w:tblCellMar>
        </w:tblPrEx>
        <w:trPr>
          <w:trHeight w:val="571"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14:paraId="22051CE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1</w:t>
            </w:r>
          </w:p>
        </w:tc>
        <w:tc>
          <w:tcPr>
            <w:tcW w:w="2639" w:type="dxa"/>
            <w:tcBorders>
              <w:top w:val="single" w:color="auto" w:sz="4" w:space="0"/>
              <w:left w:val="nil"/>
              <w:bottom w:val="single" w:color="auto" w:sz="4" w:space="0"/>
              <w:right w:val="single" w:color="auto" w:sz="4" w:space="0"/>
            </w:tcBorders>
            <w:shd w:val="clear" w:color="auto" w:fill="auto"/>
            <w:vAlign w:val="center"/>
          </w:tcPr>
          <w:p w14:paraId="59D209E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前置服务器</w:t>
            </w:r>
          </w:p>
        </w:tc>
        <w:tc>
          <w:tcPr>
            <w:tcW w:w="1009" w:type="dxa"/>
            <w:tcBorders>
              <w:top w:val="single" w:color="auto" w:sz="4" w:space="0"/>
              <w:left w:val="nil"/>
              <w:bottom w:val="single" w:color="auto" w:sz="4" w:space="0"/>
              <w:right w:val="single" w:color="auto" w:sz="4" w:space="0"/>
            </w:tcBorders>
            <w:shd w:val="clear" w:color="auto" w:fill="auto"/>
            <w:vAlign w:val="center"/>
          </w:tcPr>
          <w:p w14:paraId="7D8AB4D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台</w:t>
            </w:r>
          </w:p>
        </w:tc>
        <w:tc>
          <w:tcPr>
            <w:tcW w:w="998" w:type="dxa"/>
            <w:tcBorders>
              <w:top w:val="single" w:color="auto" w:sz="4" w:space="0"/>
              <w:left w:val="nil"/>
              <w:bottom w:val="single" w:color="auto" w:sz="4" w:space="0"/>
              <w:right w:val="single" w:color="auto" w:sz="4" w:space="0"/>
            </w:tcBorders>
            <w:shd w:val="clear" w:color="auto" w:fill="auto"/>
            <w:vAlign w:val="center"/>
          </w:tcPr>
          <w:p w14:paraId="0B4145C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1</w:t>
            </w:r>
          </w:p>
        </w:tc>
        <w:tc>
          <w:tcPr>
            <w:tcW w:w="1466" w:type="dxa"/>
            <w:tcBorders>
              <w:top w:val="single" w:color="auto" w:sz="4" w:space="0"/>
              <w:left w:val="nil"/>
              <w:bottom w:val="single" w:color="auto" w:sz="4" w:space="0"/>
              <w:right w:val="single" w:color="auto" w:sz="4" w:space="0"/>
            </w:tcBorders>
            <w:shd w:val="clear" w:color="auto" w:fill="auto"/>
            <w:vAlign w:val="center"/>
          </w:tcPr>
          <w:p w14:paraId="1E768B5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72000元</w:t>
            </w:r>
          </w:p>
        </w:tc>
        <w:tc>
          <w:tcPr>
            <w:tcW w:w="1466" w:type="dxa"/>
            <w:tcBorders>
              <w:top w:val="single" w:color="auto" w:sz="4" w:space="0"/>
              <w:left w:val="nil"/>
              <w:bottom w:val="single" w:color="auto" w:sz="4" w:space="0"/>
              <w:right w:val="single" w:color="auto" w:sz="4" w:space="0"/>
            </w:tcBorders>
            <w:shd w:val="clear" w:color="auto" w:fill="auto"/>
            <w:vAlign w:val="center"/>
          </w:tcPr>
          <w:p w14:paraId="57FF212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核心产品</w:t>
            </w:r>
          </w:p>
        </w:tc>
      </w:tr>
      <w:tr w14:paraId="6EB2F7D2">
        <w:tblPrEx>
          <w:tblCellMar>
            <w:top w:w="0" w:type="dxa"/>
            <w:left w:w="108" w:type="dxa"/>
            <w:bottom w:w="0" w:type="dxa"/>
            <w:right w:w="108" w:type="dxa"/>
          </w:tblCellMar>
        </w:tblPrEx>
        <w:trPr>
          <w:trHeight w:val="568" w:hRule="atLeast"/>
          <w:jc w:val="center"/>
        </w:trPr>
        <w:tc>
          <w:tcPr>
            <w:tcW w:w="941" w:type="dxa"/>
            <w:tcBorders>
              <w:top w:val="nil"/>
              <w:left w:val="single" w:color="auto" w:sz="4" w:space="0"/>
              <w:bottom w:val="single" w:color="auto" w:sz="4" w:space="0"/>
              <w:right w:val="single" w:color="auto" w:sz="4" w:space="0"/>
            </w:tcBorders>
            <w:shd w:val="clear" w:color="auto" w:fill="auto"/>
            <w:vAlign w:val="center"/>
          </w:tcPr>
          <w:p w14:paraId="4C858FF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639" w:type="dxa"/>
            <w:tcBorders>
              <w:top w:val="nil"/>
              <w:left w:val="nil"/>
              <w:bottom w:val="single" w:color="auto" w:sz="4" w:space="0"/>
              <w:right w:val="single" w:color="auto" w:sz="4" w:space="0"/>
            </w:tcBorders>
            <w:shd w:val="clear" w:color="auto" w:fill="auto"/>
            <w:vAlign w:val="center"/>
          </w:tcPr>
          <w:p w14:paraId="783B6FEA">
            <w:pPr>
              <w:widowControl/>
              <w:jc w:val="center"/>
              <w:rPr>
                <w:rFonts w:ascii="宋体" w:hAnsi="宋体" w:eastAsia="宋体" w:cs="宋体"/>
                <w:kern w:val="0"/>
                <w:sz w:val="24"/>
                <w:szCs w:val="24"/>
              </w:rPr>
            </w:pPr>
            <w:r>
              <w:rPr>
                <w:rFonts w:hint="eastAsia" w:ascii="宋体" w:hAnsi="宋体" w:eastAsia="宋体" w:cs="宋体"/>
                <w:kern w:val="0"/>
                <w:sz w:val="24"/>
                <w:szCs w:val="24"/>
              </w:rPr>
              <w:t>VPN</w:t>
            </w:r>
          </w:p>
        </w:tc>
        <w:tc>
          <w:tcPr>
            <w:tcW w:w="1009" w:type="dxa"/>
            <w:tcBorders>
              <w:top w:val="nil"/>
              <w:left w:val="nil"/>
              <w:bottom w:val="single" w:color="auto" w:sz="4" w:space="0"/>
              <w:right w:val="single" w:color="auto" w:sz="4" w:space="0"/>
            </w:tcBorders>
            <w:shd w:val="clear" w:color="auto" w:fill="auto"/>
            <w:vAlign w:val="center"/>
          </w:tcPr>
          <w:p w14:paraId="0B0D0010">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998" w:type="dxa"/>
            <w:tcBorders>
              <w:top w:val="nil"/>
              <w:left w:val="nil"/>
              <w:bottom w:val="single" w:color="auto" w:sz="4" w:space="0"/>
              <w:right w:val="single" w:color="auto" w:sz="4" w:space="0"/>
            </w:tcBorders>
            <w:shd w:val="clear" w:color="auto" w:fill="auto"/>
            <w:vAlign w:val="center"/>
          </w:tcPr>
          <w:p w14:paraId="7B09FCD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66" w:type="dxa"/>
            <w:tcBorders>
              <w:top w:val="nil"/>
              <w:left w:val="nil"/>
              <w:bottom w:val="single" w:color="auto" w:sz="4" w:space="0"/>
              <w:right w:val="single" w:color="auto" w:sz="4" w:space="0"/>
            </w:tcBorders>
            <w:shd w:val="clear" w:color="auto" w:fill="auto"/>
            <w:vAlign w:val="center"/>
          </w:tcPr>
          <w:p w14:paraId="3F77FB4D">
            <w:pPr>
              <w:widowControl/>
              <w:jc w:val="center"/>
              <w:rPr>
                <w:rFonts w:ascii="宋体" w:hAnsi="宋体" w:eastAsia="宋体" w:cs="宋体"/>
                <w:kern w:val="0"/>
                <w:sz w:val="24"/>
                <w:szCs w:val="24"/>
              </w:rPr>
            </w:pPr>
            <w:r>
              <w:rPr>
                <w:rFonts w:hint="eastAsia" w:ascii="宋体" w:hAnsi="宋体" w:eastAsia="宋体" w:cs="宋体"/>
                <w:kern w:val="0"/>
                <w:sz w:val="24"/>
                <w:szCs w:val="24"/>
              </w:rPr>
              <w:t>48000元</w:t>
            </w:r>
          </w:p>
        </w:tc>
        <w:tc>
          <w:tcPr>
            <w:tcW w:w="1466" w:type="dxa"/>
            <w:tcBorders>
              <w:top w:val="nil"/>
              <w:left w:val="nil"/>
              <w:bottom w:val="single" w:color="auto" w:sz="4" w:space="0"/>
              <w:right w:val="single" w:color="auto" w:sz="4" w:space="0"/>
            </w:tcBorders>
            <w:shd w:val="clear" w:color="auto" w:fill="auto"/>
            <w:vAlign w:val="center"/>
          </w:tcPr>
          <w:p w14:paraId="47D0861F">
            <w:pPr>
              <w:widowControl/>
              <w:jc w:val="center"/>
              <w:rPr>
                <w:rFonts w:ascii="宋体" w:hAnsi="宋体" w:eastAsia="宋体" w:cs="宋体"/>
                <w:kern w:val="0"/>
                <w:sz w:val="24"/>
                <w:szCs w:val="24"/>
              </w:rPr>
            </w:pPr>
          </w:p>
        </w:tc>
      </w:tr>
      <w:tr w14:paraId="18C9182C">
        <w:tblPrEx>
          <w:tblCellMar>
            <w:top w:w="0" w:type="dxa"/>
            <w:left w:w="108" w:type="dxa"/>
            <w:bottom w:w="0" w:type="dxa"/>
            <w:right w:w="108" w:type="dxa"/>
          </w:tblCellMar>
        </w:tblPrEx>
        <w:trPr>
          <w:trHeight w:val="531" w:hRule="atLeast"/>
          <w:jc w:val="center"/>
        </w:trPr>
        <w:tc>
          <w:tcPr>
            <w:tcW w:w="941" w:type="dxa"/>
            <w:tcBorders>
              <w:top w:val="nil"/>
              <w:left w:val="single" w:color="auto" w:sz="4" w:space="0"/>
              <w:bottom w:val="single" w:color="auto" w:sz="4" w:space="0"/>
              <w:right w:val="single" w:color="auto" w:sz="4" w:space="0"/>
            </w:tcBorders>
            <w:shd w:val="clear" w:color="auto" w:fill="auto"/>
            <w:vAlign w:val="center"/>
          </w:tcPr>
          <w:p w14:paraId="589C9DD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639" w:type="dxa"/>
            <w:tcBorders>
              <w:top w:val="nil"/>
              <w:left w:val="nil"/>
              <w:bottom w:val="single" w:color="auto" w:sz="4" w:space="0"/>
              <w:right w:val="single" w:color="auto" w:sz="4" w:space="0"/>
            </w:tcBorders>
            <w:shd w:val="clear" w:color="auto" w:fill="auto"/>
            <w:vAlign w:val="center"/>
          </w:tcPr>
          <w:p w14:paraId="44A7C150">
            <w:pPr>
              <w:widowControl/>
              <w:jc w:val="center"/>
              <w:rPr>
                <w:rFonts w:ascii="宋体" w:hAnsi="宋体" w:eastAsia="宋体" w:cs="宋体"/>
                <w:kern w:val="0"/>
                <w:sz w:val="24"/>
                <w:szCs w:val="24"/>
              </w:rPr>
            </w:pPr>
            <w:r>
              <w:rPr>
                <w:rFonts w:hint="eastAsia" w:ascii="宋体" w:hAnsi="宋体" w:eastAsia="宋体" w:cs="宋体"/>
                <w:kern w:val="0"/>
                <w:sz w:val="24"/>
                <w:szCs w:val="24"/>
              </w:rPr>
              <w:t>防火墙</w:t>
            </w:r>
          </w:p>
        </w:tc>
        <w:tc>
          <w:tcPr>
            <w:tcW w:w="1009" w:type="dxa"/>
            <w:tcBorders>
              <w:top w:val="nil"/>
              <w:left w:val="nil"/>
              <w:bottom w:val="single" w:color="auto" w:sz="4" w:space="0"/>
              <w:right w:val="single" w:color="auto" w:sz="4" w:space="0"/>
            </w:tcBorders>
            <w:shd w:val="clear" w:color="auto" w:fill="auto"/>
            <w:vAlign w:val="center"/>
          </w:tcPr>
          <w:p w14:paraId="1F23499E">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998" w:type="dxa"/>
            <w:tcBorders>
              <w:top w:val="nil"/>
              <w:left w:val="nil"/>
              <w:bottom w:val="single" w:color="auto" w:sz="4" w:space="0"/>
              <w:right w:val="single" w:color="auto" w:sz="4" w:space="0"/>
            </w:tcBorders>
            <w:shd w:val="clear" w:color="auto" w:fill="auto"/>
            <w:vAlign w:val="center"/>
          </w:tcPr>
          <w:p w14:paraId="44C57FD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66" w:type="dxa"/>
            <w:tcBorders>
              <w:top w:val="nil"/>
              <w:left w:val="nil"/>
              <w:bottom w:val="single" w:color="auto" w:sz="4" w:space="0"/>
              <w:right w:val="single" w:color="auto" w:sz="4" w:space="0"/>
            </w:tcBorders>
            <w:shd w:val="clear" w:color="auto" w:fill="auto"/>
            <w:vAlign w:val="center"/>
          </w:tcPr>
          <w:p w14:paraId="755AB97C">
            <w:pPr>
              <w:widowControl/>
              <w:jc w:val="center"/>
              <w:rPr>
                <w:rFonts w:ascii="宋体" w:hAnsi="宋体" w:eastAsia="宋体" w:cs="宋体"/>
                <w:kern w:val="0"/>
                <w:sz w:val="24"/>
                <w:szCs w:val="24"/>
              </w:rPr>
            </w:pPr>
            <w:r>
              <w:rPr>
                <w:rFonts w:hint="eastAsia" w:ascii="宋体" w:hAnsi="宋体" w:eastAsia="宋体" w:cs="宋体"/>
                <w:kern w:val="0"/>
                <w:sz w:val="24"/>
                <w:szCs w:val="24"/>
              </w:rPr>
              <w:t>30000元</w:t>
            </w:r>
          </w:p>
        </w:tc>
        <w:tc>
          <w:tcPr>
            <w:tcW w:w="1466" w:type="dxa"/>
            <w:tcBorders>
              <w:top w:val="nil"/>
              <w:left w:val="nil"/>
              <w:bottom w:val="single" w:color="auto" w:sz="4" w:space="0"/>
              <w:right w:val="single" w:color="auto" w:sz="4" w:space="0"/>
            </w:tcBorders>
            <w:shd w:val="clear" w:color="auto" w:fill="auto"/>
            <w:vAlign w:val="center"/>
          </w:tcPr>
          <w:p w14:paraId="4501B6F5">
            <w:pPr>
              <w:widowControl/>
              <w:jc w:val="center"/>
              <w:rPr>
                <w:rFonts w:ascii="宋体" w:hAnsi="宋体" w:eastAsia="宋体" w:cs="宋体"/>
                <w:b/>
                <w:bCs/>
                <w:kern w:val="0"/>
                <w:sz w:val="24"/>
                <w:szCs w:val="24"/>
              </w:rPr>
            </w:pPr>
          </w:p>
        </w:tc>
      </w:tr>
    </w:tbl>
    <w:p w14:paraId="7F57525A">
      <w:pPr>
        <w:spacing w:line="360" w:lineRule="auto"/>
        <w:rPr>
          <w:b/>
          <w:sz w:val="24"/>
          <w:szCs w:val="24"/>
        </w:rPr>
      </w:pPr>
      <w:r>
        <w:rPr>
          <w:rFonts w:hint="eastAsia"/>
          <w:b/>
          <w:sz w:val="24"/>
          <w:szCs w:val="24"/>
        </w:rPr>
        <w:t xml:space="preserve">                                        合计： 150000元</w:t>
      </w:r>
    </w:p>
    <w:p w14:paraId="167FD6CE">
      <w:pPr>
        <w:spacing w:line="360" w:lineRule="auto"/>
        <w:rPr>
          <w:b/>
          <w:sz w:val="24"/>
          <w:szCs w:val="24"/>
        </w:rPr>
      </w:pPr>
    </w:p>
    <w:p w14:paraId="28B54479">
      <w:pPr>
        <w:numPr>
          <w:ilvl w:val="0"/>
          <w:numId w:val="1"/>
        </w:numPr>
        <w:spacing w:line="360" w:lineRule="auto"/>
        <w:rPr>
          <w:b/>
          <w:sz w:val="28"/>
          <w:szCs w:val="28"/>
        </w:rPr>
      </w:pPr>
      <w:r>
        <w:rPr>
          <w:rFonts w:hint="eastAsia"/>
          <w:b/>
          <w:sz w:val="28"/>
          <w:szCs w:val="28"/>
        </w:rPr>
        <w:t>技术参数</w:t>
      </w:r>
    </w:p>
    <w:tbl>
      <w:tblPr>
        <w:tblStyle w:val="7"/>
        <w:tblpPr w:leftFromText="180" w:rightFromText="180" w:vertAnchor="text" w:horzAnchor="page" w:tblpX="1585" w:tblpY="445"/>
        <w:tblOverlap w:val="never"/>
        <w:tblW w:w="9588" w:type="dxa"/>
        <w:tblInd w:w="0" w:type="dxa"/>
        <w:tblLayout w:type="autofit"/>
        <w:tblCellMar>
          <w:top w:w="0" w:type="dxa"/>
          <w:left w:w="108" w:type="dxa"/>
          <w:bottom w:w="0" w:type="dxa"/>
          <w:right w:w="108" w:type="dxa"/>
        </w:tblCellMar>
      </w:tblPr>
      <w:tblGrid>
        <w:gridCol w:w="801"/>
        <w:gridCol w:w="1316"/>
        <w:gridCol w:w="6758"/>
        <w:gridCol w:w="713"/>
      </w:tblGrid>
      <w:tr w14:paraId="61189AF6">
        <w:tblPrEx>
          <w:tblCellMar>
            <w:top w:w="0" w:type="dxa"/>
            <w:left w:w="108" w:type="dxa"/>
            <w:bottom w:w="0" w:type="dxa"/>
            <w:right w:w="108" w:type="dxa"/>
          </w:tblCellMar>
        </w:tblPrEx>
        <w:trPr>
          <w:trHeight w:val="28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B8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D5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机型</w:t>
            </w:r>
          </w:p>
        </w:tc>
        <w:tc>
          <w:tcPr>
            <w:tcW w:w="6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BC2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招标参数</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4D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数量</w:t>
            </w:r>
          </w:p>
        </w:tc>
      </w:tr>
      <w:tr w14:paraId="7D519760">
        <w:tblPrEx>
          <w:tblCellMar>
            <w:top w:w="0" w:type="dxa"/>
            <w:left w:w="108" w:type="dxa"/>
            <w:bottom w:w="0" w:type="dxa"/>
            <w:right w:w="108" w:type="dxa"/>
          </w:tblCellMar>
        </w:tblPrEx>
        <w:trPr>
          <w:trHeight w:val="81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F3A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82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前置服务器</w:t>
            </w:r>
          </w:p>
        </w:tc>
        <w:tc>
          <w:tcPr>
            <w:tcW w:w="6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A753">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1、★国产自主品牌，配置2颗国产KH-40000处理器，持硬件加速国密SM2/SM3/SM4算法、每颗CPU核心数≥32核，每颗CPU主频≥2.0GHz，每颗CPU三级缓存≥64MB；</w:t>
            </w:r>
          </w:p>
          <w:p w14:paraId="1F40BE67">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 xml:space="preserve">2、★配置≥256GB DDR4 3200MHz内存（8*32），标配32个DDR4 RDIMM，最大可扩展至4TB </w:t>
            </w:r>
          </w:p>
          <w:p w14:paraId="45991CF5">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 xml:space="preserve">3、★配置≥3块960G企业级SSD硬盘，最大可扩展至≥12个3.5寸硬盘+4个2.5或3.5寸硬盘，内置2个M.2硬盘接口； </w:t>
            </w:r>
          </w:p>
          <w:p w14:paraId="1B7EC22A">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 xml:space="preserve">4、配置独立RAID卡，≥4G掉电保护智能缓存，支持RAID 0, 1, 10, 5, 50, 6, 60； </w:t>
            </w:r>
          </w:p>
          <w:p w14:paraId="69FA7E70">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5、配置≥8个10/100/1000Mbps以太网口；≥4个USB接口，≥2个VGA接口；≥1个RJ-45管理接口；</w:t>
            </w:r>
          </w:p>
          <w:p w14:paraId="2F98394E">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6、配置2个≥1300W、1+1冗余热插拔白金电源模块 ；</w:t>
            </w:r>
          </w:p>
          <w:p w14:paraId="13435D9B">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7、最大支持10个PCIE4.0扩展（不含OCP及Raid卡插槽）；</w:t>
            </w:r>
          </w:p>
          <w:p w14:paraId="50EF4AAB">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8、★所投产品具备可靠性检验证书，要求MTBF≥200000小时（提供具备CNAS第三方检验证书），提供市场准入证书，包含所投产品国家3C认证，中国节能产品认证证书，中国环境标志产品认证证书； 同时要求所投产品通过传染病智能检测预警前置软件兼容性认证并提供证书；</w:t>
            </w:r>
          </w:p>
          <w:p w14:paraId="6A12B5D0">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 xml:space="preserve"> 9 、整机提供3年免费原厂质保和3年硬盘故障不返还服务。(提供原厂授权及售后服务承诺函并加盖公章)要求提供所投产品原厂400免费技术支持电话；厂家的售后服务经过CCCS钻石五星认证(客户联络中心标准体系认证)，提供证书扫描件； 投标服务器品牌在当地设有专业维修站（提供官网截图）。</w:t>
            </w:r>
          </w:p>
          <w:p w14:paraId="440C8E76">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10、★配置同品牌统一管理软件，可兼容管理多品牌存储、服务器、网络等X86和信创硬件设备及软件，提供加盖适配公司双方公章的兼容性认证证书（包括不限于华为、中科可控、浪潮、中兴、联想、五舟、长城、宁畅、烽火、麒麟、统信、新支点、中科方德、达梦、优炫、巨杉、东方通、中创等品牌的兼容性认证证书；同时提供支持Android 和IOS方式的运维APP，并提供APP 功能截图和软件著作权证书；</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0FE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1台</w:t>
            </w:r>
          </w:p>
        </w:tc>
      </w:tr>
      <w:tr w14:paraId="0A211A67">
        <w:tblPrEx>
          <w:tblCellMar>
            <w:top w:w="0" w:type="dxa"/>
            <w:left w:w="108" w:type="dxa"/>
            <w:bottom w:w="0" w:type="dxa"/>
            <w:right w:w="108" w:type="dxa"/>
          </w:tblCellMar>
        </w:tblPrEx>
        <w:trPr>
          <w:trHeight w:val="531"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1E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37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VPN</w:t>
            </w:r>
          </w:p>
        </w:tc>
        <w:tc>
          <w:tcPr>
            <w:tcW w:w="675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DA132B">
            <w:pPr>
              <w:widowControl/>
              <w:jc w:val="left"/>
              <w:textAlignment w:val="bottom"/>
              <w:rPr>
                <w:rFonts w:hint="eastAsia" w:ascii="宋体" w:hAnsi="宋体" w:eastAsia="宋体" w:cs="宋体"/>
                <w:color w:val="000000"/>
                <w:kern w:val="0"/>
                <w:sz w:val="22"/>
              </w:rPr>
            </w:pPr>
            <w:r>
              <w:rPr>
                <w:rFonts w:hint="eastAsia" w:ascii="宋体" w:hAnsi="宋体" w:eastAsia="宋体" w:cs="宋体"/>
                <w:color w:val="000000"/>
                <w:kern w:val="0"/>
                <w:sz w:val="22"/>
              </w:rPr>
              <w:t>1、2U机箱，14个千兆电口，4个千兆光口，2个万兆光口，标配模块化双冗余电源，产品的CPU和操作系统均满足国产化要求。</w:t>
            </w:r>
          </w:p>
          <w:p w14:paraId="235605B3">
            <w:pPr>
              <w:widowControl/>
              <w:jc w:val="left"/>
              <w:textAlignment w:val="bottom"/>
              <w:rPr>
                <w:rFonts w:hint="eastAsia" w:ascii="宋体" w:hAnsi="宋体" w:eastAsia="宋体" w:cs="宋体"/>
                <w:color w:val="000000"/>
                <w:kern w:val="0"/>
                <w:sz w:val="22"/>
              </w:rPr>
            </w:pPr>
            <w:r>
              <w:rPr>
                <w:rFonts w:hint="eastAsia" w:ascii="宋体" w:hAnsi="宋体" w:eastAsia="宋体" w:cs="宋体"/>
                <w:color w:val="000000"/>
                <w:kern w:val="0"/>
                <w:sz w:val="22"/>
              </w:rPr>
              <w:t>2、国密 IPSEC VPN最大吞吐率：600Mbps，国密 IPSEC VPN最大隧道数：6000条，国密 SSL VPN最大吞吐率：200Mbps，国密 SSL VPN最大建议并发用户数：1000，标配50个SSL并发用户许可。</w:t>
            </w:r>
          </w:p>
          <w:p w14:paraId="625FC654">
            <w:pPr>
              <w:widowControl/>
              <w:jc w:val="left"/>
              <w:textAlignment w:val="bottom"/>
              <w:rPr>
                <w:rFonts w:hint="eastAsia" w:ascii="宋体" w:hAnsi="宋体" w:eastAsia="宋体" w:cs="宋体"/>
                <w:color w:val="000000"/>
                <w:kern w:val="0"/>
                <w:sz w:val="22"/>
              </w:rPr>
            </w:pPr>
            <w:r>
              <w:rPr>
                <w:rFonts w:hint="eastAsia" w:ascii="宋体" w:hAnsi="宋体" w:eastAsia="宋体" w:cs="宋体"/>
                <w:color w:val="000000"/>
                <w:kern w:val="0"/>
                <w:sz w:val="22"/>
              </w:rPr>
              <w:t>3、支持管理员分级分权管理，根据不同管理可以管理不同的功能模块；支持基于用户、用户组、用户角色进行授权，实现用户可访问资源、可信接入和客户端杀毒策略，保障医院基于不同用户，开放不同的权限，保障远程接入的安全；</w:t>
            </w:r>
          </w:p>
          <w:p w14:paraId="4B8B6189">
            <w:pPr>
              <w:widowControl/>
              <w:jc w:val="left"/>
              <w:textAlignment w:val="bottom"/>
              <w:rPr>
                <w:rFonts w:hint="eastAsia" w:ascii="宋体" w:hAnsi="宋体" w:eastAsia="宋体" w:cs="宋体"/>
                <w:color w:val="000000"/>
                <w:kern w:val="0"/>
                <w:sz w:val="22"/>
              </w:rPr>
            </w:pPr>
            <w:r>
              <w:rPr>
                <w:rFonts w:hint="eastAsia" w:ascii="宋体" w:hAnsi="宋体" w:eastAsia="宋体" w:cs="宋体"/>
                <w:color w:val="000000"/>
                <w:kern w:val="0"/>
                <w:sz w:val="22"/>
              </w:rPr>
              <w:t>4、★支持静态用户名口令、数字证书、短信、硬件特征码绑定、图形码方式；支持两种或两种以上组合认证方式，双因素的认证保障用户登录的安全；（提供截图证明）</w:t>
            </w:r>
          </w:p>
          <w:p w14:paraId="0FC639C1">
            <w:pPr>
              <w:widowControl/>
              <w:jc w:val="left"/>
              <w:textAlignment w:val="bottom"/>
              <w:rPr>
                <w:rFonts w:hint="eastAsia" w:ascii="宋体" w:hAnsi="宋体" w:eastAsia="宋体" w:cs="宋体"/>
                <w:color w:val="000000"/>
                <w:kern w:val="0"/>
                <w:sz w:val="22"/>
              </w:rPr>
            </w:pPr>
            <w:r>
              <w:rPr>
                <w:rFonts w:hint="eastAsia" w:ascii="宋体" w:hAnsi="宋体" w:eastAsia="宋体" w:cs="宋体"/>
                <w:color w:val="000000"/>
                <w:kern w:val="0"/>
                <w:sz w:val="22"/>
              </w:rPr>
              <w:t>5、支持可信接入功能，能够对接入主机的信息进行检查，包括域名、杀毒软件、必须安装的程序、必须运行的服务，支持可信接入分级授权；</w:t>
            </w:r>
          </w:p>
          <w:p w14:paraId="154D5C6B">
            <w:pPr>
              <w:widowControl/>
              <w:jc w:val="left"/>
              <w:textAlignment w:val="bottom"/>
              <w:rPr>
                <w:rFonts w:hint="eastAsia" w:ascii="宋体" w:hAnsi="宋体" w:eastAsia="宋体" w:cs="宋体"/>
                <w:color w:val="000000"/>
                <w:kern w:val="0"/>
                <w:sz w:val="22"/>
              </w:rPr>
            </w:pPr>
            <w:r>
              <w:rPr>
                <w:rFonts w:hint="eastAsia" w:ascii="宋体" w:hAnsi="宋体" w:eastAsia="宋体" w:cs="宋体"/>
                <w:color w:val="000000"/>
                <w:kern w:val="0"/>
                <w:sz w:val="22"/>
              </w:rPr>
              <w:t>6、支持内置CA，可以对证书进行生成、签发、废弃操作；支持国际、国密算法证书；</w:t>
            </w:r>
          </w:p>
          <w:p w14:paraId="22665539">
            <w:pPr>
              <w:widowControl/>
              <w:jc w:val="left"/>
              <w:textAlignment w:val="bottom"/>
              <w:rPr>
                <w:rFonts w:hint="eastAsia" w:ascii="宋体" w:hAnsi="宋体" w:eastAsia="宋体" w:cs="宋体"/>
                <w:color w:val="000000"/>
                <w:kern w:val="0"/>
                <w:sz w:val="22"/>
              </w:rPr>
            </w:pPr>
            <w:r>
              <w:rPr>
                <w:rFonts w:hint="eastAsia" w:ascii="宋体" w:hAnsi="宋体" w:eastAsia="宋体" w:cs="宋体"/>
                <w:color w:val="000000"/>
                <w:kern w:val="0"/>
                <w:sz w:val="22"/>
              </w:rPr>
              <w:t>7、★支持DES、3DES、AES、MD5、SHA1、DH GROUP1/2/5、RSA 1024/2048等加密算法；支持国家商密专用的SM1、SM2、SM3、SM4算法；（提供截图证明）</w:t>
            </w:r>
          </w:p>
          <w:p w14:paraId="2E84150D">
            <w:pPr>
              <w:widowControl/>
              <w:jc w:val="left"/>
              <w:textAlignment w:val="bottom"/>
              <w:rPr>
                <w:rFonts w:hint="eastAsia" w:ascii="宋体" w:hAnsi="宋体" w:eastAsia="宋体" w:cs="宋体"/>
                <w:color w:val="000000"/>
                <w:kern w:val="0"/>
                <w:sz w:val="22"/>
              </w:rPr>
            </w:pPr>
            <w:r>
              <w:rPr>
                <w:rFonts w:hint="eastAsia" w:ascii="宋体" w:hAnsi="宋体" w:eastAsia="宋体" w:cs="宋体"/>
                <w:color w:val="000000"/>
                <w:kern w:val="0"/>
                <w:sz w:val="22"/>
              </w:rPr>
              <w:t xml:space="preserve">8、支持设备的运行状态、设备资源状态、并发用户数、客户端类型分布、IPSEC隧道状态、用户流量、安全事件、中国任意省市区县的接入用户数监控，并通过图表展示； </w:t>
            </w:r>
          </w:p>
          <w:p w14:paraId="1001C0A9">
            <w:pPr>
              <w:widowControl/>
              <w:jc w:val="left"/>
              <w:textAlignment w:val="bottom"/>
              <w:rPr>
                <w:rFonts w:hint="eastAsia" w:ascii="宋体" w:hAnsi="宋体" w:eastAsia="宋体" w:cs="宋体"/>
                <w:color w:val="000000"/>
                <w:kern w:val="0"/>
                <w:sz w:val="22"/>
              </w:rPr>
            </w:pPr>
            <w:r>
              <w:rPr>
                <w:rFonts w:hint="eastAsia" w:ascii="宋体" w:hAnsi="宋体" w:eastAsia="宋体" w:cs="宋体"/>
                <w:color w:val="000000"/>
                <w:kern w:val="0"/>
                <w:sz w:val="22"/>
              </w:rPr>
              <w:t>9、★产品符合国密局制定的《IPsec技术规范》和《SSL VPN技术规范》，要求产品具备商用密码认证证书，提供证书复印件并加盖原厂公章</w:t>
            </w:r>
          </w:p>
          <w:p w14:paraId="7E0ED0C9">
            <w:pPr>
              <w:widowControl/>
              <w:jc w:val="left"/>
              <w:textAlignment w:val="bottom"/>
              <w:rPr>
                <w:rFonts w:ascii="宋体" w:hAnsi="宋体" w:eastAsia="宋体" w:cs="宋体"/>
                <w:color w:val="000000"/>
                <w:sz w:val="22"/>
              </w:rPr>
            </w:pPr>
            <w:r>
              <w:rPr>
                <w:rFonts w:hint="eastAsia" w:ascii="宋体" w:hAnsi="宋体" w:eastAsia="宋体" w:cs="宋体"/>
                <w:color w:val="000000"/>
                <w:kern w:val="0"/>
                <w:sz w:val="22"/>
              </w:rPr>
              <w:t>10、★为确保产品的稳定可靠，在使用过程中不会给业务系统带来安全风险，确保项目实施的顺利，要求厂商具备TL 9000质量管理体系认证证书（提供相关资质证书并加盖原厂公章）</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EE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1套</w:t>
            </w:r>
          </w:p>
        </w:tc>
      </w:tr>
      <w:tr w14:paraId="1F6A289C">
        <w:tblPrEx>
          <w:tblCellMar>
            <w:top w:w="0" w:type="dxa"/>
            <w:left w:w="108" w:type="dxa"/>
            <w:bottom w:w="0" w:type="dxa"/>
            <w:right w:w="108" w:type="dxa"/>
          </w:tblCellMar>
        </w:tblPrEx>
        <w:trPr>
          <w:trHeight w:val="9137"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DA56">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8398">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rPr>
              <w:t>防火墙</w:t>
            </w:r>
          </w:p>
        </w:tc>
        <w:tc>
          <w:tcPr>
            <w:tcW w:w="675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808059">
            <w:pPr>
              <w:widowControl/>
              <w:jc w:val="left"/>
              <w:textAlignment w:val="bottom"/>
              <w:rPr>
                <w:rFonts w:hint="eastAsia" w:ascii="宋体" w:hAnsi="宋体" w:eastAsia="宋体" w:cs="宋体"/>
                <w:color w:val="000000"/>
                <w:sz w:val="22"/>
              </w:rPr>
            </w:pPr>
            <w:r>
              <w:rPr>
                <w:rFonts w:hint="eastAsia" w:ascii="宋体" w:hAnsi="宋体" w:eastAsia="宋体" w:cs="宋体"/>
                <w:color w:val="000000"/>
                <w:sz w:val="22"/>
              </w:rPr>
              <w:t>1、配置≥8个千兆电口、≥4个千兆光口,≥1个扩展槽位,防火墙吞吐≥4G，并发连接≥160万，每秒新建连接≥2万，应用层吞吐量≥2.2G，FW+IPS吞吐量≥750M，FW+AV吞吐量≥600M，全威胁吞吐量≥450M，IPSEC VPN吞吐≥400M，IPSEC VPN隧道数≥500。</w:t>
            </w:r>
          </w:p>
          <w:p w14:paraId="7CC60F2E">
            <w:pPr>
              <w:widowControl/>
              <w:jc w:val="left"/>
              <w:textAlignment w:val="bottom"/>
              <w:rPr>
                <w:rFonts w:hint="eastAsia" w:ascii="宋体" w:hAnsi="宋体" w:eastAsia="宋体" w:cs="宋体"/>
                <w:color w:val="000000"/>
                <w:sz w:val="22"/>
              </w:rPr>
            </w:pPr>
            <w:r>
              <w:rPr>
                <w:rFonts w:hint="eastAsia" w:ascii="宋体" w:hAnsi="宋体" w:eastAsia="宋体" w:cs="宋体"/>
                <w:color w:val="000000"/>
                <w:sz w:val="22"/>
              </w:rPr>
              <w:t>2、配置IPSEC VPN功能模块、SDWAN功能模块，配置≥3年IPS攻击规则特征库升级许可，≥3年AV病毒特征库升级许可。</w:t>
            </w:r>
          </w:p>
          <w:p w14:paraId="6D94A3F2">
            <w:pPr>
              <w:widowControl/>
              <w:jc w:val="left"/>
              <w:textAlignment w:val="bottom"/>
              <w:rPr>
                <w:rFonts w:hint="eastAsia" w:ascii="宋体" w:hAnsi="宋体" w:eastAsia="宋体" w:cs="宋体"/>
                <w:color w:val="000000"/>
                <w:sz w:val="22"/>
              </w:rPr>
            </w:pPr>
            <w:r>
              <w:rPr>
                <w:rFonts w:hint="eastAsia" w:ascii="宋体" w:hAnsi="宋体" w:eastAsia="宋体" w:cs="宋体"/>
                <w:color w:val="000000"/>
                <w:sz w:val="22"/>
              </w:rPr>
              <w:t>3、产品由专用的硬件平台、安全操作系统及功能软件构成。设备采用自主知识产权的专用安全操作系统，采用多核多平台并行处理机制（提供相应资质证明并加盖相应厂商公章）；</w:t>
            </w:r>
          </w:p>
          <w:p w14:paraId="62295098">
            <w:pPr>
              <w:widowControl/>
              <w:jc w:val="left"/>
              <w:textAlignment w:val="bottom"/>
              <w:rPr>
                <w:rFonts w:hint="eastAsia" w:ascii="宋体" w:hAnsi="宋体" w:eastAsia="宋体" w:cs="宋体"/>
                <w:color w:val="000000"/>
                <w:sz w:val="22"/>
              </w:rPr>
            </w:pPr>
            <w:r>
              <w:rPr>
                <w:rFonts w:hint="eastAsia" w:ascii="宋体" w:hAnsi="宋体" w:eastAsia="宋体" w:cs="宋体"/>
                <w:color w:val="000000"/>
                <w:sz w:val="22"/>
              </w:rPr>
              <w:t>4、支持手动和LACP链路聚合，可根据源/目的MAC、源/目的IP、源/目的端口、五元组、端口轮询等条件提供不少于10种链路负载算法。</w:t>
            </w:r>
          </w:p>
          <w:p w14:paraId="38666D7F">
            <w:pPr>
              <w:widowControl/>
              <w:jc w:val="left"/>
              <w:textAlignment w:val="bottom"/>
              <w:rPr>
                <w:rFonts w:hint="eastAsia" w:ascii="宋体" w:hAnsi="宋体" w:eastAsia="宋体" w:cs="宋体"/>
                <w:color w:val="000000"/>
                <w:sz w:val="22"/>
              </w:rPr>
            </w:pPr>
            <w:r>
              <w:rPr>
                <w:rFonts w:hint="eastAsia" w:ascii="宋体" w:hAnsi="宋体" w:eastAsia="宋体" w:cs="宋体"/>
                <w:color w:val="000000"/>
                <w:sz w:val="22"/>
              </w:rPr>
              <w:t>5、★支持对SD-WAN链路进行统一管理，并可自定义该链路的有效带宽值、查看当前链路状态以及触发链路过载保护机制；（提供相关截图证明并加盖相应厂商公章）</w:t>
            </w:r>
          </w:p>
          <w:p w14:paraId="40B2DEB8">
            <w:pPr>
              <w:widowControl/>
              <w:jc w:val="left"/>
              <w:textAlignment w:val="bottom"/>
              <w:rPr>
                <w:rFonts w:hint="eastAsia" w:ascii="宋体" w:hAnsi="宋体" w:eastAsia="宋体" w:cs="宋体"/>
                <w:color w:val="000000"/>
                <w:sz w:val="22"/>
              </w:rPr>
            </w:pPr>
            <w:r>
              <w:rPr>
                <w:rFonts w:hint="eastAsia" w:ascii="宋体" w:hAnsi="宋体" w:eastAsia="宋体" w:cs="宋体"/>
                <w:color w:val="000000"/>
                <w:sz w:val="22"/>
              </w:rPr>
              <w:t>6、★支持对单条访问控制策略进行最大并发连接数和长连接的限制；（提供相关截图证明并加盖相应厂商公章）</w:t>
            </w:r>
          </w:p>
          <w:p w14:paraId="776E735D">
            <w:pPr>
              <w:widowControl/>
              <w:jc w:val="left"/>
              <w:textAlignment w:val="bottom"/>
              <w:rPr>
                <w:rFonts w:hint="eastAsia" w:ascii="宋体" w:hAnsi="宋体" w:eastAsia="宋体" w:cs="宋体"/>
                <w:color w:val="000000"/>
                <w:sz w:val="22"/>
              </w:rPr>
            </w:pPr>
            <w:r>
              <w:rPr>
                <w:rFonts w:hint="eastAsia" w:ascii="宋体" w:hAnsi="宋体" w:eastAsia="宋体" w:cs="宋体"/>
                <w:color w:val="000000"/>
                <w:sz w:val="22"/>
              </w:rPr>
              <w:t>7、规则库数量≥5000条，符合CVE标准规范，每条规则都注有中文名称，点击规则编号可显示出对应的详细规则描述，如CVE ID、风险等级、应用类型、漏洞描述、解决办法等</w:t>
            </w:r>
          </w:p>
          <w:p w14:paraId="6C2A3671">
            <w:pPr>
              <w:widowControl/>
              <w:jc w:val="left"/>
              <w:textAlignment w:val="bottom"/>
              <w:rPr>
                <w:rFonts w:hint="eastAsia" w:ascii="宋体" w:hAnsi="宋体" w:eastAsia="宋体" w:cs="宋体"/>
                <w:color w:val="000000"/>
                <w:sz w:val="22"/>
              </w:rPr>
            </w:pPr>
            <w:r>
              <w:rPr>
                <w:rFonts w:hint="eastAsia" w:ascii="宋体" w:hAnsi="宋体" w:eastAsia="宋体" w:cs="宋体"/>
                <w:color w:val="000000"/>
                <w:sz w:val="22"/>
              </w:rPr>
              <w:t>8、支持恶意代码防护功能，可针对HTTP、SMTP、POP3、FTP协议进行动态阻断；恶意代码特征库总数大于200万；</w:t>
            </w:r>
          </w:p>
          <w:p w14:paraId="6DB97068">
            <w:pPr>
              <w:widowControl/>
              <w:jc w:val="left"/>
              <w:textAlignment w:val="bottom"/>
              <w:rPr>
                <w:rFonts w:hint="eastAsia" w:ascii="宋体" w:hAnsi="宋体" w:eastAsia="宋体" w:cs="宋体"/>
                <w:color w:val="000000"/>
                <w:sz w:val="22"/>
              </w:rPr>
            </w:pPr>
            <w:r>
              <w:rPr>
                <w:rFonts w:hint="eastAsia" w:ascii="宋体" w:hAnsi="宋体" w:eastAsia="宋体" w:cs="宋体"/>
                <w:color w:val="000000"/>
                <w:sz w:val="22"/>
              </w:rPr>
              <w:t>9、★产品完全自主研发，非OEM或贴牌其他厂商产品，满足医院对于自主可控的要求，提供中国信息安全测评中心颁发的防火墙产品《自主原创产品测评证书》并加盖厂商公章；</w:t>
            </w:r>
          </w:p>
          <w:p w14:paraId="30096B3C">
            <w:pPr>
              <w:widowControl/>
              <w:jc w:val="left"/>
              <w:textAlignment w:val="bottom"/>
              <w:rPr>
                <w:rFonts w:ascii="宋体" w:hAnsi="宋体" w:eastAsia="宋体" w:cs="宋体"/>
                <w:color w:val="000000"/>
                <w:sz w:val="22"/>
              </w:rPr>
            </w:pPr>
            <w:r>
              <w:rPr>
                <w:rFonts w:hint="eastAsia" w:ascii="宋体" w:hAnsi="宋体" w:eastAsia="宋体" w:cs="宋体"/>
                <w:color w:val="000000"/>
                <w:sz w:val="22"/>
              </w:rPr>
              <w:t>10、★本设备作为医院互联网出口边界防护设备，为保证投标人所投产品具备足够的安全防控能力，以及所投产品生产者的技术、资源、法律等方面的支持服务质量，投标人所投产品的制造厂商应具备中国电子信息行业联合会出具的《信息系统建设及服务能力评估资质》（CS4级）（提供相关资质证书并加盖原厂公章）。</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1156">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rPr>
              <w:t>1套</w:t>
            </w:r>
          </w:p>
        </w:tc>
      </w:tr>
    </w:tbl>
    <w:p w14:paraId="63115963">
      <w:pPr>
        <w:spacing w:line="360" w:lineRule="auto"/>
        <w:rPr>
          <w:b/>
          <w:sz w:val="24"/>
          <w:szCs w:val="24"/>
        </w:rPr>
      </w:pPr>
    </w:p>
    <w:p w14:paraId="71A301B9">
      <w:pPr>
        <w:spacing w:line="360" w:lineRule="auto"/>
        <w:rPr>
          <w:b/>
          <w:szCs w:val="21"/>
        </w:rPr>
      </w:pPr>
    </w:p>
    <w:p w14:paraId="4CBCB806">
      <w:pPr>
        <w:numPr>
          <w:ilvl w:val="0"/>
          <w:numId w:val="1"/>
        </w:numPr>
        <w:spacing w:line="360" w:lineRule="auto"/>
        <w:rPr>
          <w:b/>
          <w:sz w:val="28"/>
          <w:szCs w:val="28"/>
        </w:rPr>
      </w:pPr>
      <w:r>
        <w:rPr>
          <w:rFonts w:hint="eastAsia"/>
          <w:b/>
          <w:sz w:val="28"/>
          <w:szCs w:val="28"/>
        </w:rPr>
        <w:t>采购方式</w:t>
      </w:r>
    </w:p>
    <w:p w14:paraId="667B0C1D">
      <w:pPr>
        <w:spacing w:line="360" w:lineRule="auto"/>
        <w:rPr>
          <w:rFonts w:ascii="宋体" w:hAnsi="宋体" w:eastAsia="宋体" w:cs="宋体"/>
          <w:color w:val="000000"/>
          <w:kern w:val="0"/>
          <w:sz w:val="22"/>
        </w:rPr>
      </w:pPr>
      <w:r>
        <w:rPr>
          <w:rFonts w:hint="eastAsia"/>
          <w:bCs/>
          <w:sz w:val="24"/>
          <w:szCs w:val="24"/>
        </w:rPr>
        <w:t xml:space="preserve">    询价</w:t>
      </w:r>
    </w:p>
    <w:p w14:paraId="1D4784A1">
      <w:pPr>
        <w:spacing w:line="360" w:lineRule="auto"/>
        <w:rPr>
          <w:rFonts w:ascii="宋体" w:hAnsi="宋体" w:eastAsia="宋体" w:cs="宋体"/>
          <w:color w:val="000000"/>
          <w:kern w:val="0"/>
          <w:sz w:val="22"/>
        </w:rPr>
      </w:pPr>
    </w:p>
    <w:p w14:paraId="7F3578B1">
      <w:pPr>
        <w:numPr>
          <w:ilvl w:val="0"/>
          <w:numId w:val="1"/>
        </w:numPr>
        <w:spacing w:line="360" w:lineRule="auto"/>
        <w:rPr>
          <w:b/>
          <w:sz w:val="28"/>
          <w:szCs w:val="28"/>
        </w:rPr>
      </w:pPr>
      <w:r>
        <w:rPr>
          <w:rFonts w:hint="eastAsia"/>
          <w:b/>
          <w:sz w:val="28"/>
          <w:szCs w:val="28"/>
        </w:rPr>
        <w:t>服务要求</w:t>
      </w:r>
    </w:p>
    <w:p w14:paraId="3CF2DB0D">
      <w:pPr>
        <w:spacing w:line="360" w:lineRule="auto"/>
        <w:rPr>
          <w:bCs/>
          <w:sz w:val="24"/>
          <w:szCs w:val="24"/>
        </w:rPr>
      </w:pPr>
      <w:r>
        <w:rPr>
          <w:rFonts w:hint="eastAsia"/>
          <w:bCs/>
          <w:sz w:val="24"/>
          <w:szCs w:val="24"/>
        </w:rPr>
        <w:t>1、本项目不面向中小企业采购</w:t>
      </w:r>
    </w:p>
    <w:p w14:paraId="374968C8">
      <w:pPr>
        <w:spacing w:line="360" w:lineRule="auto"/>
        <w:rPr>
          <w:bCs/>
          <w:sz w:val="24"/>
          <w:szCs w:val="24"/>
        </w:rPr>
      </w:pPr>
      <w:r>
        <w:rPr>
          <w:rFonts w:hint="eastAsia"/>
          <w:bCs/>
          <w:sz w:val="24"/>
          <w:szCs w:val="24"/>
        </w:rPr>
        <w:t>2、</w:t>
      </w:r>
      <w:r>
        <w:rPr>
          <w:rFonts w:hint="eastAsia" w:ascii="宋体" w:hAnsi="宋体" w:eastAsia="宋体" w:cs="宋体"/>
          <w:color w:val="000000"/>
          <w:sz w:val="22"/>
        </w:rPr>
        <w:t>★</w:t>
      </w:r>
      <w:r>
        <w:rPr>
          <w:rFonts w:hint="eastAsia"/>
          <w:bCs/>
          <w:sz w:val="24"/>
          <w:szCs w:val="24"/>
        </w:rPr>
        <w:t>签订合同前应当按采购人要求提供证明材料、证书、承诺函，</w:t>
      </w:r>
      <w:r>
        <w:rPr>
          <w:rFonts w:hint="eastAsia"/>
          <w:bCs/>
          <w:sz w:val="24"/>
          <w:szCs w:val="24"/>
          <w:lang w:val="en-US" w:eastAsia="zh-CN"/>
        </w:rPr>
        <w:t>且采购人有权要求中选方按照技术参数要求</w:t>
      </w:r>
      <w:bookmarkStart w:id="0" w:name="_GoBack"/>
      <w:bookmarkEnd w:id="0"/>
      <w:r>
        <w:rPr>
          <w:rFonts w:hint="eastAsia"/>
          <w:bCs/>
          <w:sz w:val="24"/>
          <w:szCs w:val="24"/>
          <w:lang w:val="en-US" w:eastAsia="zh-CN"/>
        </w:rPr>
        <w:t>对其进行逐条核验，</w:t>
      </w:r>
      <w:r>
        <w:rPr>
          <w:rFonts w:hint="eastAsia"/>
          <w:bCs/>
          <w:sz w:val="24"/>
          <w:szCs w:val="24"/>
        </w:rPr>
        <w:t>若</w:t>
      </w:r>
      <w:r>
        <w:rPr>
          <w:rFonts w:hint="eastAsia"/>
          <w:bCs/>
          <w:sz w:val="24"/>
          <w:szCs w:val="24"/>
          <w:lang w:val="en-US" w:eastAsia="zh-CN"/>
        </w:rPr>
        <w:t>核验不通过或</w:t>
      </w:r>
      <w:r>
        <w:rPr>
          <w:rFonts w:hint="eastAsia"/>
          <w:bCs/>
          <w:sz w:val="24"/>
          <w:szCs w:val="24"/>
        </w:rPr>
        <w:t>未按采购人要求提供则视为虚假应标的行为，采购人有权取消合同，由此产生和造成的所有损失应当由中标人承担，并且采购人保留对中标人追究相关责任的权利。</w:t>
      </w:r>
    </w:p>
    <w:p w14:paraId="4CB0E358">
      <w:pPr>
        <w:spacing w:line="360" w:lineRule="auto"/>
        <w:rPr>
          <w:bCs/>
          <w:sz w:val="24"/>
          <w:szCs w:val="24"/>
        </w:rPr>
      </w:pPr>
      <w:r>
        <w:rPr>
          <w:rFonts w:hint="eastAsia"/>
          <w:bCs/>
          <w:sz w:val="24"/>
          <w:szCs w:val="24"/>
        </w:rPr>
        <w:t xml:space="preserve">3、本项目所有产品清单均属于同一标段采购项目。  </w:t>
      </w:r>
    </w:p>
    <w:p w14:paraId="2880A4A0">
      <w:pPr>
        <w:spacing w:line="360" w:lineRule="auto"/>
        <w:rPr>
          <w:bCs/>
          <w:sz w:val="24"/>
          <w:szCs w:val="24"/>
        </w:rPr>
      </w:pPr>
    </w:p>
    <w:p w14:paraId="40E37D33">
      <w:pPr>
        <w:numPr>
          <w:ilvl w:val="0"/>
          <w:numId w:val="1"/>
        </w:numPr>
        <w:spacing w:line="360" w:lineRule="auto"/>
        <w:rPr>
          <w:b/>
          <w:sz w:val="28"/>
          <w:szCs w:val="28"/>
        </w:rPr>
      </w:pPr>
      <w:r>
        <w:rPr>
          <w:rFonts w:hint="eastAsia"/>
          <w:b/>
          <w:sz w:val="28"/>
          <w:szCs w:val="28"/>
        </w:rPr>
        <w:t>供货期</w:t>
      </w:r>
    </w:p>
    <w:p w14:paraId="37ED780A">
      <w:pPr>
        <w:spacing w:line="360" w:lineRule="auto"/>
        <w:ind w:firstLine="200"/>
        <w:rPr>
          <w:sz w:val="24"/>
        </w:rPr>
      </w:pPr>
      <w:r>
        <w:rPr>
          <w:rFonts w:hint="eastAsia"/>
          <w:sz w:val="24"/>
        </w:rPr>
        <w:t>1、中标供应商将采购方所需的货物，按照采购方要求的时间、地点进行配送，接到采购方供货通知后，按合同约定的时间完成供货。配送过程中应保证产品的完好无损，运输过程中产生的运费由中标供应商承担。</w:t>
      </w:r>
    </w:p>
    <w:p w14:paraId="5B4B65A7">
      <w:pPr>
        <w:spacing w:line="360" w:lineRule="auto"/>
        <w:ind w:firstLine="200"/>
        <w:rPr>
          <w:sz w:val="24"/>
        </w:rPr>
      </w:pPr>
      <w:r>
        <w:rPr>
          <w:rFonts w:hint="eastAsia"/>
          <w:sz w:val="24"/>
        </w:rPr>
        <w:t>2、中标供应商需随货提供准确的交货清单等结算票据，与实际交付的产品一致，作为双方交货、验收、结算的依据。</w:t>
      </w:r>
    </w:p>
    <w:p w14:paraId="0796F1FB">
      <w:pPr>
        <w:spacing w:line="360" w:lineRule="auto"/>
        <w:ind w:firstLine="200"/>
        <w:rPr>
          <w:sz w:val="24"/>
        </w:rPr>
      </w:pPr>
    </w:p>
    <w:p w14:paraId="375FB15F">
      <w:pPr>
        <w:numPr>
          <w:ilvl w:val="0"/>
          <w:numId w:val="1"/>
        </w:numPr>
        <w:spacing w:line="360" w:lineRule="auto"/>
        <w:rPr>
          <w:b/>
          <w:sz w:val="28"/>
          <w:szCs w:val="28"/>
        </w:rPr>
      </w:pPr>
      <w:r>
        <w:rPr>
          <w:rFonts w:hint="eastAsia"/>
          <w:b/>
          <w:sz w:val="28"/>
          <w:szCs w:val="28"/>
        </w:rPr>
        <w:t>质保期</w:t>
      </w:r>
    </w:p>
    <w:p w14:paraId="1506C576">
      <w:pPr>
        <w:spacing w:line="360" w:lineRule="auto"/>
        <w:ind w:firstLine="468" w:firstLineChars="195"/>
        <w:rPr>
          <w:sz w:val="24"/>
        </w:rPr>
      </w:pPr>
      <w:r>
        <w:rPr>
          <w:rFonts w:hint="eastAsia"/>
          <w:sz w:val="24"/>
        </w:rPr>
        <w:t>中标供应商应提供符合国家标准及招标文件要求的产品，保证产品质量稳定可靠。提供三年质保。质保期内，在产品使用期间出现质量问题时，中标供应商必须免费更换符合国家标准及招标文件要求的产品。中标供应商应当按合同约定的时间赶到现场处理，所产生的一切费用及实施过程中的应预见和不可预见费用等由中标供应商承担。</w:t>
      </w:r>
    </w:p>
    <w:p w14:paraId="114C3599">
      <w:pPr>
        <w:spacing w:line="360" w:lineRule="auto"/>
        <w:rPr>
          <w:bCs/>
          <w:sz w:val="24"/>
          <w:szCs w:val="24"/>
        </w:rPr>
      </w:pPr>
    </w:p>
    <w:p w14:paraId="60B798C0">
      <w:pPr>
        <w:rPr>
          <w:b/>
        </w:rPr>
      </w:pPr>
    </w:p>
    <w:p w14:paraId="305608AF">
      <w:pPr>
        <w:rPr>
          <w:b/>
        </w:rPr>
      </w:pPr>
    </w:p>
    <w:p w14:paraId="06966B04">
      <w:pPr>
        <w:rPr>
          <w:b/>
        </w:rPr>
      </w:pPr>
    </w:p>
    <w:p w14:paraId="4B8DD493">
      <w:pPr>
        <w:rPr>
          <w:b/>
        </w:rPr>
      </w:pPr>
    </w:p>
    <w:p w14:paraId="285533EC">
      <w:pPr>
        <w:rPr>
          <w:b/>
        </w:rPr>
      </w:pPr>
    </w:p>
    <w:p w14:paraId="612C2082">
      <w:pPr>
        <w:rPr>
          <w:b/>
        </w:rPr>
      </w:pPr>
    </w:p>
    <w:p w14:paraId="646E8B16">
      <w:pPr>
        <w:rPr>
          <w:b/>
        </w:rPr>
      </w:pPr>
    </w:p>
    <w:p w14:paraId="5FA6C67F">
      <w:pPr>
        <w:spacing w:line="360" w:lineRule="auto"/>
        <w:rPr>
          <w:rFonts w:hint="eastAsia" w:ascii="宋体" w:hAnsi="宋体" w:eastAsiaTheme="minorEastAsia"/>
          <w:sz w:val="24"/>
          <w:lang w:eastAsia="zh-CN"/>
        </w:rPr>
      </w:pPr>
    </w:p>
    <w:p w14:paraId="3BF1A6FF">
      <w:pPr>
        <w:pStyle w:val="5"/>
        <w:spacing w:line="240" w:lineRule="auto"/>
        <w:rPr>
          <w:rFonts w:ascii="宋体" w:hAnsi="宋体"/>
          <w:b w:val="0"/>
          <w:bCs w:val="0"/>
          <w:sz w:val="24"/>
        </w:rPr>
      </w:pPr>
    </w:p>
    <w:p w14:paraId="3EDEDAEE">
      <w:pPr>
        <w:rPr>
          <w:b/>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53BB6">
    <w:pPr>
      <w:pStyle w:val="4"/>
      <w:pBdr>
        <w:bottom w:val="none" w:color="auto" w:sz="0" w:space="1"/>
      </w:pBdr>
    </w:pPr>
  </w:p>
  <w:p w14:paraId="1B747110">
    <w:pPr>
      <w:pStyle w:val="4"/>
      <w:pBdr>
        <w:bottom w:val="double" w:color="auto" w:sz="8" w:space="1"/>
      </w:pBdr>
    </w:pPr>
    <w:r>
      <w:rPr>
        <w:rFonts w:hint="eastAsia"/>
      </w:rPr>
      <w:t>年昆明市延安医院国家传染病智能监测预警硬件设备采购需求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B832C"/>
    <w:multiLevelType w:val="singleLevel"/>
    <w:tmpl w:val="000B83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g3YTRhNGIyNzZlZWVjYzZjNWM1ZTNiMTAzZGEwMjEifQ=="/>
  </w:docVars>
  <w:rsids>
    <w:rsidRoot w:val="005B4F40"/>
    <w:rsid w:val="0010416F"/>
    <w:rsid w:val="001F5E50"/>
    <w:rsid w:val="00431C8A"/>
    <w:rsid w:val="005B4F40"/>
    <w:rsid w:val="005E34DC"/>
    <w:rsid w:val="00967BB8"/>
    <w:rsid w:val="00C23F3E"/>
    <w:rsid w:val="00FA14D5"/>
    <w:rsid w:val="12FA6D5D"/>
    <w:rsid w:val="3FE52A34"/>
    <w:rsid w:val="46F710C5"/>
    <w:rsid w:val="502F12DE"/>
    <w:rsid w:val="585C1B66"/>
    <w:rsid w:val="65B77E60"/>
    <w:rsid w:val="65B92131"/>
    <w:rsid w:val="65DA1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spacing w:line="360" w:lineRule="auto"/>
    </w:pPr>
    <w:rPr>
      <w:rFonts w:ascii="仿宋_GB2312"/>
      <w:b/>
      <w:bCs/>
      <w:sz w:val="28"/>
    </w:rPr>
  </w:style>
  <w:style w:type="paragraph" w:styleId="6">
    <w:name w:val="Normal (Web)"/>
    <w:basedOn w:val="1"/>
    <w:unhideWhenUsed/>
    <w:qFormat/>
    <w:uiPriority w:val="99"/>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4"/>
    <w:semiHidden/>
    <w:qFormat/>
    <w:uiPriority w:val="99"/>
    <w:rPr>
      <w:sz w:val="18"/>
      <w:szCs w:val="18"/>
    </w:rPr>
  </w:style>
  <w:style w:type="character" w:customStyle="1" w:styleId="11">
    <w:name w:val="页脚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4</Pages>
  <Words>6971</Words>
  <Characters>7491</Characters>
  <Lines>59</Lines>
  <Paragraphs>16</Paragraphs>
  <TotalTime>17</TotalTime>
  <ScaleCrop>false</ScaleCrop>
  <LinksUpToDate>false</LinksUpToDate>
  <CharactersWithSpaces>7602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2024-06-07T07:06:00Z</dcterms:created>
  <dc:creator>Windows 用户</dc:creator>
  <cp:lastModifiedBy>Wyatt Fu</cp:lastModifiedBy>
  <cp:lastPrinted>2024-12-18T00:12:00Z</cp:lastPrinted>
  <dcterms:modified xsi:type="dcterms:W3CDTF">2024-12-18T00:17:27Z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A6896A991AB3495DB14F39F0C99E2A9F_12</vt:lpwstr>
  </property>
</Properties>
</file>