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15169"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134"/>
        <w:gridCol w:w="1559"/>
        <w:gridCol w:w="9214"/>
        <w:gridCol w:w="567"/>
        <w:gridCol w:w="709"/>
        <w:gridCol w:w="1276"/>
      </w:tblGrid>
      <w:tr w14:paraId="686BB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15169" w:type="dxa"/>
            <w:gridSpan w:val="7"/>
            <w:shd w:val="clear" w:color="auto" w:fill="auto"/>
            <w:noWrap/>
            <w:vAlign w:val="center"/>
          </w:tcPr>
          <w:p w14:paraId="47241CF2">
            <w:pPr>
              <w:widowControl/>
              <w:jc w:val="center"/>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安宁市第二中学报告厅高清LED屏及音箱系统采购项目采购需求</w:t>
            </w:r>
          </w:p>
        </w:tc>
      </w:tr>
      <w:tr w14:paraId="73251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710" w:type="dxa"/>
            <w:shd w:val="clear" w:color="auto" w:fill="auto"/>
            <w:vAlign w:val="center"/>
          </w:tcPr>
          <w:p w14:paraId="67E636B3">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序号</w:t>
            </w:r>
          </w:p>
        </w:tc>
        <w:tc>
          <w:tcPr>
            <w:tcW w:w="1134" w:type="dxa"/>
            <w:shd w:val="clear" w:color="auto" w:fill="auto"/>
            <w:vAlign w:val="center"/>
          </w:tcPr>
          <w:p w14:paraId="68D4B509">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产品名称</w:t>
            </w:r>
          </w:p>
        </w:tc>
        <w:tc>
          <w:tcPr>
            <w:tcW w:w="10773" w:type="dxa"/>
            <w:gridSpan w:val="2"/>
            <w:shd w:val="clear" w:color="auto" w:fill="auto"/>
            <w:vAlign w:val="center"/>
          </w:tcPr>
          <w:p w14:paraId="6872B3A8">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产品参数、功能及其他要求</w:t>
            </w:r>
          </w:p>
        </w:tc>
        <w:tc>
          <w:tcPr>
            <w:tcW w:w="567" w:type="dxa"/>
            <w:shd w:val="clear" w:color="auto" w:fill="auto"/>
            <w:vAlign w:val="center"/>
          </w:tcPr>
          <w:p w14:paraId="186C6E15">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数量</w:t>
            </w:r>
          </w:p>
        </w:tc>
        <w:tc>
          <w:tcPr>
            <w:tcW w:w="709" w:type="dxa"/>
            <w:shd w:val="clear" w:color="auto" w:fill="auto"/>
            <w:vAlign w:val="center"/>
          </w:tcPr>
          <w:p w14:paraId="0F56F4E0">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单位</w:t>
            </w:r>
          </w:p>
        </w:tc>
        <w:tc>
          <w:tcPr>
            <w:tcW w:w="1276" w:type="dxa"/>
          </w:tcPr>
          <w:p w14:paraId="0B648E58">
            <w:pPr>
              <w:widowControl/>
              <w:jc w:val="center"/>
              <w:rPr>
                <w:rFonts w:hint="eastAsia" w:ascii="宋体" w:hAnsi="宋体" w:eastAsia="宋体" w:cs="宋体"/>
                <w:b/>
                <w:bCs/>
                <w:color w:val="000000"/>
                <w:kern w:val="0"/>
                <w:sz w:val="20"/>
                <w:szCs w:val="20"/>
              </w:rPr>
            </w:pPr>
            <w:r>
              <w:rPr>
                <w:rFonts w:hint="eastAsia" w:ascii="宋体" w:hAnsi="宋体" w:eastAsia="宋体" w:cs="宋体"/>
                <w:b/>
                <w:bCs/>
                <w:color w:val="000000"/>
                <w:kern w:val="0"/>
                <w:sz w:val="20"/>
                <w:szCs w:val="20"/>
              </w:rPr>
              <w:t>品牌型号</w:t>
            </w:r>
          </w:p>
        </w:tc>
      </w:tr>
      <w:tr w14:paraId="46487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0" w:hRule="atLeast"/>
        </w:trPr>
        <w:tc>
          <w:tcPr>
            <w:tcW w:w="710" w:type="dxa"/>
            <w:shd w:val="clear" w:color="auto" w:fill="auto"/>
            <w:vAlign w:val="center"/>
          </w:tcPr>
          <w:p w14:paraId="4A0AFC94">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1134" w:type="dxa"/>
            <w:shd w:val="clear" w:color="auto" w:fill="auto"/>
            <w:vAlign w:val="center"/>
          </w:tcPr>
          <w:p w14:paraId="56DFCCD7">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LED显示屏控制电脑</w:t>
            </w:r>
          </w:p>
        </w:tc>
        <w:tc>
          <w:tcPr>
            <w:tcW w:w="10773" w:type="dxa"/>
            <w:gridSpan w:val="2"/>
            <w:shd w:val="clear" w:color="auto" w:fill="auto"/>
            <w:vAlign w:val="center"/>
          </w:tcPr>
          <w:p w14:paraId="5B5C0C19">
            <w:pPr>
              <w:widowControl/>
              <w:jc w:val="left"/>
              <w:rPr>
                <w:rFonts w:ascii="宋体" w:hAnsi="宋体" w:eastAsia="宋体" w:cs="宋体"/>
                <w:kern w:val="0"/>
                <w:sz w:val="20"/>
                <w:szCs w:val="20"/>
              </w:rPr>
            </w:pPr>
            <w:r>
              <w:rPr>
                <w:rFonts w:hint="eastAsia" w:ascii="宋体" w:hAnsi="宋体" w:eastAsia="宋体" w:cs="宋体"/>
                <w:kern w:val="0"/>
                <w:sz w:val="20"/>
                <w:szCs w:val="20"/>
              </w:rPr>
              <w:t xml:space="preserve">1、CPU：英特尔酷睿I7 13620H；2、主板：集成芯片组；网络同传；3、内存：8GB内存；4、硬盘：256G M.2 PCIe SSD ；5、网卡：集成10/100/1000M自适应网卡；6、接口：侧面：1×USB2.0 Type-c（支持快充）、2×USB3.2 Gen1（支持关机充电）、1个耳机/麦克风combo插孔；背面：4×USB3.2 Gen1、1×HDMI-out、1×RJ-45、1×串口，1个耳机插孔，1个麦克风插孔；7、键盘/鼠标：同品牌USB抗菌防泼溅键盘，USB光电鼠标； 8、23.8寸上下滑动旋转屏幕，窄边框设计；分辨率1920×1080；标配2×2.5W内置音箱，内置单麦克风，具有可升降旋转底座支架，升降距离可达125mm，角度调整前后：-5～20度、左右：-30～30度，屏幕支持左右旋转90度。背面设计有亮度-按键、亮度+按键、关闭屏幕按键、Power按键；9、为保证产品质量，报价时提供以下产品资料：1）投标产品具有国家广播电视产品质量监督检验中心出具的100万MTBF的报告；2）投标产品通过阻燃试验，达到外壳V-0，印制板V-0级别，提供相关报告；3）投标产品噪音声压级≤3.36dB，提供相关报告；投标产品主板电源端口及电信端口抗浪涌设计，提供相关报告；4）投标产品通过电磁辐射B级试验，低于国家标准10dB，提供相关报告；10、投标产品通过有关人体辐射的电磁场测量方法，低频磁场辐射值不高于0.62%，提供相关报件。配套移动容灾备份要求：容量≥8G，加密备份多媒体一体机数据、实现服务器和老师手机应用程序的加密备份与恢复、即插即备，开标时拿实物查看是否具备手机和电脑USB接口。在服务器上插一下就可设置私人密盘，并存放个人私密文件，凭密码开启。电脑文档实时自动备份，加密存储到U盘，时间机器功能可恢复文档到任意历史备份时间点。手机和授课电脑两用盘，可直接插在手机上用；可将手机中加密备份的数据按需恢复到电脑中保存。对选定的数据文件类型，可按照以秒为单位的时间间隔自动备份内存中的该类型数据。支持本地缓存，当存储设备未联机时，先临时备份在本地硬盘缓存，再次连接上存储设备时，自动转储临时缓存数据到移动存储，确保数据备份保护不中断。11、含语音编辑系统一套：1、各位领导现场随意讲话、讨论时AI智能生成编辑好的PPT文档在显示大屏上同步显示播放，可同时直播三位及以上老师的交流发言即时生成的PPT；内置会议模板，输入会议主题，即可智能生成PPT直接播放；2、拥有跨领域的知识和语言理解能力，场景任务一键搞定，提供高效文字输入办公工具。要求语音输字:每分钟输入≥400字，支持普通话及23种中文方言输入，支持英语等66种外语语音输入并同步打印出来；4、支持离线语音输入；弱网断网也能语音打字；3、高效办公,减少工作时间和成本，支持发言完毕及写作完成，可表格生成、可代码创作；5、智能截图:支持截取图片，并对图片进行一系列操作，如提取图片文字、翻译图片文字等，还能提取表格内容并导出为表格；6、语言翻译要求:说中文出外语100多种语言实时翻译；7、智能互动:讲出要进行的操作，系统自动执行；讲出要查找的内容，系统直接搜索出来；讲出要查找的内容，系统直接搜索出来显示在电脑屏幕上。 </w:t>
            </w:r>
          </w:p>
        </w:tc>
        <w:tc>
          <w:tcPr>
            <w:tcW w:w="567" w:type="dxa"/>
            <w:shd w:val="clear" w:color="auto" w:fill="auto"/>
            <w:vAlign w:val="center"/>
          </w:tcPr>
          <w:p w14:paraId="1336F311">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709" w:type="dxa"/>
            <w:shd w:val="clear" w:color="auto" w:fill="auto"/>
            <w:vAlign w:val="center"/>
          </w:tcPr>
          <w:p w14:paraId="72E176FD">
            <w:pPr>
              <w:widowControl/>
              <w:jc w:val="center"/>
              <w:rPr>
                <w:rFonts w:ascii="宋体" w:hAnsi="宋体" w:eastAsia="宋体" w:cs="宋体"/>
                <w:kern w:val="0"/>
                <w:sz w:val="20"/>
                <w:szCs w:val="20"/>
              </w:rPr>
            </w:pPr>
            <w:r>
              <w:rPr>
                <w:rFonts w:hint="eastAsia" w:ascii="宋体" w:hAnsi="宋体" w:eastAsia="宋体" w:cs="宋体"/>
                <w:kern w:val="0"/>
                <w:sz w:val="20"/>
                <w:szCs w:val="20"/>
              </w:rPr>
              <w:t>台</w:t>
            </w:r>
          </w:p>
        </w:tc>
        <w:tc>
          <w:tcPr>
            <w:tcW w:w="1276" w:type="dxa"/>
          </w:tcPr>
          <w:p w14:paraId="7F0676BF">
            <w:pPr>
              <w:widowControl/>
              <w:jc w:val="center"/>
              <w:rPr>
                <w:rFonts w:hint="eastAsia" w:ascii="宋体" w:hAnsi="宋体" w:eastAsia="宋体" w:cs="宋体"/>
                <w:kern w:val="0"/>
                <w:sz w:val="20"/>
                <w:szCs w:val="20"/>
              </w:rPr>
            </w:pPr>
          </w:p>
        </w:tc>
      </w:tr>
      <w:tr w14:paraId="3DFE0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710" w:type="dxa"/>
            <w:shd w:val="clear" w:color="auto" w:fill="auto"/>
            <w:vAlign w:val="center"/>
          </w:tcPr>
          <w:p w14:paraId="6E95664A">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1134" w:type="dxa"/>
            <w:shd w:val="clear" w:color="auto" w:fill="auto"/>
            <w:vAlign w:val="center"/>
          </w:tcPr>
          <w:p w14:paraId="7F9F2552">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矩阵无线投屏设备</w:t>
            </w:r>
          </w:p>
        </w:tc>
        <w:tc>
          <w:tcPr>
            <w:tcW w:w="10773" w:type="dxa"/>
            <w:gridSpan w:val="2"/>
            <w:shd w:val="clear" w:color="auto" w:fill="auto"/>
            <w:vAlign w:val="center"/>
          </w:tcPr>
          <w:p w14:paraId="50452521">
            <w:pPr>
              <w:widowControl/>
              <w:rPr>
                <w:rFonts w:ascii="宋体" w:hAnsi="宋体" w:eastAsia="宋体" w:cs="宋体"/>
                <w:kern w:val="0"/>
                <w:sz w:val="20"/>
                <w:szCs w:val="20"/>
              </w:rPr>
            </w:pPr>
            <w:r>
              <w:rPr>
                <w:rFonts w:hint="eastAsia" w:ascii="宋体" w:hAnsi="宋体" w:eastAsia="宋体" w:cs="宋体"/>
                <w:kern w:val="0"/>
                <w:sz w:val="20"/>
                <w:szCs w:val="20"/>
              </w:rPr>
              <w:t>具备USB、HDMI、TYPE-C、网络接头等四合一无线投屏协作系统要求：具备无线投屏方式≥8种（具备USB、HDMI、TYPE-C、网络接头、手机APP、手机小程序、手机投屏一键分享、笔记本同Wi-Fi，笔记本验证码、笔记本密码登录登）4K版；功能要求：1. 采用802.11AC协议，Linux嵌入式架构，处理器ARM Cortex A7  4核 1G内存；2. 无线投屏系统需支持Windows、Mac、iOS 、Android等不同系统终端无缝切换投影至投影机或大屏显示；3. 支持TYPE-C、HDMI、USB多接口一体式或分离式无线发射器，无需驱动安装，无须占用Wi-Fi连接；提供厂家盖章确认的彩页、照片并注明厂址和服务电话查看并留存为验收依据；4. 主机支持苹果Airplay、安卓miracast、安卓软件投屏、Wind10免驱传屏、win10软件投屏等混合投屏；提供厂家盖章确认的彩页、功能页面截图并注明厂址和服务电话查看并留存为验收依据；5. 支持安卓自带Miracast投屏与电脑或苹果系统混合投屏并支持四画面同时显示分割。6. 支持软件投屏码投屏以及Windows 自带Miracast 验证码，保证投屏安全，避免误投屏；提供厂家盖章确认的彩页、照片并注明厂址和服务电话查看并留存为验收依据；7. 支持2.4G和5G Wi-Fi模式，双5Gwifi模块设计，支持无线桥接网络以及设备自身热点无线同时开启。 8. 投屏模式支持自由切换模式或独占投屏模式，支持电脑拓展桌面模式投屏；9. 接收主机支持WEB后台设置，桥接网络，自定义待机画面、修改网络名称、本地升级等功能。10. 支持如鼠标键盘、触控框、电子白板等USB数据回传、漫游且支持10点触控回传。11. 主机接口要求HDMI≥1,RJ45网口≥1，音频口≥1，USB口≥3，外接天线≥3。12. 设备输出需支持常规1024*768,1280*720,1280*800, 1920*1080, 1920*1200，3840*2160等分辨率。13. 投标时需提供厂家对学校项目售后服务盖章确认并注明厂址、服务电话的三年免费保修的保修卡；14. 所投产品必须具有CCC认证；15. 所投标公司具有无线投影系统会议协作软件著作权登记证书；16. 所投标产品需提供符合 GB4943.1-2011相关条款安全性测试报告，报告含MA,MRA,CNAS互认标志；17. 所投产品必须具有无线电发射设备型号核准证；18. 所投标产品制造商需通过ISO9001:2015质量管理体系认证。</w:t>
            </w:r>
          </w:p>
        </w:tc>
        <w:tc>
          <w:tcPr>
            <w:tcW w:w="567" w:type="dxa"/>
            <w:shd w:val="clear" w:color="auto" w:fill="auto"/>
            <w:vAlign w:val="center"/>
          </w:tcPr>
          <w:p w14:paraId="171B93D6">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709" w:type="dxa"/>
            <w:shd w:val="clear" w:color="auto" w:fill="auto"/>
            <w:vAlign w:val="center"/>
          </w:tcPr>
          <w:p w14:paraId="5EF980CD">
            <w:pPr>
              <w:widowControl/>
              <w:jc w:val="center"/>
              <w:rPr>
                <w:rFonts w:ascii="宋体" w:hAnsi="宋体" w:eastAsia="宋体" w:cs="宋体"/>
                <w:kern w:val="0"/>
                <w:sz w:val="20"/>
                <w:szCs w:val="20"/>
              </w:rPr>
            </w:pPr>
            <w:r>
              <w:rPr>
                <w:rFonts w:hint="eastAsia" w:ascii="宋体" w:hAnsi="宋体" w:eastAsia="宋体" w:cs="宋体"/>
                <w:kern w:val="0"/>
                <w:sz w:val="20"/>
                <w:szCs w:val="20"/>
              </w:rPr>
              <w:t>套</w:t>
            </w:r>
          </w:p>
        </w:tc>
        <w:tc>
          <w:tcPr>
            <w:tcW w:w="1276" w:type="dxa"/>
          </w:tcPr>
          <w:p w14:paraId="44CEF984">
            <w:pPr>
              <w:widowControl/>
              <w:jc w:val="center"/>
              <w:rPr>
                <w:rFonts w:hint="eastAsia" w:ascii="宋体" w:hAnsi="宋体" w:eastAsia="宋体" w:cs="宋体"/>
                <w:kern w:val="0"/>
                <w:sz w:val="20"/>
                <w:szCs w:val="20"/>
              </w:rPr>
            </w:pPr>
          </w:p>
        </w:tc>
      </w:tr>
      <w:tr w14:paraId="70058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 w:hRule="atLeast"/>
        </w:trPr>
        <w:tc>
          <w:tcPr>
            <w:tcW w:w="710" w:type="dxa"/>
            <w:shd w:val="clear" w:color="auto" w:fill="auto"/>
            <w:vAlign w:val="center"/>
          </w:tcPr>
          <w:p w14:paraId="6E60E043">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3</w:t>
            </w:r>
          </w:p>
        </w:tc>
        <w:tc>
          <w:tcPr>
            <w:tcW w:w="1134" w:type="dxa"/>
            <w:shd w:val="clear" w:color="auto" w:fill="auto"/>
            <w:vAlign w:val="center"/>
          </w:tcPr>
          <w:p w14:paraId="39754861">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显示屏会议PPT专业设备</w:t>
            </w:r>
          </w:p>
        </w:tc>
        <w:tc>
          <w:tcPr>
            <w:tcW w:w="10773" w:type="dxa"/>
            <w:gridSpan w:val="2"/>
            <w:shd w:val="clear" w:color="auto" w:fill="auto"/>
            <w:vAlign w:val="center"/>
          </w:tcPr>
          <w:p w14:paraId="59D084B5">
            <w:pPr>
              <w:widowControl/>
              <w:rPr>
                <w:rFonts w:ascii="宋体" w:hAnsi="宋体" w:eastAsia="宋体" w:cs="宋体"/>
                <w:kern w:val="0"/>
                <w:sz w:val="20"/>
                <w:szCs w:val="20"/>
              </w:rPr>
            </w:pPr>
            <w:r>
              <w:rPr>
                <w:rFonts w:hint="eastAsia" w:ascii="宋体" w:hAnsi="宋体" w:eastAsia="宋体" w:cs="宋体"/>
                <w:kern w:val="0"/>
                <w:sz w:val="20"/>
                <w:szCs w:val="20"/>
              </w:rPr>
              <w:t>第一部分硬件要求实现：1、满足高清显示屏、台式机、笔记本电脑、手机、平板通用；容量≥8G，支持2T加密备份录播系统数据；体积≥ W120mm *H70mm *L160mm ；2、可实现操作管理人员的录播管理短信、照片、通话记录、视频、应用程序、手机文档的加密备份与恢复功能。3、即插即备。 隐私数据加密保护：“私人密盘”方便易用，在主机上插一下就可设置录制密盘，并存放重要录制管理文件，凭密码开启。中标公示第二天提供实物给老师验证、不满足的按虚假应标处理；4、另外，可将管理员手机中加密备份的数据按需恢复到显示屏主机中保存。 对选定的数据文件类型，可按照以秒为单位的时间间隔自动备份内存中的该类型数据；5、 支持本地缓存，当存储设备未联机时，先临时备份在本地硬盘缓存，再次连接上存储设备时，自动转储临时缓存数据到移动存储，确保数据备份保护不中断；2.4G&amp;蓝牙双模连接,灵活配对,支持双模链接,5秒内可以配对直播，使用方便；</w:t>
            </w:r>
            <w:r>
              <w:rPr>
                <w:rFonts w:hint="eastAsia" w:ascii="宋体" w:hAnsi="宋体" w:eastAsia="宋体" w:cs="宋体"/>
                <w:kern w:val="0"/>
                <w:sz w:val="20"/>
                <w:szCs w:val="20"/>
              </w:rPr>
              <w:br w:type="textWrapping"/>
            </w:r>
            <w:r>
              <w:rPr>
                <w:rFonts w:hint="eastAsia" w:ascii="宋体" w:hAnsi="宋体" w:eastAsia="宋体" w:cs="宋体"/>
                <w:kern w:val="0"/>
                <w:sz w:val="20"/>
                <w:szCs w:val="20"/>
              </w:rPr>
              <w:t>第二部分软件要求：1、各位领导现场随意讲话、讨论时AI智能生成编辑好的PPT文档在显示大屏上同步显示播放，可同时直播三位及以上老师的交流发言即时生成的PPT；内置会议模板，输入会议主题，即可智能生成PPT直接播放；2、拥有跨领域的知识和语言理解能力，场景任务一键搞定，提供高效文字输入办公工具。要求语音输字:每分钟输入≥400字，支持普通话及23种中文方言输入，支持英语等66种外语语音输入并同步打印出来；4、支持离线语音输入；弱网断网也能语音打字；</w:t>
            </w:r>
            <w:r>
              <w:rPr>
                <w:rFonts w:hint="eastAsia" w:ascii="宋体" w:hAnsi="宋体" w:eastAsia="宋体" w:cs="宋体"/>
                <w:kern w:val="0"/>
                <w:sz w:val="20"/>
                <w:szCs w:val="20"/>
              </w:rPr>
              <w:br w:type="textWrapping"/>
            </w:r>
            <w:r>
              <w:rPr>
                <w:rFonts w:hint="eastAsia" w:ascii="宋体" w:hAnsi="宋体" w:eastAsia="宋体" w:cs="宋体"/>
                <w:kern w:val="0"/>
                <w:sz w:val="20"/>
                <w:szCs w:val="20"/>
              </w:rPr>
              <w:t>3、高效办公,减少工作时间和成本，支持发言完毕及写作完成，可表格生成、可代码创作；5、智能截图:支持截取图片，并对图片进行一系列操作，如提取图片文字、翻译图片文字等，还能提取表格内容并导出为表格；6、语言翻译要求:说中文出外语100多种语言实时翻译；7、智能互动:讲出要进行的操作，系统自动执行；讲出要查找的内容，系统直接搜索出来；讲出要查找的内容，系统直接搜索出来显示在大屏幕上；</w:t>
            </w:r>
          </w:p>
        </w:tc>
        <w:tc>
          <w:tcPr>
            <w:tcW w:w="567" w:type="dxa"/>
            <w:shd w:val="clear" w:color="auto" w:fill="auto"/>
            <w:vAlign w:val="center"/>
          </w:tcPr>
          <w:p w14:paraId="06A72B3E">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709" w:type="dxa"/>
            <w:shd w:val="clear" w:color="auto" w:fill="auto"/>
            <w:vAlign w:val="center"/>
          </w:tcPr>
          <w:p w14:paraId="3FE9BA5A">
            <w:pPr>
              <w:widowControl/>
              <w:jc w:val="center"/>
              <w:rPr>
                <w:rFonts w:ascii="宋体" w:hAnsi="宋体" w:eastAsia="宋体" w:cs="宋体"/>
                <w:kern w:val="0"/>
                <w:sz w:val="20"/>
                <w:szCs w:val="20"/>
              </w:rPr>
            </w:pPr>
            <w:r>
              <w:rPr>
                <w:rFonts w:hint="eastAsia" w:ascii="宋体" w:hAnsi="宋体" w:eastAsia="宋体" w:cs="宋体"/>
                <w:kern w:val="0"/>
                <w:sz w:val="20"/>
                <w:szCs w:val="20"/>
              </w:rPr>
              <w:t>套</w:t>
            </w:r>
          </w:p>
        </w:tc>
        <w:tc>
          <w:tcPr>
            <w:tcW w:w="1276" w:type="dxa"/>
          </w:tcPr>
          <w:p w14:paraId="2C179B72">
            <w:pPr>
              <w:widowControl/>
              <w:jc w:val="center"/>
              <w:rPr>
                <w:rFonts w:hint="eastAsia" w:ascii="宋体" w:hAnsi="宋体" w:eastAsia="宋体" w:cs="宋体"/>
                <w:kern w:val="0"/>
                <w:sz w:val="20"/>
                <w:szCs w:val="20"/>
              </w:rPr>
            </w:pPr>
          </w:p>
        </w:tc>
      </w:tr>
      <w:tr w14:paraId="7744E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710" w:type="dxa"/>
            <w:shd w:val="clear" w:color="auto" w:fill="auto"/>
            <w:vAlign w:val="center"/>
          </w:tcPr>
          <w:p w14:paraId="0E9EE87A">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4</w:t>
            </w:r>
          </w:p>
        </w:tc>
        <w:tc>
          <w:tcPr>
            <w:tcW w:w="1134" w:type="dxa"/>
            <w:shd w:val="clear" w:color="auto" w:fill="auto"/>
            <w:vAlign w:val="center"/>
          </w:tcPr>
          <w:p w14:paraId="22ADAD89">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报告厅高清LED显示屏</w:t>
            </w:r>
          </w:p>
        </w:tc>
        <w:tc>
          <w:tcPr>
            <w:tcW w:w="10773" w:type="dxa"/>
            <w:gridSpan w:val="2"/>
            <w:shd w:val="clear" w:color="auto" w:fill="auto"/>
            <w:vAlign w:val="center"/>
          </w:tcPr>
          <w:p w14:paraId="55BB48E5">
            <w:pPr>
              <w:widowControl/>
              <w:jc w:val="left"/>
              <w:rPr>
                <w:rFonts w:ascii="宋体" w:hAnsi="宋体" w:eastAsia="宋体" w:cs="宋体"/>
                <w:kern w:val="0"/>
                <w:sz w:val="20"/>
                <w:szCs w:val="20"/>
              </w:rPr>
            </w:pPr>
            <w:r>
              <w:rPr>
                <w:rFonts w:hint="eastAsia" w:ascii="宋体" w:hAnsi="宋体" w:eastAsia="宋体" w:cs="宋体"/>
                <w:kern w:val="0"/>
                <w:sz w:val="20"/>
                <w:szCs w:val="20"/>
              </w:rPr>
              <w:t>品牌要求:强力巨彩CC1.8L；一、满足学校日常会议、教研、授课、党史常态化学习、满足远程视频会议的使用需求；二、显示屏规格要求：1、显示屏像素间距≤P1.8mm；整块屏体尺寸：宽≥5.76*高≥3.36m，总面积≥20.18m²；2、须提供给学校≥100个满足学校各种主题活动常用的，正版高清背景文件（包括PPT,视频，照片，文字，PDF等格式文件）；三、显示像素规格≤P1.8mm,用640MM*480MM无缝拼接完成；显示像素点间距≤1.8毫米；四、一块快装屏模组≥640MM*480MM（含电源、箱体、控制卡及嵌入式控制软件）单屏厚度≤5厘米、重量≤4.8公斤，递交标书时一起提交查验否则投标无效；五、1.需要实现的物理要求：须用面积≥640MM*480MM的厚度小于5厘米的超薄压铸美铝箱体或注塑箱体，用新型耐用的户内外防水型压铸箱体一体化设计、方便用户移动位置到户内外使用时快速拆装及后期维护。色彩饱和靓丽，屏幕明亮，画质清晰，内置接收卡须按国家标准用足数量、用高清摄像机和高清手机拍摄时清晰无闪烁，无重影（须用手机拍照测试验证），整屏色彩和亮度均匀性≥90%，整屏显示画面衔接流畅自然，否则不验收。整个大屏幕系统具有15年以上的先进性、稳定性和可扩充性，系统操作简单，维护方便，故障率低，使用寿命≥12万小时；六、需满足的质量、安全、技术规格：高清显示屏单元规格≥640MM*480MM，单屏厚度（内置电源、箱体、散热风扇、网口、电源接口、控制卡及嵌入式控制软件）≤5厘米、单屏重量≤4.8公斤,点间距和像素点≤1.8毫米，每块屏强力吸附安装磁钉≥4个、前维护设计，递交标书时须提供640MM*480MM的显示屏验证、否则技术分得零分；要求不锈钢镶边精装防水边框;七、供电要求节能环保、内置电源、供电方式：5V/40A*2PCS,平均功耗≤300W/小时，最大功耗≤350W/小时；显示器寿命≥12万小时，每块显示屏网络接口≥2个、供电接口≥2个；屏体连接网线和电源线要求原厂标配成型的互通互控的连接网线和电源线，整体连接横平竖直、协调美观规范、好维护；所投高清显示屏的驱动 IC 具有双锁存、消影、高刷的功能。八、需执行的国家相关标准、行业标准、地方标准或者其他标准、规范：显示屏通过低压安全检测。高清显示屏通过阻燃测试达到 V0 级。九、需满足的服务标准、期限、效率等要求、培训服务要求：用户使用设备期间须随叫随到，按用户要求进行多次培训直到所有使用设备的人员会用为止才能验收；十、验收要求：按招标参数要求执行、验收时学校可依法邀请一部分或一个投标公司参与验收，监督投标参数和交货行为是否有弄虚作假和欺骗用户的现象！如有虚假应标或虚假供货情况，用户方或参与验收的投标人可以直接举报给有关部门依法处理！提供厂家针对此项目加盖鲜章确认的五年免费保修的售后服务承诺书及授权书，并由投标人法人亲自签字确认。十一、报告厅教研教学资源和党史常态化配套软件要求：1.含初中多媒体互动教学备授课工具，教学资源与现行教材相配套，能够为教师提供云存储空间，教师可在个人云空间中上传存储互动课件、云教案和其他教学资源。备授课具备手机APP端，可实现教师课件多方式分享、移动听评课、线上教研等功能；资源可离线使用、含正版的与学校课本同步的语文、数学、英语等学科多家出版社的数字教材，教材中每篇课文的相关知识点镶嵌视频、图文、微课、动画、PPT等多媒体资源10个以上；2.含VR党史常态化教学系统，具备35个以上全国知名党史馆实景拍摄制作的VR教学资源，要以时间轴的形式在显示屏上自动滚动播放和点击播放任意党史馆各展厅、让师生可以实景参观学习中国共产党自建立以来至今的各种重大历史事件；招标参数全部为重要参数，中标公示后第二天还须提供投标实物到学校由学校自己查看招标参数功能要求是否满足、如不能按时提供实物到使用单位或经查验实物不满足招标和投标参数要求则视同提供虚假材料虚假应标骗取中标行为、将及时通报给有关部门依法处理；保修期内学校每次举办活动时中标商须派人到现场做技术支持。</w:t>
            </w:r>
          </w:p>
        </w:tc>
        <w:tc>
          <w:tcPr>
            <w:tcW w:w="567" w:type="dxa"/>
            <w:shd w:val="clear" w:color="auto" w:fill="auto"/>
            <w:vAlign w:val="center"/>
          </w:tcPr>
          <w:p w14:paraId="08835665">
            <w:pPr>
              <w:widowControl/>
              <w:jc w:val="center"/>
              <w:rPr>
                <w:rFonts w:ascii="宋体" w:hAnsi="宋体" w:eastAsia="宋体" w:cs="宋体"/>
                <w:kern w:val="0"/>
                <w:sz w:val="20"/>
                <w:szCs w:val="20"/>
              </w:rPr>
            </w:pPr>
            <w:r>
              <w:rPr>
                <w:rFonts w:hint="eastAsia" w:ascii="宋体" w:hAnsi="宋体" w:eastAsia="宋体" w:cs="宋体"/>
                <w:kern w:val="0"/>
                <w:sz w:val="20"/>
                <w:szCs w:val="20"/>
              </w:rPr>
              <w:t>20.18</w:t>
            </w:r>
          </w:p>
        </w:tc>
        <w:tc>
          <w:tcPr>
            <w:tcW w:w="709" w:type="dxa"/>
            <w:shd w:val="clear" w:color="auto" w:fill="auto"/>
            <w:vAlign w:val="center"/>
          </w:tcPr>
          <w:p w14:paraId="1DB75AB4">
            <w:pPr>
              <w:widowControl/>
              <w:jc w:val="center"/>
              <w:rPr>
                <w:rFonts w:ascii="宋体" w:hAnsi="宋体" w:eastAsia="宋体" w:cs="宋体"/>
                <w:kern w:val="0"/>
                <w:sz w:val="20"/>
                <w:szCs w:val="20"/>
              </w:rPr>
            </w:pPr>
            <w:r>
              <w:rPr>
                <w:rFonts w:hint="eastAsia" w:ascii="宋体" w:hAnsi="宋体" w:eastAsia="宋体" w:cs="宋体"/>
                <w:kern w:val="0"/>
                <w:sz w:val="20"/>
                <w:szCs w:val="20"/>
              </w:rPr>
              <w:t>平方米</w:t>
            </w:r>
          </w:p>
        </w:tc>
        <w:tc>
          <w:tcPr>
            <w:tcW w:w="1276" w:type="dxa"/>
          </w:tcPr>
          <w:p w14:paraId="608765BD">
            <w:pPr>
              <w:widowControl/>
              <w:jc w:val="center"/>
              <w:rPr>
                <w:rFonts w:hint="eastAsia" w:ascii="宋体" w:hAnsi="宋体" w:eastAsia="宋体" w:cs="宋体"/>
                <w:kern w:val="0"/>
                <w:sz w:val="20"/>
                <w:szCs w:val="20"/>
              </w:rPr>
            </w:pPr>
          </w:p>
        </w:tc>
      </w:tr>
      <w:tr w14:paraId="7C868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0" w:hRule="atLeast"/>
        </w:trPr>
        <w:tc>
          <w:tcPr>
            <w:tcW w:w="710" w:type="dxa"/>
            <w:shd w:val="clear" w:color="auto" w:fill="auto"/>
            <w:vAlign w:val="center"/>
          </w:tcPr>
          <w:p w14:paraId="0F2C4177">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w:t>
            </w:r>
          </w:p>
        </w:tc>
        <w:tc>
          <w:tcPr>
            <w:tcW w:w="1134" w:type="dxa"/>
            <w:shd w:val="clear" w:color="auto" w:fill="auto"/>
            <w:vAlign w:val="center"/>
          </w:tcPr>
          <w:p w14:paraId="28D349C3">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显示屏屏体钢结构和屏体周边防水不锈钢包边装饰</w:t>
            </w:r>
          </w:p>
        </w:tc>
        <w:tc>
          <w:tcPr>
            <w:tcW w:w="10773" w:type="dxa"/>
            <w:gridSpan w:val="2"/>
            <w:shd w:val="clear" w:color="auto" w:fill="auto"/>
            <w:vAlign w:val="center"/>
          </w:tcPr>
          <w:p w14:paraId="0C0AD828">
            <w:pPr>
              <w:widowControl/>
              <w:rPr>
                <w:rFonts w:ascii="宋体" w:hAnsi="宋体" w:eastAsia="宋体" w:cs="宋体"/>
                <w:kern w:val="0"/>
                <w:sz w:val="20"/>
                <w:szCs w:val="20"/>
              </w:rPr>
            </w:pPr>
            <w:r>
              <w:rPr>
                <w:rFonts w:hint="eastAsia" w:ascii="宋体" w:hAnsi="宋体" w:eastAsia="宋体" w:cs="宋体"/>
                <w:kern w:val="0"/>
                <w:sz w:val="20"/>
                <w:szCs w:val="20"/>
              </w:rPr>
              <w:t>满足整个舞台屏体使用，钢结构要求：设计标准:《钢结构设计规范》GB50017-2003；施工标准:《钢结构施工规范》GB50755-2012；验收规范:《钢结构工程施工质量验收规范》；安装方式：壁挂式。按设计图进行施工,钢结构制作按照《钢结构施工质量验收规范》GB50205-2001进行制作,钢材加工前进行矫正,使之平直,以免影响制作精度;对接焊缝为坡口焊,焊缝等级不低于二级;所有钢结构制品在防锈后刷环氧富锌防锈底漆两度,再刷与之相配的面漆两度；设计检修通道和门；屏体周边防水及铝塑板、不锈钢包边装饰要求：含高级不锈钢镶边材料；规格:1220mm＊2440mm＊4mm;型号:4mm;芯材:PE;板材:3000、5000等系列;涂层:聚酯涂层丙烯酸涂层;燃烧性能:B1级;颜色:银色，其它颜色可自选；工程包修时间三年；保修时间5年。</w:t>
            </w:r>
          </w:p>
        </w:tc>
        <w:tc>
          <w:tcPr>
            <w:tcW w:w="567" w:type="dxa"/>
            <w:shd w:val="clear" w:color="auto" w:fill="auto"/>
            <w:vAlign w:val="center"/>
          </w:tcPr>
          <w:p w14:paraId="71545175">
            <w:pPr>
              <w:widowControl/>
              <w:jc w:val="center"/>
              <w:rPr>
                <w:rFonts w:ascii="宋体" w:hAnsi="宋体" w:eastAsia="宋体" w:cs="宋体"/>
                <w:kern w:val="0"/>
                <w:sz w:val="20"/>
                <w:szCs w:val="20"/>
              </w:rPr>
            </w:pPr>
            <w:r>
              <w:rPr>
                <w:rFonts w:hint="eastAsia" w:ascii="宋体" w:hAnsi="宋体" w:eastAsia="宋体" w:cs="宋体"/>
                <w:kern w:val="0"/>
                <w:sz w:val="20"/>
                <w:szCs w:val="20"/>
              </w:rPr>
              <w:t>20.18</w:t>
            </w:r>
          </w:p>
        </w:tc>
        <w:tc>
          <w:tcPr>
            <w:tcW w:w="709" w:type="dxa"/>
            <w:shd w:val="clear" w:color="auto" w:fill="auto"/>
            <w:vAlign w:val="center"/>
          </w:tcPr>
          <w:p w14:paraId="20E32ADE">
            <w:pPr>
              <w:widowControl/>
              <w:jc w:val="center"/>
              <w:rPr>
                <w:rFonts w:ascii="宋体" w:hAnsi="宋体" w:eastAsia="宋体" w:cs="宋体"/>
                <w:kern w:val="0"/>
                <w:sz w:val="20"/>
                <w:szCs w:val="20"/>
              </w:rPr>
            </w:pPr>
            <w:r>
              <w:rPr>
                <w:rFonts w:hint="eastAsia" w:ascii="宋体" w:hAnsi="宋体" w:eastAsia="宋体" w:cs="宋体"/>
                <w:kern w:val="0"/>
                <w:sz w:val="20"/>
                <w:szCs w:val="20"/>
              </w:rPr>
              <w:t>平方米</w:t>
            </w:r>
          </w:p>
        </w:tc>
        <w:tc>
          <w:tcPr>
            <w:tcW w:w="1276" w:type="dxa"/>
          </w:tcPr>
          <w:p w14:paraId="52E1872D">
            <w:pPr>
              <w:widowControl/>
              <w:jc w:val="center"/>
              <w:rPr>
                <w:rFonts w:hint="eastAsia" w:ascii="宋体" w:hAnsi="宋体" w:eastAsia="宋体" w:cs="宋体"/>
                <w:kern w:val="0"/>
                <w:sz w:val="20"/>
                <w:szCs w:val="20"/>
              </w:rPr>
            </w:pPr>
          </w:p>
        </w:tc>
      </w:tr>
      <w:tr w14:paraId="2F1D6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710" w:type="dxa"/>
            <w:shd w:val="clear" w:color="auto" w:fill="auto"/>
            <w:vAlign w:val="center"/>
          </w:tcPr>
          <w:p w14:paraId="12F8E926">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6</w:t>
            </w:r>
          </w:p>
        </w:tc>
        <w:tc>
          <w:tcPr>
            <w:tcW w:w="1134" w:type="dxa"/>
            <w:shd w:val="clear" w:color="auto" w:fill="auto"/>
            <w:vAlign w:val="center"/>
          </w:tcPr>
          <w:p w14:paraId="707DD537">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显示屏播控制服务器</w:t>
            </w:r>
          </w:p>
        </w:tc>
        <w:tc>
          <w:tcPr>
            <w:tcW w:w="10773" w:type="dxa"/>
            <w:gridSpan w:val="2"/>
            <w:shd w:val="clear" w:color="auto" w:fill="auto"/>
            <w:vAlign w:val="center"/>
          </w:tcPr>
          <w:p w14:paraId="7CD60479">
            <w:pPr>
              <w:widowControl/>
              <w:rPr>
                <w:rFonts w:ascii="宋体" w:hAnsi="宋体" w:eastAsia="宋体" w:cs="宋体"/>
                <w:kern w:val="0"/>
                <w:sz w:val="20"/>
                <w:szCs w:val="20"/>
              </w:rPr>
            </w:pPr>
            <w:r>
              <w:rPr>
                <w:rFonts w:hint="eastAsia" w:ascii="宋体" w:hAnsi="宋体" w:eastAsia="宋体" w:cs="宋体"/>
                <w:kern w:val="0"/>
                <w:sz w:val="20"/>
                <w:szCs w:val="20"/>
              </w:rPr>
              <w:t>第一部分：1.显示屏物联网受控播放服务器要求内存容量≥4GB，存储硬盘≥128G；千兆网口输出，服务器显示屏≥10英寸、分辨率≥390万像素；具备1路HDMI输出，1路SPDIF音频输出，1路3.5mm音频输出接口；（出具厂商盖章确认的彩页或照片查看、否则投标无效）；整机镶嵌强光自动感应装置，可实现光感自动调节亮度、对比度、色度功能，白天会议室打开窗帘或开灯时可以明显看到显示屏自动提高亮度和对比度、色度，关闭窗帘或关灯时自动降低亮度和对比度、色度；（中标公示后3日内须拿设备到学校验证、不满足地按虚假应标处理）；内置Android11 及以上系统，一体化集成无线投屏、节目播放、发送卡、视频处理功能，单台设备即可完成LED屏点亮，信号上屏功能；支持Wifi 双模式功能；可直接读取U盘的存储内容进行文档演示，视频播放，图片浏览等；支持显示屏除湿功能，当设备一段时间不开启时，再次开启前可以对显示屏进行除湿；支持遥控、鼠标、软件控制，接入物联网中控设备进行统一控制；支持第三方APP在设备上安装及使用，通过遥控器直接操作第三方应用播控；支持红外、I//O、RELAY等控制端口控制第三方设备；提供产品检验报告和3C认证复印件；2. 含中小学专用动画电影和爱国主义题材电影服务器一套要求：标配正版儿童动画和爱国题材高清电影≥310部、每个月固定推送10部近期最新正版高清影片到学校服务器、每天自动更新电影，APP个性化下载，厂家在三年内提供8000多部正版影库供免费下载；具备高清解码芯片及 HDMI2.0接口，实现高码率分辨率蓝光1080p 、4K画质以及5.1、7.1出声道源码输出；视频：1080P，支持4K解码；音频：DTS Dolby、源码输出，支持全景声；外部播放：USB 存储播放； 网络播放：所有安卓应用程序；带宽要求：4M 以上以太网或无线网均可；控制方式：红外遥控，RS232  串口，兼容C4中控；控制软件：IOS/Android系统；服务器机身接口：USB*2、HDMI出、同轴输出、光纤输出口、以太网口RS232、Wi-Fi 接口；尺寸≤ W425mm *H75mm *L280mm；功耗：整机15w低功耗；噪音：37dB；可用手机点播和操控电影播放、遥控器具备鼠标功能，投标时须提交服务器和遥控实物彩色照片验证否则投标无效；提供国家新闻出版广电总局颁发的“信息网络传播视听节目许可证”复印件加盖投标人公章；3.含物联网智能插座(控制大屏电源用)，8孔三口物联网插座，无线连接：IEEE802.11b/g/n ；4、音频受控设备 ：工作频率：（Wi-Fi）2.412～2.484GHz ；具备紧急静音开关、蓝牙强制切换开关、播放和暂停开关、电源总控开关、控制USB设备播放选曲等功能。5.物联网配电柜要求：可用手机远程控制设备开关和运行、运维，三相配电，具有过载、过流、过载保护，软件控制电源系统的开关；具有温湿度采集、开关大屏电源、声音传输功能；可设定任意时间开启和关闭电子显示屏电源；可设定任意时间播放指定节目内容，可设定任意时间关闭播放机。6.受控服务器容灾备份设备要求：配有实时连续备份的服务器数据保护产品，硬件配置≥16G存储，支持提供≥4T存储含备份软件。备份软件包含：CDP文件实时连续备份模块、内存数据自动备份模块、备份数据加密模块、备份数据智能缓存模块、操作系统热备份模块。对选定的数据文件类型，可按照以秒为单位的时间间隔自动备份内存中的该类型数据（提供厂商材料及软件界面截图）。支持本地缓存，当存储设备未联机时，先临时备份在本地硬盘缓存，再次连接上存储设备时，自动转储临时缓存数据到移动存储，确保数据备份保护不中断。支持在线热备操作系统；第二部分：高清视频混合矩阵要求：1、8进8出机箱； 矩阵的箱体结构尺寸3U/5U/10U三种机箱。（投标时需提供以上三种机箱有厂家盖章确认的机箱实物图的图片）。2、输入：4路HDMI，输出：4路HDMI； 信号板卡结构：每张输入输出板卡≤2路信号，具备更高灵活性，经济实用。（投标时需提供有厂家盖章确认的对应板卡图片，并保证施工提供产品与投标时提供产品的真实一致性）。3、 双绞线(HDBaseT)输入输出板卡，配合双绞线传输器可通过双绞线延长输入与输出的信号传输距离到120M。（投标时需提供有厂家盖章确认的对应板卡图片）。4、 光纤板卡输入输出板卡，配合万能信号光纤发送盒/接收盒，工程级万能信号光纤发射器，采用单根单模光纤，支持HDMI/DVI/VGA/YPBPR/CVBS+LR信号10公里发射，支持DVI单通道所有分辨率信号，支持HDCP，工程级万能信号光纤接收器，采用单根单模光纤，支持HDMI/DVI/VGA/YPBPR/CVBS+LR信号10公里发射，支持DVI单通道所有分辨率信号，支持HDCP。（投标时需提供有厂家盖章确认的对应板卡图片）。5、 音频输入输出功能：输出HDMI、DVI、VGA信号支持音频分离输入输出（立体声）功能，能方便与扩声系统连接。（投标时需提供有厂家盖章确认的对应板卡图片，并保证施工提供产品与投标时提供产品的真实一致性）。7、 支持数模混合2路输入板卡：无需转换线，同时支持1路DVI和1路VGA信号输入,同时支持1路DVI和1路HDMI信号输入，同时支持1路DVI和1路HDMI信号输入,点对点硬件无压缩实时转换。（投标时需提供有厂家盖章确认的对应板卡图片，并保证施工提供产品与投标时提供产品的真实一致性）。10、 必须提供原制造商正式授权书、售后服务承诺函、技术性能参数确认函（盖章原件）。11、 可扩展全无缝输出：所有输出通道都支持画面无缝切换，不黑屏。。12、 高可靠性检测：板卡和母箱均经过AOI光学检测，确保清除所有可能之隐患；板卡和母箱均经过72小时老化测试（可提供老化测试记录）；板卡和母箱均经过安规检测和电磁兼容检测。。13、 具有多种设备型号、多种可选机箱模块，每种型号具有不同的最大输入、输出通道，以适应不同大小的系统规模。无论是4块屏幕拼接的小规模演示，还是144块屏幕拼接的大规格系统，均可灵活安装配置最具性价比的机箱规模。。14、插卡式结构：输入信号支持：AV、VGA、 YPbPr、 DVI、 HDMI、SDI、 光 纤、 RJ45（HDBaseT）；输出信号支持：AV、HDMI、DVI、YPbPr、VGA、光纤、网口、RJ45（HDBaseT）、SDI，卡片式结构，极其容易扩展或更换；所有设备及辅件自验收之日起原厂免费两年或以上保修，提供厂家对此项目产品盖鲜章确认的二年免费保修售后服务承诺书；项目竣工验收时使用方可依法邀请一部分参与投标的供应商参与验收，共同监督是否有偷工减料、弄虚作假的行为；中标方需按用户要求进行多次培训直到校方所有使用设备的人员会用为止才可通过验收。</w:t>
            </w:r>
            <w:bookmarkStart w:id="0" w:name="_GoBack"/>
            <w:bookmarkEnd w:id="0"/>
          </w:p>
        </w:tc>
        <w:tc>
          <w:tcPr>
            <w:tcW w:w="567" w:type="dxa"/>
            <w:shd w:val="clear" w:color="auto" w:fill="auto"/>
            <w:vAlign w:val="center"/>
          </w:tcPr>
          <w:p w14:paraId="21281ECF">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709" w:type="dxa"/>
            <w:shd w:val="clear" w:color="auto" w:fill="auto"/>
            <w:vAlign w:val="center"/>
          </w:tcPr>
          <w:p w14:paraId="1FE61DCC">
            <w:pPr>
              <w:widowControl/>
              <w:jc w:val="center"/>
              <w:rPr>
                <w:rFonts w:ascii="宋体" w:hAnsi="宋体" w:eastAsia="宋体" w:cs="宋体"/>
                <w:kern w:val="0"/>
                <w:sz w:val="20"/>
                <w:szCs w:val="20"/>
              </w:rPr>
            </w:pPr>
            <w:r>
              <w:rPr>
                <w:rFonts w:hint="eastAsia" w:ascii="宋体" w:hAnsi="宋体" w:eastAsia="宋体" w:cs="宋体"/>
                <w:kern w:val="0"/>
                <w:sz w:val="20"/>
                <w:szCs w:val="20"/>
              </w:rPr>
              <w:t>套</w:t>
            </w:r>
          </w:p>
        </w:tc>
        <w:tc>
          <w:tcPr>
            <w:tcW w:w="1276" w:type="dxa"/>
          </w:tcPr>
          <w:p w14:paraId="7EDC1D6A">
            <w:pPr>
              <w:widowControl/>
              <w:jc w:val="center"/>
              <w:rPr>
                <w:rFonts w:hint="eastAsia" w:ascii="宋体" w:hAnsi="宋体" w:eastAsia="宋体" w:cs="宋体"/>
                <w:kern w:val="0"/>
                <w:sz w:val="20"/>
                <w:szCs w:val="20"/>
              </w:rPr>
            </w:pPr>
          </w:p>
        </w:tc>
      </w:tr>
      <w:tr w14:paraId="189BB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710" w:type="dxa"/>
            <w:shd w:val="clear" w:color="auto" w:fill="auto"/>
            <w:vAlign w:val="center"/>
          </w:tcPr>
          <w:p w14:paraId="4C706051">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7</w:t>
            </w:r>
          </w:p>
        </w:tc>
        <w:tc>
          <w:tcPr>
            <w:tcW w:w="1134" w:type="dxa"/>
            <w:shd w:val="clear" w:color="auto" w:fill="auto"/>
            <w:vAlign w:val="center"/>
          </w:tcPr>
          <w:p w14:paraId="5A508746">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避雷及防雷系统设计</w:t>
            </w:r>
          </w:p>
        </w:tc>
        <w:tc>
          <w:tcPr>
            <w:tcW w:w="10773" w:type="dxa"/>
            <w:gridSpan w:val="2"/>
            <w:shd w:val="clear" w:color="auto" w:fill="auto"/>
            <w:vAlign w:val="center"/>
          </w:tcPr>
          <w:p w14:paraId="0A0BD931">
            <w:pPr>
              <w:widowControl/>
              <w:rPr>
                <w:rFonts w:ascii="宋体" w:hAnsi="宋体" w:eastAsia="宋体" w:cs="宋体"/>
                <w:kern w:val="0"/>
                <w:sz w:val="20"/>
                <w:szCs w:val="20"/>
              </w:rPr>
            </w:pPr>
            <w:r>
              <w:rPr>
                <w:rFonts w:hint="eastAsia" w:ascii="宋体" w:hAnsi="宋体" w:eastAsia="宋体" w:cs="宋体"/>
                <w:kern w:val="0"/>
                <w:sz w:val="20"/>
                <w:szCs w:val="20"/>
              </w:rPr>
              <w:t>投标时须提供防雷系统设计图纸；三相四线40KW感应雷防护；含（接地系统）一.二.三级电源防雷器；均压环等电位铜排；绝缘端子；接地模块要求≥500*400*60毫米；等电位三相电源避雷器要求：1. 防雷器采用等电位+弱接地技术，对接地电阻要求放宽，甚至不接地也不影响避雷效果，避雷效果稳定。2.具有自动诊断、修复内部故障功能免于人工维护；带防雷指示，劣化指示；3.技术参数：工作电压：380V；持续运行电压：385V；一级标称通流容量：40KA:一级最大通流容量：80KA；二级最大通流容量：30KA;二级末端保护水平：≤1.2KV；工作环境：-20℃～+85℃;相对湿度：＜90；信号避雷器要求：导轨式，百兆。</w:t>
            </w:r>
          </w:p>
        </w:tc>
        <w:tc>
          <w:tcPr>
            <w:tcW w:w="567" w:type="dxa"/>
            <w:shd w:val="clear" w:color="auto" w:fill="auto"/>
            <w:vAlign w:val="center"/>
          </w:tcPr>
          <w:p w14:paraId="64DB7D28">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709" w:type="dxa"/>
            <w:shd w:val="clear" w:color="auto" w:fill="auto"/>
            <w:vAlign w:val="center"/>
          </w:tcPr>
          <w:p w14:paraId="686EBC58">
            <w:pPr>
              <w:widowControl/>
              <w:jc w:val="center"/>
              <w:rPr>
                <w:rFonts w:ascii="宋体" w:hAnsi="宋体" w:eastAsia="宋体" w:cs="宋体"/>
                <w:kern w:val="0"/>
                <w:sz w:val="20"/>
                <w:szCs w:val="20"/>
              </w:rPr>
            </w:pPr>
            <w:r>
              <w:rPr>
                <w:rFonts w:hint="eastAsia" w:ascii="宋体" w:hAnsi="宋体" w:eastAsia="宋体" w:cs="宋体"/>
                <w:kern w:val="0"/>
                <w:sz w:val="20"/>
                <w:szCs w:val="20"/>
              </w:rPr>
              <w:t>套</w:t>
            </w:r>
          </w:p>
        </w:tc>
        <w:tc>
          <w:tcPr>
            <w:tcW w:w="1276" w:type="dxa"/>
          </w:tcPr>
          <w:p w14:paraId="13392E76">
            <w:pPr>
              <w:widowControl/>
              <w:jc w:val="center"/>
              <w:rPr>
                <w:rFonts w:hint="eastAsia" w:ascii="宋体" w:hAnsi="宋体" w:eastAsia="宋体" w:cs="宋体"/>
                <w:kern w:val="0"/>
                <w:sz w:val="20"/>
                <w:szCs w:val="20"/>
              </w:rPr>
            </w:pPr>
          </w:p>
        </w:tc>
      </w:tr>
      <w:tr w14:paraId="5B056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0" w:hRule="atLeast"/>
        </w:trPr>
        <w:tc>
          <w:tcPr>
            <w:tcW w:w="710" w:type="dxa"/>
            <w:shd w:val="clear" w:color="auto" w:fill="auto"/>
            <w:vAlign w:val="center"/>
          </w:tcPr>
          <w:p w14:paraId="3D14B490">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8</w:t>
            </w:r>
          </w:p>
        </w:tc>
        <w:tc>
          <w:tcPr>
            <w:tcW w:w="1134" w:type="dxa"/>
            <w:shd w:val="clear" w:color="auto" w:fill="auto"/>
            <w:vAlign w:val="center"/>
          </w:tcPr>
          <w:p w14:paraId="19D24804">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无线板书及可视化直播系统</w:t>
            </w:r>
          </w:p>
        </w:tc>
        <w:tc>
          <w:tcPr>
            <w:tcW w:w="10773" w:type="dxa"/>
            <w:gridSpan w:val="2"/>
            <w:shd w:val="clear" w:color="auto" w:fill="auto"/>
            <w:vAlign w:val="center"/>
          </w:tcPr>
          <w:p w14:paraId="2790FC27">
            <w:pPr>
              <w:widowControl/>
              <w:rPr>
                <w:rFonts w:ascii="宋体" w:hAnsi="宋体" w:eastAsia="宋体" w:cs="宋体"/>
                <w:kern w:val="0"/>
                <w:sz w:val="20"/>
                <w:szCs w:val="20"/>
              </w:rPr>
            </w:pPr>
            <w:r>
              <w:rPr>
                <w:rFonts w:hint="eastAsia" w:ascii="宋体" w:hAnsi="宋体" w:eastAsia="宋体" w:cs="宋体"/>
                <w:kern w:val="0"/>
                <w:sz w:val="20"/>
                <w:szCs w:val="20"/>
              </w:rPr>
              <w:t>要求实现老师微课录制及板书录播，并无线直播给报告厅LED显示大屏和两个投影机同步无延迟收看；提交加盖厂商印章确认的彩色照片、产品合格证并注明项目名称品牌型号和厂址电话供查验并留存为交货验收依据。具体要求具备直播导播管理软件和操作按键：1、高清摄像机具备光学变焦放大≥220倍 , 有自动聚焦和手动聚焦模式,带自动光圈；2、摄像机云台垂直旋转≥90°（直播教师机位和板书机位）,水平旋转≥180°;3、总像素≥ 1300万像素，4K高清 ,清晰度 ≥1200TV线；分辨率 ≥3840×2160, 自动白平衡；4、最小拍摄范围≥A2；5、具备以下物理按键：电源、 灯光、 图像冻结、亮度+/亮度-、图像放大/缩小、输入切换（录像和计算机）、灯光切换、聚远/聚近、锐度+ / 锐度- 、录像 、视频 、确定、播放、退出 ,拍照 、回放 、删除 、存储模式、 冻结、 旋转、分屏图片对比、英文、 黑/彩 、镜像、 分辨率 、信号源、计算机等按键 ;6、照明环保LED顶灯灯珠≥14颗;7、信号输入内嵌式接口HDMI≥ 1 个，信号输出接口HDMI≥2 个，USB2.0接口≥2个（连电脑、U盘），RS-232接口≥ 1 个、话筒拾音接口≥ 1 个;7、高级功能要求：内置一体化液晶显示屏≤ 23英寸、同步直播和回放板书内容、微课视频；8、要求内存≥ 128G,可选内存≥ 1T的内存供货，音视频课件可制微课直接存储和拷贝；9、含全中文遥控器一个，中文按键≥27个；具备图像旋转、图像镜像等；10、其他要求：电源≤ DC 12V直流 ，功耗 ≤20W ，净重≤3.5Kg；尺寸：长×宽×高  收合时 ≤15×25×49CM ，展开时 ≤48×25×55CM ；以上参数都是重要参数、不接受有负偏离点的产品、中标通知公布后三日内提交椅子实物到学校查看，不满足的不签合同，按提供虚假材料骗取中标的违法行为通报给财政局采购主管部门处理；提供四年质保；配套可视化教室移动音视频交互直播系统要求：系统支持4G和5G、WIFI直播，可以生成微信二维码扫码直播；支持钉钉和腾讯会议等直播平台直播；具备视频会议功能；具备蓝幕抠像虚拟直播功能；含直播、录播、导播管理软件；具备双画面录制功能；含摄像机≥2套，像素≥1300万像素；主机和高清触控监视屏一体化设计、含导播按键、音量大小调节键、摄像机切换键，触控监视屏≦17.8英寸、含一体化高灵敏度拾音麦、含高保真智能自动扩音器；含系统使用的脚架两套、其中一套带AI智能跟拍功能；</w:t>
            </w:r>
          </w:p>
        </w:tc>
        <w:tc>
          <w:tcPr>
            <w:tcW w:w="567" w:type="dxa"/>
            <w:shd w:val="clear" w:color="auto" w:fill="auto"/>
            <w:vAlign w:val="center"/>
          </w:tcPr>
          <w:p w14:paraId="3CF67C98">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709" w:type="dxa"/>
            <w:shd w:val="clear" w:color="auto" w:fill="auto"/>
            <w:vAlign w:val="center"/>
          </w:tcPr>
          <w:p w14:paraId="435A04DA">
            <w:pPr>
              <w:widowControl/>
              <w:jc w:val="center"/>
              <w:rPr>
                <w:rFonts w:ascii="宋体" w:hAnsi="宋体" w:eastAsia="宋体" w:cs="宋体"/>
                <w:kern w:val="0"/>
                <w:sz w:val="20"/>
                <w:szCs w:val="20"/>
              </w:rPr>
            </w:pPr>
            <w:r>
              <w:rPr>
                <w:rFonts w:hint="eastAsia" w:ascii="宋体" w:hAnsi="宋体" w:eastAsia="宋体" w:cs="宋体"/>
                <w:kern w:val="0"/>
                <w:sz w:val="20"/>
                <w:szCs w:val="20"/>
              </w:rPr>
              <w:t>套</w:t>
            </w:r>
          </w:p>
        </w:tc>
        <w:tc>
          <w:tcPr>
            <w:tcW w:w="1276" w:type="dxa"/>
          </w:tcPr>
          <w:p w14:paraId="238D113B">
            <w:pPr>
              <w:widowControl/>
              <w:jc w:val="center"/>
              <w:rPr>
                <w:rFonts w:hint="eastAsia" w:ascii="宋体" w:hAnsi="宋体" w:eastAsia="宋体" w:cs="宋体"/>
                <w:kern w:val="0"/>
                <w:sz w:val="20"/>
                <w:szCs w:val="20"/>
              </w:rPr>
            </w:pPr>
          </w:p>
        </w:tc>
      </w:tr>
      <w:tr w14:paraId="2D0DB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10" w:type="dxa"/>
            <w:shd w:val="clear" w:color="auto" w:fill="auto"/>
            <w:vAlign w:val="center"/>
          </w:tcPr>
          <w:p w14:paraId="61710305">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9</w:t>
            </w:r>
          </w:p>
        </w:tc>
        <w:tc>
          <w:tcPr>
            <w:tcW w:w="1134" w:type="dxa"/>
            <w:shd w:val="clear" w:color="auto" w:fill="auto"/>
            <w:vAlign w:val="center"/>
          </w:tcPr>
          <w:p w14:paraId="06DA92F6">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标准机柜</w:t>
            </w:r>
          </w:p>
        </w:tc>
        <w:tc>
          <w:tcPr>
            <w:tcW w:w="10773" w:type="dxa"/>
            <w:gridSpan w:val="2"/>
            <w:shd w:val="clear" w:color="auto" w:fill="auto"/>
            <w:vAlign w:val="center"/>
          </w:tcPr>
          <w:p w14:paraId="2337974D">
            <w:pPr>
              <w:widowControl/>
              <w:rPr>
                <w:rFonts w:ascii="宋体" w:hAnsi="宋体" w:eastAsia="宋体" w:cs="宋体"/>
                <w:kern w:val="0"/>
                <w:sz w:val="20"/>
                <w:szCs w:val="20"/>
              </w:rPr>
            </w:pPr>
            <w:r>
              <w:rPr>
                <w:rFonts w:hint="eastAsia" w:ascii="宋体" w:hAnsi="宋体" w:eastAsia="宋体" w:cs="宋体"/>
                <w:kern w:val="0"/>
                <w:sz w:val="20"/>
                <w:szCs w:val="20"/>
              </w:rPr>
              <w:t>满足安装这次采购的所有设备使用；承重80公斤以上，具备防水功能、冷轧钢材料。</w:t>
            </w:r>
          </w:p>
        </w:tc>
        <w:tc>
          <w:tcPr>
            <w:tcW w:w="567" w:type="dxa"/>
            <w:shd w:val="clear" w:color="auto" w:fill="auto"/>
            <w:vAlign w:val="center"/>
          </w:tcPr>
          <w:p w14:paraId="58C12C01">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709" w:type="dxa"/>
            <w:shd w:val="clear" w:color="auto" w:fill="auto"/>
            <w:vAlign w:val="center"/>
          </w:tcPr>
          <w:p w14:paraId="6A428B61">
            <w:pPr>
              <w:widowControl/>
              <w:jc w:val="center"/>
              <w:rPr>
                <w:rFonts w:ascii="宋体" w:hAnsi="宋体" w:eastAsia="宋体" w:cs="宋体"/>
                <w:kern w:val="0"/>
                <w:sz w:val="20"/>
                <w:szCs w:val="20"/>
              </w:rPr>
            </w:pPr>
            <w:r>
              <w:rPr>
                <w:rFonts w:hint="eastAsia" w:ascii="宋体" w:hAnsi="宋体" w:eastAsia="宋体" w:cs="宋体"/>
                <w:kern w:val="0"/>
                <w:sz w:val="20"/>
                <w:szCs w:val="20"/>
              </w:rPr>
              <w:t>套</w:t>
            </w:r>
          </w:p>
        </w:tc>
        <w:tc>
          <w:tcPr>
            <w:tcW w:w="1276" w:type="dxa"/>
          </w:tcPr>
          <w:p w14:paraId="61D098F0">
            <w:pPr>
              <w:widowControl/>
              <w:jc w:val="center"/>
              <w:rPr>
                <w:rFonts w:hint="eastAsia" w:ascii="宋体" w:hAnsi="宋体" w:eastAsia="宋体" w:cs="宋体"/>
                <w:kern w:val="0"/>
                <w:sz w:val="20"/>
                <w:szCs w:val="20"/>
              </w:rPr>
            </w:pPr>
          </w:p>
        </w:tc>
      </w:tr>
      <w:tr w14:paraId="6507F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710" w:type="dxa"/>
            <w:shd w:val="clear" w:color="auto" w:fill="auto"/>
            <w:vAlign w:val="center"/>
          </w:tcPr>
          <w:p w14:paraId="63B5F980">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10</w:t>
            </w:r>
          </w:p>
        </w:tc>
        <w:tc>
          <w:tcPr>
            <w:tcW w:w="1134" w:type="dxa"/>
            <w:shd w:val="clear" w:color="auto" w:fill="auto"/>
            <w:vAlign w:val="center"/>
          </w:tcPr>
          <w:p w14:paraId="33F8FEF8">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工程勘察设计服务</w:t>
            </w:r>
          </w:p>
        </w:tc>
        <w:tc>
          <w:tcPr>
            <w:tcW w:w="10773" w:type="dxa"/>
            <w:gridSpan w:val="2"/>
            <w:shd w:val="clear" w:color="auto" w:fill="auto"/>
            <w:vAlign w:val="center"/>
          </w:tcPr>
          <w:p w14:paraId="7A91E27A">
            <w:pPr>
              <w:widowControl/>
              <w:rPr>
                <w:rFonts w:ascii="宋体" w:hAnsi="宋体" w:eastAsia="宋体" w:cs="宋体"/>
                <w:color w:val="000000"/>
                <w:kern w:val="0"/>
                <w:sz w:val="20"/>
                <w:szCs w:val="20"/>
              </w:rPr>
            </w:pPr>
            <w:r>
              <w:rPr>
                <w:rFonts w:hint="eastAsia" w:ascii="宋体" w:hAnsi="宋体" w:eastAsia="宋体" w:cs="宋体"/>
                <w:color w:val="000000"/>
                <w:kern w:val="0"/>
                <w:sz w:val="20"/>
                <w:szCs w:val="20"/>
              </w:rPr>
              <w:t>工程勘察设计服务：含报告厅LED屏体安装、装修、网络布局设计图及现场勘踏表回执；现场勘踏表和设计图或效果图审验要求：投标商在开标前需到现场勘查，现场勘踏回执由学校经办人签字确认，投标时提交扫描件审查，复印件封入标书作为中标后的施工依据、否则投标无效；提供显示屏和录播设备安装的网络布局图或拓扑图、书面施工详案封入标书，整个项目施工须符合国家环保标准。</w:t>
            </w:r>
          </w:p>
        </w:tc>
        <w:tc>
          <w:tcPr>
            <w:tcW w:w="567" w:type="dxa"/>
            <w:shd w:val="clear" w:color="auto" w:fill="auto"/>
            <w:vAlign w:val="center"/>
          </w:tcPr>
          <w:p w14:paraId="0E41DD2F">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709" w:type="dxa"/>
            <w:shd w:val="clear" w:color="auto" w:fill="auto"/>
            <w:vAlign w:val="center"/>
          </w:tcPr>
          <w:p w14:paraId="612DA285">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套</w:t>
            </w:r>
          </w:p>
        </w:tc>
        <w:tc>
          <w:tcPr>
            <w:tcW w:w="1276" w:type="dxa"/>
          </w:tcPr>
          <w:p w14:paraId="4B2D1256">
            <w:pPr>
              <w:widowControl/>
              <w:jc w:val="center"/>
              <w:rPr>
                <w:rFonts w:hint="eastAsia" w:ascii="宋体" w:hAnsi="宋体" w:eastAsia="宋体" w:cs="宋体"/>
                <w:color w:val="000000"/>
                <w:kern w:val="0"/>
                <w:sz w:val="20"/>
                <w:szCs w:val="20"/>
              </w:rPr>
            </w:pPr>
          </w:p>
        </w:tc>
      </w:tr>
      <w:tr w14:paraId="2EEA9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10" w:type="dxa"/>
            <w:shd w:val="clear" w:color="auto" w:fill="auto"/>
            <w:vAlign w:val="center"/>
          </w:tcPr>
          <w:p w14:paraId="31458BCC">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11</w:t>
            </w:r>
          </w:p>
        </w:tc>
        <w:tc>
          <w:tcPr>
            <w:tcW w:w="1134" w:type="dxa"/>
            <w:shd w:val="clear" w:color="auto" w:fill="auto"/>
            <w:vAlign w:val="center"/>
          </w:tcPr>
          <w:p w14:paraId="072D9CB0">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设备机柜</w:t>
            </w:r>
          </w:p>
        </w:tc>
        <w:tc>
          <w:tcPr>
            <w:tcW w:w="10773" w:type="dxa"/>
            <w:gridSpan w:val="2"/>
            <w:shd w:val="clear" w:color="auto" w:fill="auto"/>
            <w:vAlign w:val="center"/>
          </w:tcPr>
          <w:p w14:paraId="721DBBD2">
            <w:pPr>
              <w:widowControl/>
              <w:rPr>
                <w:rFonts w:ascii="宋体" w:hAnsi="宋体" w:eastAsia="宋体" w:cs="宋体"/>
                <w:color w:val="000000"/>
                <w:kern w:val="0"/>
                <w:sz w:val="20"/>
                <w:szCs w:val="20"/>
              </w:rPr>
            </w:pPr>
            <w:r>
              <w:rPr>
                <w:rFonts w:hint="eastAsia" w:ascii="宋体" w:hAnsi="宋体" w:eastAsia="宋体" w:cs="宋体"/>
                <w:color w:val="000000"/>
                <w:kern w:val="0"/>
                <w:sz w:val="20"/>
                <w:szCs w:val="20"/>
              </w:rPr>
              <w:t>满足安装这次采购的所有设备使用；承重80公斤以上，具备防水功能、冷轧钢材料。满足控制服务器专用，满足安装所有控制设备使用。</w:t>
            </w:r>
          </w:p>
        </w:tc>
        <w:tc>
          <w:tcPr>
            <w:tcW w:w="567" w:type="dxa"/>
            <w:shd w:val="clear" w:color="auto" w:fill="auto"/>
            <w:vAlign w:val="center"/>
          </w:tcPr>
          <w:p w14:paraId="421D931D">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709" w:type="dxa"/>
            <w:shd w:val="clear" w:color="auto" w:fill="auto"/>
            <w:vAlign w:val="center"/>
          </w:tcPr>
          <w:p w14:paraId="1F57E234">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个</w:t>
            </w:r>
          </w:p>
        </w:tc>
        <w:tc>
          <w:tcPr>
            <w:tcW w:w="1276" w:type="dxa"/>
          </w:tcPr>
          <w:p w14:paraId="17B91683">
            <w:pPr>
              <w:widowControl/>
              <w:jc w:val="center"/>
              <w:rPr>
                <w:rFonts w:hint="eastAsia" w:ascii="宋体" w:hAnsi="宋体" w:eastAsia="宋体" w:cs="宋体"/>
                <w:color w:val="000000"/>
                <w:kern w:val="0"/>
                <w:sz w:val="20"/>
                <w:szCs w:val="20"/>
              </w:rPr>
            </w:pPr>
          </w:p>
        </w:tc>
      </w:tr>
      <w:tr w14:paraId="5EC2B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710" w:type="dxa"/>
            <w:shd w:val="clear" w:color="auto" w:fill="auto"/>
            <w:vAlign w:val="center"/>
          </w:tcPr>
          <w:p w14:paraId="307C8EC2">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12</w:t>
            </w:r>
          </w:p>
        </w:tc>
        <w:tc>
          <w:tcPr>
            <w:tcW w:w="1134" w:type="dxa"/>
            <w:shd w:val="clear" w:color="auto" w:fill="auto"/>
            <w:vAlign w:val="center"/>
          </w:tcPr>
          <w:p w14:paraId="3FBB62D6">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室内墙面及整体吸音设计及装修</w:t>
            </w:r>
          </w:p>
        </w:tc>
        <w:tc>
          <w:tcPr>
            <w:tcW w:w="10773" w:type="dxa"/>
            <w:gridSpan w:val="2"/>
            <w:shd w:val="clear" w:color="auto" w:fill="auto"/>
            <w:vAlign w:val="center"/>
          </w:tcPr>
          <w:p w14:paraId="4192B5E5">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一、提供报告厅装修设计效果图要求；上传投标文件时同时上传3张以上按照报告厅真实尺寸比例设计的彩色效果图加盖公章及法人代表章确认并作为施工和验收依据、上传一份VR实景设计图，不满足的投标无效；二、装修面积约为20平方米；LED屏左右两边墙体整面墙重新铺设吸音板，采用8CM实木搭架，大芯板打底、填充优质吸音棉，表面安装哑光面孔状木质吸音板，规格：2400mm*120mm*15mm，墙体上部表面贴吸音矿棉板，不锈钢包边，具有最高防火等级B1级，甲醛含量须符合国家要求。吸音板和矿棉板材质须通过国家权威部门检测并提供检验报告，提供样品留存作为验收比对依据。吸音板和矿棉板生产厂家须具备环境管理体系认证证书（ISO14001、质量管理体系认证证书（ISO9001、中国环境标志产品证书，提供证书扫描件并加盖厂家公章。本项中的数量为预估暂定值，具体数量须按现场勘查实测情况纳入报价并包干实施。甲醛含量符合国家标准，为保护学生健康，安装调试完毕后要通过相关环保部门检测通过并出具检测报告才能投入使用；</w:t>
            </w:r>
          </w:p>
        </w:tc>
        <w:tc>
          <w:tcPr>
            <w:tcW w:w="567" w:type="dxa"/>
            <w:shd w:val="clear" w:color="auto" w:fill="auto"/>
            <w:vAlign w:val="center"/>
          </w:tcPr>
          <w:p w14:paraId="40B55252">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709" w:type="dxa"/>
            <w:shd w:val="clear" w:color="auto" w:fill="auto"/>
            <w:vAlign w:val="center"/>
          </w:tcPr>
          <w:p w14:paraId="0676CF24">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项</w:t>
            </w:r>
          </w:p>
        </w:tc>
        <w:tc>
          <w:tcPr>
            <w:tcW w:w="1276" w:type="dxa"/>
          </w:tcPr>
          <w:p w14:paraId="1A6927DF">
            <w:pPr>
              <w:widowControl/>
              <w:jc w:val="center"/>
              <w:rPr>
                <w:rFonts w:hint="eastAsia" w:ascii="宋体" w:hAnsi="宋体" w:eastAsia="宋体" w:cs="宋体"/>
                <w:color w:val="000000"/>
                <w:kern w:val="0"/>
                <w:sz w:val="20"/>
                <w:szCs w:val="20"/>
              </w:rPr>
            </w:pPr>
          </w:p>
        </w:tc>
      </w:tr>
      <w:tr w14:paraId="4F729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5" w:hRule="atLeast"/>
        </w:trPr>
        <w:tc>
          <w:tcPr>
            <w:tcW w:w="710" w:type="dxa"/>
            <w:shd w:val="clear" w:color="auto" w:fill="auto"/>
            <w:vAlign w:val="center"/>
          </w:tcPr>
          <w:p w14:paraId="47EEB6F8">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13</w:t>
            </w:r>
          </w:p>
        </w:tc>
        <w:tc>
          <w:tcPr>
            <w:tcW w:w="1134" w:type="dxa"/>
            <w:shd w:val="clear" w:color="auto" w:fill="auto"/>
            <w:vAlign w:val="center"/>
          </w:tcPr>
          <w:p w14:paraId="3191E71F">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折叠式电动升降会议扩音系统</w:t>
            </w:r>
          </w:p>
        </w:tc>
        <w:tc>
          <w:tcPr>
            <w:tcW w:w="10773" w:type="dxa"/>
            <w:gridSpan w:val="2"/>
            <w:shd w:val="clear" w:color="auto" w:fill="auto"/>
            <w:vAlign w:val="center"/>
          </w:tcPr>
          <w:p w14:paraId="4B31467B">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一、内置8英寸数字触控点歌机一套、海量曲库≥47万首高清海量曲库；集成数字调音台、数字效果器、两套手持无线麦克风及收纳室、两套自动升降幅度≥140厘米的飞机涡轮发动机式音响、完全升起打开时呈现飞机机翼起飞状态（分别内置10英寸重低音、5英寸中音喇叭、4英寸返听音箱、3英寸高音喇叭）、蓝牙点歌机、数字功放、大合唱麦克风等为一体。二、升降话筒杆内置合唱话筒线路，具备平板和手机万用夹方便快速夹紧任意手机和平板电脑；三、带泡沫的保护袋可在音箱站立时快速按音箱造型嵌入式收纳保护好一体机、全部拉链式装袋；四、1.功放:重低音输出功率≥180W*2；中高音输出功率≥80W*2；最大功耗≥520W；2.话筒:通道数≥8通道 调制方式:FM；话筒拾音头:动圈式；振荡方式:数字频率合成器；一体音箱周围一米范围内打开无线话筒讲话无啸叫声；无线话筒电池:2*AA碱件电池或可充电电池；3.材质:木纹复合型箱体外设圆形钢网保护；手持麦头:钢制网头用合金网头、有海绵防风罩保护；4.标配:2对电池、车载和市电两用充电器；含车载包可放进任意车型后备厢；5.一体机音响展开尺寸≥高1420x左右宽1800x前后厚度540mm，含3支麦克风（其中一支合唱麦克风内置于一体机升降支架上），重量≥32Kg；五、功能要求：全频音域360°无死角扩声，采用全频100W扬声器单元构成声学结构，高保真音质出色不变声；采用蓝牙5.0技术，20米以上远距离传输稳定不掉线；内置8个喇叭，HiFi级音质，内置两只10英寸的低音喇叭单元和六只3英寸的中高音喇叭单元，内置两只5英寸的返听喇叭单元；扩音总功率≥560W；真无线立体声，强劲低音，CD级音乐；自带可180°旋转连体折叠麦，专业防啸叫，动圈式咪芯，采用阻尼转轴结构设计，内走线支杆；一键折叠；电动升降扬声器，可随意控制高度和角度；带数字调音控制面板，可通过旋钮和按键来设置音量大小，混响、高低音、扩声环境等；数字调音台可调节菜单≥3级，可调节按钮≥14个；支持多种音源输入：蓝牙、AUX、opt等；兼容apt X™解码音频技术，可增强智能手机、平板电脑与一体化扩音系统之间的信号连接，享受更高品质的音频效果；内置大容量蓄电池，充电3小时满格，最长可连续使用时间≥10小时。含11英寸平板电脑点歌机一套，CPU: 10核处理器≥2.6GHz，内存≥ 4GB、硬盘≥128GB，分辨率: 1920*1080，TF卡支持≥ 128G，电池: 7500mAh，触摸屏: 5点触摸/G+G，操作系统: Android9.0，WIFI:双频WIFI，尺寸≥281.8*177.4*9.3； BT: 5.0，摄像头:前置后置摄像头，语言:支持多语言，标配: 11.6寸平板电脑(含128G移动硬盘)、含充电器。可智能语音点歌，采用5.0高版本蓝牙芯片，海量曲库≥47万首高清海量曲库，收录当下热门歌曲、抖音歌曲等；8000mAh大容量超强续航，足够支持全天24小时连续使用。</w:t>
            </w:r>
          </w:p>
        </w:tc>
        <w:tc>
          <w:tcPr>
            <w:tcW w:w="567" w:type="dxa"/>
            <w:shd w:val="clear" w:color="auto" w:fill="auto"/>
            <w:vAlign w:val="center"/>
          </w:tcPr>
          <w:p w14:paraId="1E748B5B">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709" w:type="dxa"/>
            <w:shd w:val="clear" w:color="auto" w:fill="auto"/>
            <w:vAlign w:val="center"/>
          </w:tcPr>
          <w:p w14:paraId="51990E52">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套</w:t>
            </w:r>
          </w:p>
        </w:tc>
        <w:tc>
          <w:tcPr>
            <w:tcW w:w="1276" w:type="dxa"/>
          </w:tcPr>
          <w:p w14:paraId="4724BD02">
            <w:pPr>
              <w:widowControl/>
              <w:jc w:val="center"/>
              <w:rPr>
                <w:rFonts w:hint="eastAsia" w:ascii="宋体" w:hAnsi="宋体" w:eastAsia="宋体" w:cs="宋体"/>
                <w:color w:val="000000"/>
                <w:kern w:val="0"/>
                <w:sz w:val="20"/>
                <w:szCs w:val="20"/>
              </w:rPr>
            </w:pPr>
          </w:p>
        </w:tc>
      </w:tr>
      <w:tr w14:paraId="189D4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10" w:type="dxa"/>
            <w:shd w:val="clear" w:color="auto" w:fill="auto"/>
            <w:vAlign w:val="center"/>
          </w:tcPr>
          <w:p w14:paraId="3D893940">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14</w:t>
            </w:r>
          </w:p>
        </w:tc>
        <w:tc>
          <w:tcPr>
            <w:tcW w:w="1134" w:type="dxa"/>
            <w:shd w:val="clear" w:color="000000" w:fill="FFFFFF"/>
            <w:vAlign w:val="center"/>
          </w:tcPr>
          <w:p w14:paraId="5E496A71">
            <w:pPr>
              <w:widowControl/>
              <w:jc w:val="left"/>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防水线性阵列音箱</w:t>
            </w:r>
          </w:p>
        </w:tc>
        <w:tc>
          <w:tcPr>
            <w:tcW w:w="10773" w:type="dxa"/>
            <w:gridSpan w:val="2"/>
            <w:shd w:val="clear" w:color="000000" w:fill="FFFFFF"/>
          </w:tcPr>
          <w:p w14:paraId="3688DFC9">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1、防水设计，单只音箱峰值功率≧2000W,持续功率≧500W；2、声压级（持续/峰值）:125dB/131dB；3、阻抗：8 Ohms；4、单套返听阵列音箱体积(高)≥110厘米 、(宽) ≤12厘米；(厚) ≤14厘米；5、单套返听阵列音箱磁吸连接功放一体机后总高度≥250厘米；单套返听阵列音箱内置高保真喇叭≥9个X4英寸钕铁硼全频单元+25芯钕铁硼高频单元，总净重≤16Kg；6、具备一线通可寻址功能（即接一根网线即可实现校园广播信号接入播放和电动控制阵列音箱旋转方向）；7、采用压铸铝箱体，输入连接要求 4 x Euroblock；8、电动旋转装置可旋转360度的底座设计，旋转时具备阻尼手感反馈式设计。9、具备一线通可寻址功能（即接一根网线即可实现校园广播信号接入播放和控制旋转方向）；10、压铸铝箱体，表面喷进口细砂烤漆保护，常年外挂使用、防水防晒。</w:t>
            </w:r>
          </w:p>
        </w:tc>
        <w:tc>
          <w:tcPr>
            <w:tcW w:w="567" w:type="dxa"/>
            <w:shd w:val="clear" w:color="000000" w:fill="FFFFFF"/>
            <w:vAlign w:val="center"/>
          </w:tcPr>
          <w:p w14:paraId="68BD047A">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4</w:t>
            </w:r>
          </w:p>
        </w:tc>
        <w:tc>
          <w:tcPr>
            <w:tcW w:w="709" w:type="dxa"/>
            <w:shd w:val="clear" w:color="000000" w:fill="FFFFFF"/>
            <w:vAlign w:val="center"/>
          </w:tcPr>
          <w:p w14:paraId="3CD83A8D">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只</w:t>
            </w:r>
          </w:p>
        </w:tc>
        <w:tc>
          <w:tcPr>
            <w:tcW w:w="1276" w:type="dxa"/>
            <w:shd w:val="clear" w:color="000000" w:fill="FFFFFF"/>
          </w:tcPr>
          <w:p w14:paraId="2E44222C">
            <w:pPr>
              <w:widowControl/>
              <w:jc w:val="center"/>
              <w:rPr>
                <w:rFonts w:hint="eastAsia" w:ascii="方正仿宋_GB2312" w:hAnsi="方正仿宋_GB2312" w:eastAsia="方正仿宋_GB2312" w:cs="宋体"/>
                <w:color w:val="000000"/>
                <w:kern w:val="0"/>
                <w:sz w:val="20"/>
                <w:szCs w:val="20"/>
              </w:rPr>
            </w:pPr>
          </w:p>
        </w:tc>
      </w:tr>
      <w:tr w14:paraId="4E96F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710" w:type="dxa"/>
            <w:shd w:val="clear" w:color="auto" w:fill="auto"/>
            <w:vAlign w:val="center"/>
          </w:tcPr>
          <w:p w14:paraId="04CCED3B">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15</w:t>
            </w:r>
          </w:p>
        </w:tc>
        <w:tc>
          <w:tcPr>
            <w:tcW w:w="1134" w:type="dxa"/>
            <w:shd w:val="clear" w:color="000000" w:fill="FFFFFF"/>
            <w:vAlign w:val="center"/>
          </w:tcPr>
          <w:p w14:paraId="6EA6E8E4">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防水超薄重低音数字化一体机</w:t>
            </w:r>
          </w:p>
        </w:tc>
        <w:tc>
          <w:tcPr>
            <w:tcW w:w="10773" w:type="dxa"/>
            <w:gridSpan w:val="2"/>
            <w:shd w:val="clear" w:color="auto" w:fill="auto"/>
            <w:vAlign w:val="bottom"/>
          </w:tcPr>
          <w:p w14:paraId="2288ED20">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防水超薄重低音数字化一体机：1、功率;持续功率≥1550W；峰值功率≥6200W；声压级（持续/峰值）≥128dB/134dB；</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2、超低音一体机与每套返听线性阵列音箱快速磁吸接触式连接，无须连接信号线和其他线；3、由于报告厅舞台设计特殊要求，对防水超薄重低音数字化一体机尺寸要求为：超薄箱体厚度D＜21厘米、宽W≥110厘米x高H≤60厘米、重量≥60公斤。须上传加盖厂家印章的一体机彩色照片查看并作为交货验收依据、不满足的投标无效；4内置具备3C认证的三路数字功放一套，内置数字DSP有源485控制模块；5、一体机内置均衡器一套、压限器一套、延时器一套、分频器一套、反馈抑制器一套；6、具备功能播放模式≥12种；含中英文控制软件一套；7、主机内置 15英寸大功率喇叭单元≥1个，一体机内置10英寸的大功率双音圈超薄低频喇叭≥4个；提供带轮子的收纳航空箱一套；8、具备户外防水功能；有源高性能高效率超低频一体机，箱体表面使用高端黑金刚砂喷漆处理 ；内置通过3C认证的三路数字功放一套，内置数字DSP有源485控制模块。具备过载、过热保护功能；9、具备主机一线通可寻址功能（即接一根网线即可实现校园广播信号接入播放和控制旋转方向）；10、可任意360度电动调整音箱角度，内置电机旋转式底座设计，旋转时具备阻尼手感反馈式设计。3毫米铝合金材质外加防水防划伤涂层,超低频采用聚脲涂层，有源模块采用磁力自动翻转防雨布设计，防风防雨；</w:t>
            </w:r>
          </w:p>
        </w:tc>
        <w:tc>
          <w:tcPr>
            <w:tcW w:w="567" w:type="dxa"/>
            <w:shd w:val="clear" w:color="000000" w:fill="FFFFFF"/>
            <w:vAlign w:val="center"/>
          </w:tcPr>
          <w:p w14:paraId="7DEA93E6">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2</w:t>
            </w:r>
          </w:p>
        </w:tc>
        <w:tc>
          <w:tcPr>
            <w:tcW w:w="709" w:type="dxa"/>
            <w:shd w:val="clear" w:color="000000" w:fill="FFFFFF"/>
            <w:vAlign w:val="center"/>
          </w:tcPr>
          <w:p w14:paraId="0DA77B96">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套</w:t>
            </w:r>
          </w:p>
        </w:tc>
        <w:tc>
          <w:tcPr>
            <w:tcW w:w="1276" w:type="dxa"/>
            <w:shd w:val="clear" w:color="000000" w:fill="FFFFFF"/>
          </w:tcPr>
          <w:p w14:paraId="09C72664">
            <w:pPr>
              <w:widowControl/>
              <w:jc w:val="center"/>
              <w:rPr>
                <w:rFonts w:hint="eastAsia" w:ascii="方正仿宋_GB2312" w:hAnsi="方正仿宋_GB2312" w:eastAsia="方正仿宋_GB2312" w:cs="宋体"/>
                <w:color w:val="000000"/>
                <w:kern w:val="0"/>
                <w:sz w:val="20"/>
                <w:szCs w:val="20"/>
              </w:rPr>
            </w:pPr>
          </w:p>
        </w:tc>
      </w:tr>
      <w:tr w14:paraId="4D217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710" w:type="dxa"/>
            <w:shd w:val="clear" w:color="auto" w:fill="auto"/>
            <w:vAlign w:val="center"/>
          </w:tcPr>
          <w:p w14:paraId="61420D4F">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16</w:t>
            </w:r>
          </w:p>
        </w:tc>
        <w:tc>
          <w:tcPr>
            <w:tcW w:w="1134" w:type="dxa"/>
            <w:shd w:val="clear" w:color="000000" w:fill="FFFFFF"/>
            <w:vAlign w:val="center"/>
          </w:tcPr>
          <w:p w14:paraId="0BFD699A">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数字调音台</w:t>
            </w:r>
          </w:p>
        </w:tc>
        <w:tc>
          <w:tcPr>
            <w:tcW w:w="10773" w:type="dxa"/>
            <w:gridSpan w:val="2"/>
            <w:shd w:val="clear" w:color="auto" w:fill="auto"/>
          </w:tcPr>
          <w:p w14:paraId="2B18BDB5">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数字调音台要求：电动推子自动调节行程≥100毫米，长冲程；嵌入式彩色触摸屏≥8英寸；可通过内置触摸屏编程控制专业调音台，可编程自定义记忆场景≥32组；所有通道数字化名称可选择需要的内置词条≥60条；12个输入通道，8个单声道输入，2组立体声输出；3条效果总线输出；1AUX，1组返回，1组立体声输出；每通道3段EQ均衡器；内置灵活、高效、超线性的话筒前置放大器；内置DSP数字效果器；内置高品质USB和蓝牙播放器带液晶显示；蓝牙显示器；40位浮点处理器；过载显示灯可根据不同程度的过载调节亮度作警示；提供专业的+48V幻象电源；</w:t>
            </w:r>
          </w:p>
        </w:tc>
        <w:tc>
          <w:tcPr>
            <w:tcW w:w="567" w:type="dxa"/>
            <w:shd w:val="clear" w:color="000000" w:fill="FFFFFF"/>
            <w:vAlign w:val="center"/>
          </w:tcPr>
          <w:p w14:paraId="68C73111">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1</w:t>
            </w:r>
          </w:p>
        </w:tc>
        <w:tc>
          <w:tcPr>
            <w:tcW w:w="709" w:type="dxa"/>
            <w:shd w:val="clear" w:color="000000" w:fill="FFFFFF"/>
            <w:vAlign w:val="center"/>
          </w:tcPr>
          <w:p w14:paraId="51BB55D5">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套</w:t>
            </w:r>
          </w:p>
        </w:tc>
        <w:tc>
          <w:tcPr>
            <w:tcW w:w="1276" w:type="dxa"/>
            <w:shd w:val="clear" w:color="000000" w:fill="FFFFFF"/>
          </w:tcPr>
          <w:p w14:paraId="4144698F">
            <w:pPr>
              <w:widowControl/>
              <w:jc w:val="center"/>
              <w:rPr>
                <w:rFonts w:hint="eastAsia" w:ascii="方正仿宋_GB2312" w:hAnsi="方正仿宋_GB2312" w:eastAsia="方正仿宋_GB2312" w:cs="宋体"/>
                <w:color w:val="000000"/>
                <w:kern w:val="0"/>
                <w:sz w:val="20"/>
                <w:szCs w:val="20"/>
              </w:rPr>
            </w:pPr>
          </w:p>
        </w:tc>
      </w:tr>
      <w:tr w14:paraId="528B3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710" w:type="dxa"/>
            <w:shd w:val="clear" w:color="auto" w:fill="auto"/>
            <w:vAlign w:val="center"/>
          </w:tcPr>
          <w:p w14:paraId="3582322E">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17</w:t>
            </w:r>
          </w:p>
        </w:tc>
        <w:tc>
          <w:tcPr>
            <w:tcW w:w="1134" w:type="dxa"/>
            <w:shd w:val="clear" w:color="000000" w:fill="FFFFFF"/>
            <w:vAlign w:val="center"/>
          </w:tcPr>
          <w:p w14:paraId="35391393">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一拖四无线手持话筒</w:t>
            </w:r>
          </w:p>
        </w:tc>
        <w:tc>
          <w:tcPr>
            <w:tcW w:w="10773" w:type="dxa"/>
            <w:gridSpan w:val="2"/>
            <w:shd w:val="clear" w:color="auto" w:fill="auto"/>
            <w:vAlign w:val="bottom"/>
          </w:tcPr>
          <w:p w14:paraId="4E6D09BC">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1.采用世界先进的DPLL数字锁相环多信道频率合成技术及杂讯自动控制技术(带导频)；2.使用UHF660MHz～690MHz频段，避免干扰频率；3.全新节能模式设置，自动/手动EQ控制功能，自动校正音色全自动开关机模式自动红外线对频系统，全自动扫描；4.双话筒设计，可两人同时演唱手持麦克风隐形天线,采用最新型的高频声表面滤波器，最大限度地滤除带外干扰信号；5.采用二次变频的高频电路设计，具有极高的灵敏度；6.2路独立平衡输出（三位凤凰座）、1路非平衡混合输出，方便连接各种设备；7.本系统内任何一支话筒与任何一台接收机都可对上频，彻底解决了固定频率麦克风不通用的缺点，适合多套产品在同一场合使用；高保真音色,独特的干扰噪音静噪功能；8.采用音频压缩扩展技术，噪音大大减小，动态范围加大；9.1U半机架设计，小巧、灵活，可通过附件单台或两台安装于19寸标准机柜； 10.支持RS-485协议。11.可检测话筒是否打开，话筒电池电量； 12.每支话筒带15段EQ（提供操作界面图作为佐证）；</w:t>
            </w:r>
          </w:p>
        </w:tc>
        <w:tc>
          <w:tcPr>
            <w:tcW w:w="567" w:type="dxa"/>
            <w:shd w:val="clear" w:color="000000" w:fill="FFFFFF"/>
            <w:vAlign w:val="center"/>
          </w:tcPr>
          <w:p w14:paraId="031F98C7">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1</w:t>
            </w:r>
          </w:p>
        </w:tc>
        <w:tc>
          <w:tcPr>
            <w:tcW w:w="709" w:type="dxa"/>
            <w:shd w:val="clear" w:color="000000" w:fill="FFFFFF"/>
            <w:vAlign w:val="center"/>
          </w:tcPr>
          <w:p w14:paraId="3C61EFA1">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套</w:t>
            </w:r>
          </w:p>
        </w:tc>
        <w:tc>
          <w:tcPr>
            <w:tcW w:w="1276" w:type="dxa"/>
            <w:shd w:val="clear" w:color="000000" w:fill="FFFFFF"/>
          </w:tcPr>
          <w:p w14:paraId="57DF993D">
            <w:pPr>
              <w:widowControl/>
              <w:jc w:val="center"/>
              <w:rPr>
                <w:rFonts w:hint="eastAsia" w:ascii="方正仿宋_GB2312" w:hAnsi="方正仿宋_GB2312" w:eastAsia="方正仿宋_GB2312" w:cs="宋体"/>
                <w:color w:val="000000"/>
                <w:kern w:val="0"/>
                <w:sz w:val="20"/>
                <w:szCs w:val="20"/>
              </w:rPr>
            </w:pPr>
          </w:p>
        </w:tc>
      </w:tr>
      <w:tr w14:paraId="5CF33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710" w:type="dxa"/>
            <w:shd w:val="clear" w:color="auto" w:fill="auto"/>
            <w:vAlign w:val="center"/>
          </w:tcPr>
          <w:p w14:paraId="24CE366A">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18</w:t>
            </w:r>
          </w:p>
        </w:tc>
        <w:tc>
          <w:tcPr>
            <w:tcW w:w="1134" w:type="dxa"/>
            <w:shd w:val="clear" w:color="000000" w:fill="FFFFFF"/>
            <w:vAlign w:val="center"/>
          </w:tcPr>
          <w:p w14:paraId="32A071BA">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大合唱话筒</w:t>
            </w:r>
          </w:p>
        </w:tc>
        <w:tc>
          <w:tcPr>
            <w:tcW w:w="10773" w:type="dxa"/>
            <w:gridSpan w:val="2"/>
            <w:shd w:val="clear" w:color="000000" w:fill="FFFFFF"/>
            <w:vAlign w:val="center"/>
          </w:tcPr>
          <w:p w14:paraId="3D329224">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1、心形指响,适合演出合唱，细节丰富；2、灵敏度 :－52 dB ± 1.6dB at 1kHz (0dB=1V/Pa)；3、电源 ：11-52V幻象电源, 电流约1.8mA；4、谐波失真：THD 0.7 %/1KHz；5、声压级:94dB/SPL；6、重量：141g；7、尺寸 ：170*20mm；8、信噪比 S/N：70.5dB(A); 1KHz@1Pa(94 dB APL)；9、指向性：心型指向。</w:t>
            </w:r>
          </w:p>
        </w:tc>
        <w:tc>
          <w:tcPr>
            <w:tcW w:w="567" w:type="dxa"/>
            <w:shd w:val="clear" w:color="000000" w:fill="FFFFFF"/>
            <w:vAlign w:val="center"/>
          </w:tcPr>
          <w:p w14:paraId="70E40B62">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2</w:t>
            </w:r>
          </w:p>
        </w:tc>
        <w:tc>
          <w:tcPr>
            <w:tcW w:w="709" w:type="dxa"/>
            <w:shd w:val="clear" w:color="000000" w:fill="FFFFFF"/>
            <w:vAlign w:val="center"/>
          </w:tcPr>
          <w:p w14:paraId="74B083EE">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只</w:t>
            </w:r>
          </w:p>
        </w:tc>
        <w:tc>
          <w:tcPr>
            <w:tcW w:w="1276" w:type="dxa"/>
            <w:shd w:val="clear" w:color="000000" w:fill="FFFFFF"/>
          </w:tcPr>
          <w:p w14:paraId="789919B0">
            <w:pPr>
              <w:widowControl/>
              <w:jc w:val="center"/>
              <w:rPr>
                <w:rFonts w:hint="eastAsia" w:ascii="方正仿宋_GB2312" w:hAnsi="方正仿宋_GB2312" w:eastAsia="方正仿宋_GB2312" w:cs="宋体"/>
                <w:color w:val="000000"/>
                <w:kern w:val="0"/>
                <w:sz w:val="20"/>
                <w:szCs w:val="20"/>
              </w:rPr>
            </w:pPr>
          </w:p>
        </w:tc>
      </w:tr>
      <w:tr w14:paraId="46348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710" w:type="dxa"/>
            <w:shd w:val="clear" w:color="auto" w:fill="auto"/>
            <w:vAlign w:val="center"/>
          </w:tcPr>
          <w:p w14:paraId="5B6BA027">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19</w:t>
            </w:r>
          </w:p>
        </w:tc>
        <w:tc>
          <w:tcPr>
            <w:tcW w:w="1134" w:type="dxa"/>
            <w:shd w:val="clear" w:color="000000" w:fill="FFFFFF"/>
            <w:vAlign w:val="center"/>
          </w:tcPr>
          <w:p w14:paraId="293E2BE6">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立式话筒支架</w:t>
            </w:r>
          </w:p>
        </w:tc>
        <w:tc>
          <w:tcPr>
            <w:tcW w:w="10773" w:type="dxa"/>
            <w:gridSpan w:val="2"/>
            <w:shd w:val="clear" w:color="000000" w:fill="FFFFFF"/>
            <w:vAlign w:val="center"/>
          </w:tcPr>
          <w:p w14:paraId="00D20235">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豪华型，适合大合唱演出、重量约8公斤，拉伸最高度约2.2米</w:t>
            </w:r>
          </w:p>
        </w:tc>
        <w:tc>
          <w:tcPr>
            <w:tcW w:w="567" w:type="dxa"/>
            <w:shd w:val="clear" w:color="000000" w:fill="FFFFFF"/>
            <w:vAlign w:val="center"/>
          </w:tcPr>
          <w:p w14:paraId="6D25BA62">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2</w:t>
            </w:r>
          </w:p>
        </w:tc>
        <w:tc>
          <w:tcPr>
            <w:tcW w:w="709" w:type="dxa"/>
            <w:shd w:val="clear" w:color="000000" w:fill="FFFFFF"/>
            <w:vAlign w:val="center"/>
          </w:tcPr>
          <w:p w14:paraId="476ABF65">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套</w:t>
            </w:r>
          </w:p>
        </w:tc>
        <w:tc>
          <w:tcPr>
            <w:tcW w:w="1276" w:type="dxa"/>
            <w:shd w:val="clear" w:color="000000" w:fill="FFFFFF"/>
          </w:tcPr>
          <w:p w14:paraId="686EED67">
            <w:pPr>
              <w:widowControl/>
              <w:jc w:val="center"/>
              <w:rPr>
                <w:rFonts w:hint="eastAsia" w:ascii="方正仿宋_GB2312" w:hAnsi="方正仿宋_GB2312" w:eastAsia="方正仿宋_GB2312" w:cs="宋体"/>
                <w:color w:val="000000"/>
                <w:kern w:val="0"/>
                <w:sz w:val="20"/>
                <w:szCs w:val="20"/>
              </w:rPr>
            </w:pPr>
          </w:p>
        </w:tc>
      </w:tr>
      <w:tr w14:paraId="433C0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710" w:type="dxa"/>
            <w:shd w:val="clear" w:color="auto" w:fill="auto"/>
            <w:vAlign w:val="center"/>
          </w:tcPr>
          <w:p w14:paraId="792FDA52">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20</w:t>
            </w:r>
          </w:p>
        </w:tc>
        <w:tc>
          <w:tcPr>
            <w:tcW w:w="1134" w:type="dxa"/>
            <w:shd w:val="clear" w:color="000000" w:fill="FFFFFF"/>
            <w:vAlign w:val="center"/>
          </w:tcPr>
          <w:p w14:paraId="5A40B1D2">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报告厅应急通信系统</w:t>
            </w:r>
          </w:p>
        </w:tc>
        <w:tc>
          <w:tcPr>
            <w:tcW w:w="10773" w:type="dxa"/>
            <w:gridSpan w:val="2"/>
            <w:shd w:val="clear" w:color="000000" w:fill="FFFFFF"/>
            <w:vAlign w:val="center"/>
          </w:tcPr>
          <w:p w14:paraId="7C579692">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确保会议进行时固定网络忽然发生中断事故、自动启动三网合一应急通信系统、确保远程交互式教研会议活动不中断；便携无线Wi-Fi应急通信设备要求：内置移动联通电信三网通流量卡，自动切换附近最优4G和5G网络；具备充电宝功能、可以给手机充电；体积≤120毫米*60毫米*30毫米，重量≤150克；含一年流量费，支持30套以上台式机或手机扫码高速无线上网；</w:t>
            </w:r>
          </w:p>
        </w:tc>
        <w:tc>
          <w:tcPr>
            <w:tcW w:w="567" w:type="dxa"/>
            <w:shd w:val="clear" w:color="000000" w:fill="FFFFFF"/>
            <w:vAlign w:val="center"/>
          </w:tcPr>
          <w:p w14:paraId="7975F5B5">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1</w:t>
            </w:r>
          </w:p>
        </w:tc>
        <w:tc>
          <w:tcPr>
            <w:tcW w:w="709" w:type="dxa"/>
            <w:shd w:val="clear" w:color="000000" w:fill="FFFFFF"/>
            <w:vAlign w:val="center"/>
          </w:tcPr>
          <w:p w14:paraId="55367618">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套</w:t>
            </w:r>
          </w:p>
        </w:tc>
        <w:tc>
          <w:tcPr>
            <w:tcW w:w="1276" w:type="dxa"/>
            <w:shd w:val="clear" w:color="000000" w:fill="FFFFFF"/>
          </w:tcPr>
          <w:p w14:paraId="20BCFC80">
            <w:pPr>
              <w:widowControl/>
              <w:jc w:val="center"/>
              <w:rPr>
                <w:rFonts w:hint="eastAsia" w:ascii="方正仿宋_GB2312" w:hAnsi="方正仿宋_GB2312" w:eastAsia="方正仿宋_GB2312" w:cs="宋体"/>
                <w:color w:val="000000"/>
                <w:kern w:val="0"/>
                <w:sz w:val="20"/>
                <w:szCs w:val="20"/>
              </w:rPr>
            </w:pPr>
          </w:p>
        </w:tc>
      </w:tr>
      <w:tr w14:paraId="02C09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0" w:hRule="atLeast"/>
        </w:trPr>
        <w:tc>
          <w:tcPr>
            <w:tcW w:w="710" w:type="dxa"/>
            <w:shd w:val="clear" w:color="auto" w:fill="auto"/>
            <w:vAlign w:val="center"/>
          </w:tcPr>
          <w:p w14:paraId="1D90BEDF">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21</w:t>
            </w:r>
          </w:p>
        </w:tc>
        <w:tc>
          <w:tcPr>
            <w:tcW w:w="1134" w:type="dxa"/>
            <w:shd w:val="clear" w:color="000000" w:fill="FFFFFF"/>
            <w:vAlign w:val="center"/>
          </w:tcPr>
          <w:p w14:paraId="1104E7C8">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数字电源时序器</w:t>
            </w:r>
          </w:p>
        </w:tc>
        <w:tc>
          <w:tcPr>
            <w:tcW w:w="10773" w:type="dxa"/>
            <w:gridSpan w:val="2"/>
            <w:shd w:val="clear" w:color="000000" w:fill="FFFFFF"/>
            <w:vAlign w:val="center"/>
          </w:tcPr>
          <w:p w14:paraId="521BEE34">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1.工作电压：AC90V-260V；2.受控插座额定输出电流：30A（单路输出额定电流12A）；3.直通插座额定输出电流：10-16A；4.每路开关间隔时间：1S；5. 1路直通电源插座，8路可控磷铜电源插座，时间可设(1-999s)，默认 1s，4英寸电阻屏、分辨率 480*800。 支持屏幕亮度调节。具有工作电压、支持过压、过流、欠压设置；支持定时开关机设置，支持中英文语言切换，支持 RS485 中控控制，波特率可设。6. 定时控制（服务器控制）：定时可自定义添加删除，开机关机和每个通道的开关最多支持100个定时任务，提供APP软件控制功能界面截图佐证；7.Wifi传输距离：30m无阻挡；8. 电流和用电功率并与手机软件界面同步;云平台App管理界面、一台手机可控制多台时序器。9.可控电源：8路，面板直通2路；10.通道开关机延时设置：每路可单独设置开关机延时；11. 内置功率计：屏幕显示即时工作电压，电流，功率，功率因数，并且实时上传手机远程监控。12.过流保护：过压保护、欠压保护、电压保护；13.单通道2000W 总功率6000W；14.顺序开启逆序关闭；15.COM口接入中控控制（代码指令控制）、同时自带安卓软件通过互联网控制；16.每个通道面板独立控制自由控制开启关闭；17.有复位功能； </w:t>
            </w:r>
          </w:p>
        </w:tc>
        <w:tc>
          <w:tcPr>
            <w:tcW w:w="567" w:type="dxa"/>
            <w:shd w:val="clear" w:color="000000" w:fill="FFFFFF"/>
            <w:vAlign w:val="center"/>
          </w:tcPr>
          <w:p w14:paraId="3D18FF0A">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1</w:t>
            </w:r>
          </w:p>
        </w:tc>
        <w:tc>
          <w:tcPr>
            <w:tcW w:w="709" w:type="dxa"/>
            <w:shd w:val="clear" w:color="000000" w:fill="FFFFFF"/>
            <w:vAlign w:val="center"/>
          </w:tcPr>
          <w:p w14:paraId="53612D63">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台</w:t>
            </w:r>
          </w:p>
        </w:tc>
        <w:tc>
          <w:tcPr>
            <w:tcW w:w="1276" w:type="dxa"/>
            <w:shd w:val="clear" w:color="000000" w:fill="FFFFFF"/>
          </w:tcPr>
          <w:p w14:paraId="0976ED66">
            <w:pPr>
              <w:widowControl/>
              <w:jc w:val="center"/>
              <w:rPr>
                <w:rFonts w:hint="eastAsia" w:ascii="方正仿宋_GB2312" w:hAnsi="方正仿宋_GB2312" w:eastAsia="方正仿宋_GB2312" w:cs="宋体"/>
                <w:color w:val="000000"/>
                <w:kern w:val="0"/>
                <w:sz w:val="20"/>
                <w:szCs w:val="20"/>
              </w:rPr>
            </w:pPr>
          </w:p>
        </w:tc>
      </w:tr>
      <w:tr w14:paraId="3C877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710" w:type="dxa"/>
            <w:shd w:val="clear" w:color="auto" w:fill="auto"/>
            <w:vAlign w:val="center"/>
          </w:tcPr>
          <w:p w14:paraId="1D87A51E">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22</w:t>
            </w:r>
          </w:p>
        </w:tc>
        <w:tc>
          <w:tcPr>
            <w:tcW w:w="1134" w:type="dxa"/>
            <w:shd w:val="clear" w:color="000000" w:fill="FFFFFF"/>
            <w:vAlign w:val="center"/>
          </w:tcPr>
          <w:p w14:paraId="1501646D">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显示屏安装线路及音响线路改造，安装调试售后服务</w:t>
            </w:r>
          </w:p>
        </w:tc>
        <w:tc>
          <w:tcPr>
            <w:tcW w:w="10773" w:type="dxa"/>
            <w:gridSpan w:val="2"/>
            <w:shd w:val="clear" w:color="000000" w:fill="FFFFFF"/>
            <w:vAlign w:val="center"/>
          </w:tcPr>
          <w:p w14:paraId="4EE6F4C5">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走线必须按用户现场施工的要求、走暗线、排列布局合理；然后用接近原来装修建材的材料恢复开槽部分、布线要求美观看不见外露的线材；含施工调试服务费及施工过程中所需的所有材料，各种连接线、辅材、接头采用名牌、优质品牌，线芯、接头采用纯铜优质；基础线管和其他杂费；线路铺设应符合GB50311-2007《综合布线工程设计规范》；所有强电电缆正品电缆，所有强弱电走线均为暗线，所敷设暗管均采用阻燃材料；灯光按要求分组控制；同时根据显示屏使用需要配置相关配件如配电箱、空气开关、电源开关等，项目完成验收之日算起，5年内提供质保服务。</w:t>
            </w:r>
          </w:p>
        </w:tc>
        <w:tc>
          <w:tcPr>
            <w:tcW w:w="567" w:type="dxa"/>
            <w:shd w:val="clear" w:color="000000" w:fill="FFFFFF"/>
            <w:vAlign w:val="center"/>
          </w:tcPr>
          <w:p w14:paraId="61272AEF">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1</w:t>
            </w:r>
          </w:p>
        </w:tc>
        <w:tc>
          <w:tcPr>
            <w:tcW w:w="709" w:type="dxa"/>
            <w:shd w:val="clear" w:color="000000" w:fill="FFFFFF"/>
            <w:vAlign w:val="center"/>
          </w:tcPr>
          <w:p w14:paraId="321D0383">
            <w:pPr>
              <w:widowControl/>
              <w:jc w:val="center"/>
              <w:rPr>
                <w:rFonts w:ascii="方正仿宋_GB2312" w:hAnsi="方正仿宋_GB2312" w:eastAsia="方正仿宋_GB2312" w:cs="宋体"/>
                <w:color w:val="000000"/>
                <w:kern w:val="0"/>
                <w:sz w:val="20"/>
                <w:szCs w:val="20"/>
              </w:rPr>
            </w:pPr>
            <w:r>
              <w:rPr>
                <w:rFonts w:hint="eastAsia" w:ascii="方正仿宋_GB2312" w:hAnsi="方正仿宋_GB2312" w:eastAsia="方正仿宋_GB2312" w:cs="宋体"/>
                <w:color w:val="000000"/>
                <w:kern w:val="0"/>
                <w:sz w:val="20"/>
                <w:szCs w:val="20"/>
              </w:rPr>
              <w:t>套</w:t>
            </w:r>
          </w:p>
        </w:tc>
        <w:tc>
          <w:tcPr>
            <w:tcW w:w="1276" w:type="dxa"/>
            <w:shd w:val="clear" w:color="000000" w:fill="FFFFFF"/>
          </w:tcPr>
          <w:p w14:paraId="025BC69E">
            <w:pPr>
              <w:widowControl/>
              <w:jc w:val="center"/>
              <w:rPr>
                <w:rFonts w:hint="eastAsia" w:ascii="方正仿宋_GB2312" w:hAnsi="方正仿宋_GB2312" w:eastAsia="方正仿宋_GB2312" w:cs="宋体"/>
                <w:color w:val="000000"/>
                <w:kern w:val="0"/>
                <w:sz w:val="20"/>
                <w:szCs w:val="20"/>
              </w:rPr>
            </w:pPr>
          </w:p>
        </w:tc>
      </w:tr>
      <w:tr w14:paraId="6F33F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1844" w:type="dxa"/>
            <w:gridSpan w:val="2"/>
            <w:shd w:val="clear" w:color="auto" w:fill="auto"/>
            <w:vAlign w:val="center"/>
          </w:tcPr>
          <w:p w14:paraId="6A55BB7B">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买家留言</w:t>
            </w:r>
          </w:p>
        </w:tc>
        <w:tc>
          <w:tcPr>
            <w:tcW w:w="12049" w:type="dxa"/>
            <w:gridSpan w:val="4"/>
            <w:shd w:val="clear" w:color="000000" w:fill="FFFFFF"/>
            <w:vAlign w:val="center"/>
          </w:tcPr>
          <w:p w14:paraId="1CA82128">
            <w:pPr>
              <w:widowControl/>
              <w:jc w:val="left"/>
            </w:pPr>
            <w:r>
              <w:rPr>
                <w:rFonts w:hint="eastAsia"/>
              </w:rPr>
              <w:t>1、所供设备必须完全满足我方要求配置及参数，预成交供应商需在预中标后第二日内提供样机进行检测，检测合格后方可确认成交结果；2、LED显示屏必须满足我方要求的品牌型号，切勿自主更换品牌型号，若对我方采购造成影响，我方将按虚假应标取消预成交供应商向财政监管部门和政采云管理部门举报投诉处理，并将被列入我方采购黑名单；3、为保证质量随报价时上传强力巨彩厂家(型号CC1.8L)及其他产品厂家针对该项目授权书及售后服务承诺、采购需求中所需要的资料加盖厂家公章,若不能提供按废标处理；4、请报价供应商认真查看本竞价单中“采购需求和商务要求”中的全部条款并认真逐条对照达不到要求的请不要随意参与报价。</w:t>
            </w:r>
          </w:p>
        </w:tc>
        <w:tc>
          <w:tcPr>
            <w:tcW w:w="1276" w:type="dxa"/>
            <w:shd w:val="clear" w:color="000000" w:fill="FFFFFF"/>
          </w:tcPr>
          <w:p w14:paraId="2798DE39">
            <w:pPr>
              <w:widowControl/>
              <w:jc w:val="left"/>
              <w:rPr>
                <w:rFonts w:hint="eastAsia"/>
              </w:rPr>
            </w:pPr>
          </w:p>
        </w:tc>
      </w:tr>
      <w:tr w14:paraId="5EF46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1844" w:type="dxa"/>
            <w:gridSpan w:val="2"/>
            <w:shd w:val="clear" w:color="auto" w:fill="auto"/>
            <w:vAlign w:val="center"/>
          </w:tcPr>
          <w:p w14:paraId="4912C148">
            <w:pPr>
              <w:widowControl/>
              <w:jc w:val="center"/>
              <w:rPr>
                <w:rFonts w:ascii="宋体" w:hAnsi="宋体" w:eastAsia="宋体" w:cs="宋体"/>
                <w:bCs/>
                <w:color w:val="000000"/>
                <w:kern w:val="0"/>
                <w:sz w:val="20"/>
                <w:szCs w:val="20"/>
              </w:rPr>
            </w:pPr>
            <w:r>
              <w:rPr>
                <w:rFonts w:hint="eastAsia" w:ascii="宋体" w:hAnsi="宋体" w:eastAsia="宋体" w:cs="宋体"/>
                <w:b/>
                <w:bCs/>
                <w:color w:val="000000"/>
                <w:kern w:val="0"/>
                <w:sz w:val="20"/>
                <w:szCs w:val="20"/>
              </w:rPr>
              <w:t>附件要求</w:t>
            </w:r>
          </w:p>
        </w:tc>
        <w:tc>
          <w:tcPr>
            <w:tcW w:w="12049" w:type="dxa"/>
            <w:gridSpan w:val="4"/>
            <w:shd w:val="clear" w:color="000000" w:fill="FFFFFF"/>
            <w:vAlign w:val="center"/>
          </w:tcPr>
          <w:p w14:paraId="122B3B89">
            <w:pPr>
              <w:widowControl/>
              <w:jc w:val="left"/>
              <w:rPr>
                <w:rFonts w:ascii="方正仿宋_GB2312" w:hAnsi="方正仿宋_GB2312" w:eastAsia="方正仿宋_GB2312" w:cs="宋体"/>
                <w:color w:val="000000"/>
                <w:kern w:val="0"/>
                <w:sz w:val="20"/>
                <w:szCs w:val="20"/>
              </w:rPr>
            </w:pPr>
            <w:r>
              <w:rPr>
                <w:rFonts w:hint="eastAsia"/>
              </w:rPr>
              <w:t>为保证质量和售后服务,随报价上传相关附件,提供以下资料: 1、提供强力巨彩厂家(型号CC1.8L)及其他产品厂家针对该项目授权书及售后服务承诺(彩色扫描件)； 2、按照采购需求表提供技术参数中所需要的资料 (彩色扫描件)； 3、按照采购需求表中必须提供相关检测报告并加盖公章（彩色扫描件）。；以上响应附件必须在竞价结束后的30分钟内向采购人出示原件,以上响应附件缺一不可。若预成交供应商无视我方商务、技术及相关功能项需求，或预成交供应商不按我方要求上传或简单响应或随意或少上传以上我方要求的附件,我方审核后一律取消预成交供应商成交资格，被取消成交的预成交供应商必须在我方取消后的1小时内同意取消成交。否则,我方将根据 《云南省政府采购电子卖场供应商及商品日常管理细则(试行)》拨打政采云400-881-7190投诉处理,违约处理将在政采云全平台各区划联动生效,处罚内容包括但不限于停止推送询价信息禁止报价等,并记入政府采购诚信档案。预成交供应商不按要求提供响应附件，采购人将不予以接收、不予以验收,所造成的损失由供应商承担。</w:t>
            </w:r>
          </w:p>
        </w:tc>
        <w:tc>
          <w:tcPr>
            <w:tcW w:w="1276" w:type="dxa"/>
            <w:shd w:val="clear" w:color="000000" w:fill="FFFFFF"/>
          </w:tcPr>
          <w:p w14:paraId="269CFAEB">
            <w:pPr>
              <w:widowControl/>
              <w:jc w:val="left"/>
              <w:rPr>
                <w:rFonts w:hint="eastAsia"/>
              </w:rPr>
            </w:pPr>
          </w:p>
        </w:tc>
      </w:tr>
      <w:tr w14:paraId="14EE6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1844" w:type="dxa"/>
            <w:gridSpan w:val="2"/>
            <w:vMerge w:val="restart"/>
            <w:shd w:val="clear" w:color="auto" w:fill="auto"/>
            <w:vAlign w:val="center"/>
          </w:tcPr>
          <w:p w14:paraId="32E75FDF">
            <w:pPr>
              <w:widowControl/>
              <w:jc w:val="center"/>
              <w:rPr>
                <w:rFonts w:ascii="宋体" w:hAnsi="宋体" w:eastAsia="宋体" w:cs="宋体"/>
                <w:b/>
                <w:bCs/>
                <w:color w:val="000000"/>
                <w:kern w:val="0"/>
                <w:sz w:val="20"/>
                <w:szCs w:val="20"/>
              </w:rPr>
            </w:pPr>
            <w:r>
              <w:rPr>
                <w:rFonts w:hint="eastAsia" w:ascii="宋体" w:hAnsi="宋体" w:eastAsia="宋体" w:cs="宋体"/>
                <w:b/>
                <w:bCs/>
                <w:color w:val="000000"/>
                <w:kern w:val="0"/>
                <w:sz w:val="20"/>
                <w:szCs w:val="20"/>
              </w:rPr>
              <w:t>商务要求</w:t>
            </w:r>
          </w:p>
        </w:tc>
        <w:tc>
          <w:tcPr>
            <w:tcW w:w="1559" w:type="dxa"/>
            <w:shd w:val="clear" w:color="000000" w:fill="FFFFFF"/>
            <w:vAlign w:val="center"/>
          </w:tcPr>
          <w:p w14:paraId="309D785E">
            <w:pPr>
              <w:widowControl/>
              <w:jc w:val="left"/>
              <w:rPr>
                <w:b/>
              </w:rPr>
            </w:pPr>
            <w:r>
              <w:rPr>
                <w:rFonts w:hint="eastAsia"/>
                <w:b/>
              </w:rPr>
              <w:t>响应需求</w:t>
            </w:r>
          </w:p>
        </w:tc>
        <w:tc>
          <w:tcPr>
            <w:tcW w:w="10490" w:type="dxa"/>
            <w:gridSpan w:val="3"/>
            <w:shd w:val="clear" w:color="000000" w:fill="FFFFFF"/>
            <w:vAlign w:val="center"/>
          </w:tcPr>
          <w:p w14:paraId="4651C531">
            <w:pPr>
              <w:widowControl/>
              <w:jc w:val="left"/>
              <w:rPr>
                <w:b/>
              </w:rPr>
            </w:pPr>
            <w:r>
              <w:rPr>
                <w:sz w:val="24"/>
                <w:szCs w:val="24"/>
              </w:rPr>
              <w:t>各供应商应尊重用户单位的选择，应标产品符合用户单位的需求，此为供应商应标的基本准则，请勿无视我方产品需求，仅从自身角度随意响应报价，若供应商所响应产品与我方需求不符，视为虚假应标，我方不予确认，将向有关部门进行投诉,并列为我方黑名单。</w:t>
            </w:r>
          </w:p>
        </w:tc>
        <w:tc>
          <w:tcPr>
            <w:tcW w:w="1276" w:type="dxa"/>
            <w:shd w:val="clear" w:color="000000" w:fill="FFFFFF"/>
          </w:tcPr>
          <w:p w14:paraId="640F1041">
            <w:pPr>
              <w:widowControl/>
              <w:jc w:val="left"/>
              <w:rPr>
                <w:sz w:val="24"/>
                <w:szCs w:val="24"/>
              </w:rPr>
            </w:pPr>
          </w:p>
        </w:tc>
      </w:tr>
      <w:tr w14:paraId="20D3B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1844" w:type="dxa"/>
            <w:gridSpan w:val="2"/>
            <w:vMerge w:val="continue"/>
            <w:shd w:val="clear" w:color="auto" w:fill="auto"/>
            <w:vAlign w:val="center"/>
          </w:tcPr>
          <w:p w14:paraId="1A20249A">
            <w:pPr>
              <w:widowControl/>
              <w:jc w:val="center"/>
              <w:rPr>
                <w:rFonts w:ascii="宋体" w:hAnsi="宋体" w:eastAsia="宋体" w:cs="宋体"/>
                <w:b/>
                <w:bCs/>
                <w:color w:val="000000"/>
                <w:kern w:val="0"/>
                <w:sz w:val="20"/>
                <w:szCs w:val="20"/>
              </w:rPr>
            </w:pPr>
          </w:p>
        </w:tc>
        <w:tc>
          <w:tcPr>
            <w:tcW w:w="1559" w:type="dxa"/>
            <w:shd w:val="clear" w:color="000000" w:fill="FFFFFF"/>
            <w:vAlign w:val="center"/>
          </w:tcPr>
          <w:p w14:paraId="3AFBB41B">
            <w:pPr>
              <w:widowControl/>
              <w:jc w:val="left"/>
              <w:rPr>
                <w:b/>
              </w:rPr>
            </w:pPr>
            <w:r>
              <w:rPr>
                <w:b/>
              </w:rPr>
              <w:t>履约能力要求</w:t>
            </w:r>
          </w:p>
        </w:tc>
        <w:tc>
          <w:tcPr>
            <w:tcW w:w="10490" w:type="dxa"/>
            <w:gridSpan w:val="3"/>
            <w:shd w:val="clear" w:color="000000" w:fill="FFFFFF"/>
            <w:vAlign w:val="center"/>
          </w:tcPr>
          <w:p w14:paraId="2FC79493">
            <w:pPr>
              <w:widowControl/>
              <w:jc w:val="left"/>
              <w:rPr>
                <w:sz w:val="24"/>
                <w:szCs w:val="24"/>
              </w:rPr>
            </w:pPr>
            <w:r>
              <w:rPr>
                <w:rFonts w:hint="eastAsia"/>
                <w:sz w:val="24"/>
                <w:szCs w:val="24"/>
              </w:rPr>
              <w:t>1、为防止虚假应标，预成交供应商在竞价截止后30分钟内向采购人提供以下原件：（1）提供强力巨彩厂家(型号CC1.8L)及其他产品厂家针对该项目授权书及售后服务承诺；（2）按照采购需求表提供技术参数中所需要的资料并加盖公章；（3）按照采购需求表中必须提供相关检测报告并加盖公章；以上资料缺一不可，如发现与采购需求清单内不符合，视为虚假响应，将上报财政监管部门和政采云管理部门处理，并记录政府采购诚信档案。</w:t>
            </w:r>
          </w:p>
          <w:p w14:paraId="18270E0D">
            <w:pPr>
              <w:widowControl/>
              <w:jc w:val="left"/>
              <w:rPr>
                <w:sz w:val="24"/>
                <w:szCs w:val="24"/>
              </w:rPr>
            </w:pPr>
            <w:r>
              <w:rPr>
                <w:rFonts w:hint="eastAsia"/>
                <w:sz w:val="24"/>
                <w:szCs w:val="24"/>
              </w:rPr>
              <w:t>2、预成交供应商需在预中标后第二日内提供采购需求</w:t>
            </w:r>
            <w:r>
              <w:rPr>
                <w:sz w:val="24"/>
                <w:szCs w:val="24"/>
              </w:rPr>
              <w:t>中要求提供的硬件及软件到用户现场对</w:t>
            </w:r>
            <w:r>
              <w:rPr>
                <w:rFonts w:hint="eastAsia"/>
                <w:sz w:val="24"/>
                <w:szCs w:val="24"/>
              </w:rPr>
              <w:t>采购需求</w:t>
            </w:r>
            <w:r>
              <w:rPr>
                <w:sz w:val="24"/>
                <w:szCs w:val="24"/>
              </w:rPr>
              <w:t>中设备技术参数及功能进行验证演示；必须与采购需求中</w:t>
            </w:r>
            <w:r>
              <w:rPr>
                <w:rFonts w:hint="eastAsia"/>
                <w:sz w:val="24"/>
                <w:szCs w:val="24"/>
              </w:rPr>
              <w:t>产品参数、功能及其他要求</w:t>
            </w:r>
            <w:r>
              <w:rPr>
                <w:sz w:val="24"/>
                <w:szCs w:val="24"/>
              </w:rPr>
              <w:t>相同</w:t>
            </w:r>
            <w:r>
              <w:rPr>
                <w:rFonts w:hint="eastAsia"/>
                <w:sz w:val="24"/>
                <w:szCs w:val="24"/>
              </w:rPr>
              <w:t>，</w:t>
            </w:r>
            <w:r>
              <w:rPr>
                <w:sz w:val="24"/>
                <w:szCs w:val="24"/>
              </w:rPr>
              <w:t>测试中发现虚假应标的行为将取消中标资格，并上报相关部门进行处罚。验证通过后签订合同，签订合同时提供厂家</w:t>
            </w:r>
            <w:r>
              <w:rPr>
                <w:rFonts w:hint="eastAsia"/>
                <w:sz w:val="24"/>
                <w:szCs w:val="24"/>
              </w:rPr>
              <w:t>针对该项目</w:t>
            </w:r>
            <w:r>
              <w:rPr>
                <w:sz w:val="24"/>
                <w:szCs w:val="24"/>
              </w:rPr>
              <w:t>的授权、售后服务承诺书原件及</w:t>
            </w:r>
            <w:r>
              <w:rPr>
                <w:rFonts w:hint="eastAsia"/>
                <w:sz w:val="24"/>
                <w:szCs w:val="24"/>
              </w:rPr>
              <w:t>采购需求</w:t>
            </w:r>
            <w:r>
              <w:rPr>
                <w:sz w:val="24"/>
                <w:szCs w:val="24"/>
              </w:rPr>
              <w:t>中要求提供的资料</w:t>
            </w:r>
            <w:r>
              <w:rPr>
                <w:rFonts w:hint="eastAsia"/>
                <w:sz w:val="24"/>
                <w:szCs w:val="24"/>
              </w:rPr>
              <w:t>加盖厂家公章的原件</w:t>
            </w:r>
            <w:r>
              <w:rPr>
                <w:sz w:val="24"/>
                <w:szCs w:val="24"/>
              </w:rPr>
              <w:t>给甲方进行验证</w:t>
            </w:r>
            <w:r>
              <w:rPr>
                <w:rFonts w:hint="eastAsia"/>
                <w:sz w:val="24"/>
                <w:szCs w:val="24"/>
              </w:rPr>
              <w:t>备案，</w:t>
            </w:r>
            <w:r>
              <w:rPr>
                <w:sz w:val="24"/>
                <w:szCs w:val="24"/>
              </w:rPr>
              <w:t>签订合同时必须提供以上文件，否则视为虚假应标。</w:t>
            </w:r>
          </w:p>
          <w:p w14:paraId="092A1D99">
            <w:pPr>
              <w:widowControl/>
              <w:jc w:val="left"/>
              <w:rPr>
                <w:sz w:val="24"/>
                <w:szCs w:val="24"/>
              </w:rPr>
            </w:pPr>
            <w:r>
              <w:rPr>
                <w:rFonts w:hint="eastAsia"/>
                <w:sz w:val="24"/>
                <w:szCs w:val="24"/>
              </w:rPr>
              <w:t>3、</w:t>
            </w:r>
            <w:r>
              <w:rPr>
                <w:sz w:val="24"/>
                <w:szCs w:val="24"/>
              </w:rPr>
              <w:t>请各供应商报价前仔细阅读本采购项目相关品牌型号。参数、备注及商务要求，评估自身展约能力，能完全满足的再参与报价，不接受更改品牌型号及参数；供应商参与报价，视为同意并能全部满足本采购项目要求，我方不接受中标后放弃，不满足要求无故放弃，不按合同属约等违约行为</w:t>
            </w:r>
            <w:r>
              <w:rPr>
                <w:rFonts w:hint="eastAsia"/>
                <w:sz w:val="24"/>
                <w:szCs w:val="24"/>
              </w:rPr>
              <w:t>，</w:t>
            </w:r>
            <w:r>
              <w:rPr>
                <w:sz w:val="24"/>
                <w:szCs w:val="24"/>
              </w:rPr>
              <w:t>恶意低价中标不属约的供应商</w:t>
            </w:r>
            <w:r>
              <w:rPr>
                <w:rFonts w:hint="eastAsia"/>
                <w:sz w:val="24"/>
                <w:szCs w:val="24"/>
              </w:rPr>
              <w:t>，</w:t>
            </w:r>
            <w:r>
              <w:rPr>
                <w:sz w:val="24"/>
                <w:szCs w:val="24"/>
              </w:rPr>
              <w:t>将依法依规提请相关主管部门进行处罚，并记入政府采购诚信档案。</w:t>
            </w:r>
          </w:p>
        </w:tc>
        <w:tc>
          <w:tcPr>
            <w:tcW w:w="1276" w:type="dxa"/>
            <w:shd w:val="clear" w:color="000000" w:fill="FFFFFF"/>
          </w:tcPr>
          <w:p w14:paraId="697BFE75">
            <w:pPr>
              <w:widowControl/>
              <w:jc w:val="left"/>
              <w:rPr>
                <w:rFonts w:hint="eastAsia"/>
                <w:sz w:val="24"/>
                <w:szCs w:val="24"/>
              </w:rPr>
            </w:pPr>
          </w:p>
        </w:tc>
      </w:tr>
      <w:tr w14:paraId="0CC32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1844" w:type="dxa"/>
            <w:gridSpan w:val="2"/>
            <w:vMerge w:val="continue"/>
            <w:shd w:val="clear" w:color="auto" w:fill="auto"/>
            <w:vAlign w:val="center"/>
          </w:tcPr>
          <w:p w14:paraId="4E682159">
            <w:pPr>
              <w:widowControl/>
              <w:jc w:val="center"/>
              <w:rPr>
                <w:rFonts w:ascii="宋体" w:hAnsi="宋体" w:eastAsia="宋体" w:cs="宋体"/>
                <w:b/>
                <w:bCs/>
                <w:color w:val="000000"/>
                <w:kern w:val="0"/>
                <w:sz w:val="20"/>
                <w:szCs w:val="20"/>
              </w:rPr>
            </w:pPr>
          </w:p>
        </w:tc>
        <w:tc>
          <w:tcPr>
            <w:tcW w:w="1559" w:type="dxa"/>
            <w:shd w:val="clear" w:color="000000" w:fill="FFFFFF"/>
            <w:vAlign w:val="center"/>
          </w:tcPr>
          <w:p w14:paraId="1107C91D">
            <w:pPr>
              <w:widowControl/>
              <w:jc w:val="left"/>
              <w:rPr>
                <w:b/>
              </w:rPr>
            </w:pPr>
            <w:r>
              <w:rPr>
                <w:b/>
              </w:rPr>
              <w:t>配送及货物要求</w:t>
            </w:r>
          </w:p>
        </w:tc>
        <w:tc>
          <w:tcPr>
            <w:tcW w:w="10490" w:type="dxa"/>
            <w:gridSpan w:val="3"/>
            <w:shd w:val="clear" w:color="000000" w:fill="FFFFFF"/>
            <w:vAlign w:val="center"/>
          </w:tcPr>
          <w:p w14:paraId="03F22902">
            <w:pPr>
              <w:widowControl/>
              <w:jc w:val="left"/>
              <w:rPr>
                <w:sz w:val="24"/>
                <w:szCs w:val="24"/>
              </w:rPr>
            </w:pPr>
            <w:r>
              <w:rPr>
                <w:rFonts w:hint="eastAsia"/>
                <w:b/>
                <w:sz w:val="24"/>
                <w:szCs w:val="24"/>
              </w:rPr>
              <w:t>1、配送要求：</w:t>
            </w:r>
            <w:r>
              <w:rPr>
                <w:rFonts w:hint="eastAsia"/>
                <w:sz w:val="24"/>
                <w:szCs w:val="24"/>
              </w:rPr>
              <w:t>（1）</w:t>
            </w:r>
            <w:r>
              <w:rPr>
                <w:sz w:val="24"/>
                <w:szCs w:val="24"/>
              </w:rPr>
              <w:t>不接受物流快递，</w:t>
            </w:r>
            <w:r>
              <w:rPr>
                <w:rFonts w:hint="eastAsia"/>
                <w:sz w:val="24"/>
                <w:szCs w:val="24"/>
              </w:rPr>
              <w:t>按</w:t>
            </w:r>
            <w:r>
              <w:rPr>
                <w:sz w:val="24"/>
                <w:szCs w:val="24"/>
              </w:rPr>
              <w:t>采购需求提供货物并送货到指定地点安装调试，提供使用培训；（</w:t>
            </w:r>
            <w:r>
              <w:rPr>
                <w:rFonts w:hint="eastAsia"/>
                <w:sz w:val="24"/>
                <w:szCs w:val="24"/>
              </w:rPr>
              <w:t>2</w:t>
            </w:r>
            <w:r>
              <w:rPr>
                <w:sz w:val="24"/>
                <w:szCs w:val="24"/>
              </w:rPr>
              <w:t>）</w:t>
            </w:r>
            <w:r>
              <w:rPr>
                <w:rFonts w:hint="eastAsia"/>
                <w:sz w:val="24"/>
                <w:szCs w:val="24"/>
              </w:rPr>
              <w:t>必须在竞价成交公告后3个工作日满的当天按我方采购需求供货，并按装调试完毕。</w:t>
            </w:r>
            <w:r>
              <w:rPr>
                <w:sz w:val="24"/>
                <w:szCs w:val="24"/>
              </w:rPr>
              <w:br w:type="textWrapping"/>
            </w:r>
            <w:r>
              <w:rPr>
                <w:rFonts w:hint="eastAsia"/>
                <w:b/>
                <w:sz w:val="24"/>
                <w:szCs w:val="24"/>
              </w:rPr>
              <w:t>2、货物要求：</w:t>
            </w:r>
            <w:r>
              <w:rPr>
                <w:sz w:val="24"/>
                <w:szCs w:val="24"/>
              </w:rPr>
              <w:t>到货后所有投标货物，进场需和使用方、厂家在本地的销售人员（提供证明）一起对产品进行</w:t>
            </w:r>
            <w:r>
              <w:rPr>
                <w:rFonts w:hint="eastAsia"/>
                <w:sz w:val="24"/>
                <w:szCs w:val="24"/>
              </w:rPr>
              <w:t>现场</w:t>
            </w:r>
            <w:r>
              <w:rPr>
                <w:sz w:val="24"/>
                <w:szCs w:val="24"/>
              </w:rPr>
              <w:t>开箱检查，查验标准依据采购需求表，共同查证无误后收货。如发现有不符合的产品，则视为虚假应标，使用方将上报有关单位，并列入黑名单。请勿以次充好或更换品牌报价，否则将向有关财政部门投诉举报</w:t>
            </w:r>
            <w:r>
              <w:rPr>
                <w:rFonts w:hint="eastAsia"/>
                <w:sz w:val="24"/>
                <w:szCs w:val="24"/>
              </w:rPr>
              <w:t>。</w:t>
            </w:r>
          </w:p>
        </w:tc>
        <w:tc>
          <w:tcPr>
            <w:tcW w:w="1276" w:type="dxa"/>
            <w:shd w:val="clear" w:color="000000" w:fill="FFFFFF"/>
          </w:tcPr>
          <w:p w14:paraId="2B53BB3D">
            <w:pPr>
              <w:widowControl/>
              <w:jc w:val="left"/>
              <w:rPr>
                <w:rFonts w:hint="eastAsia"/>
                <w:b/>
                <w:sz w:val="24"/>
                <w:szCs w:val="24"/>
              </w:rPr>
            </w:pPr>
          </w:p>
        </w:tc>
      </w:tr>
      <w:tr w14:paraId="2C7D9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1844" w:type="dxa"/>
            <w:gridSpan w:val="2"/>
            <w:vMerge w:val="continue"/>
            <w:shd w:val="clear" w:color="auto" w:fill="auto"/>
            <w:vAlign w:val="center"/>
          </w:tcPr>
          <w:p w14:paraId="6CF4420A">
            <w:pPr>
              <w:widowControl/>
              <w:jc w:val="center"/>
              <w:rPr>
                <w:rFonts w:ascii="宋体" w:hAnsi="宋体" w:eastAsia="宋体" w:cs="宋体"/>
                <w:b/>
                <w:bCs/>
                <w:color w:val="000000"/>
                <w:kern w:val="0"/>
                <w:sz w:val="20"/>
                <w:szCs w:val="20"/>
              </w:rPr>
            </w:pPr>
          </w:p>
        </w:tc>
        <w:tc>
          <w:tcPr>
            <w:tcW w:w="1559" w:type="dxa"/>
            <w:shd w:val="clear" w:color="000000" w:fill="FFFFFF"/>
            <w:vAlign w:val="center"/>
          </w:tcPr>
          <w:p w14:paraId="2F8EA2AB">
            <w:pPr>
              <w:widowControl/>
              <w:jc w:val="left"/>
              <w:rPr>
                <w:b/>
              </w:rPr>
            </w:pPr>
            <w:r>
              <w:rPr>
                <w:b/>
              </w:rPr>
              <w:t>售后服务要求</w:t>
            </w:r>
          </w:p>
        </w:tc>
        <w:tc>
          <w:tcPr>
            <w:tcW w:w="10490" w:type="dxa"/>
            <w:gridSpan w:val="3"/>
            <w:shd w:val="clear" w:color="000000" w:fill="FFFFFF"/>
            <w:vAlign w:val="center"/>
          </w:tcPr>
          <w:p w14:paraId="7F81E283">
            <w:pPr>
              <w:widowControl/>
              <w:jc w:val="left"/>
              <w:rPr>
                <w:b/>
                <w:sz w:val="24"/>
                <w:szCs w:val="24"/>
              </w:rPr>
            </w:pPr>
            <w:r>
              <w:rPr>
                <w:rFonts w:hint="eastAsia"/>
                <w:sz w:val="24"/>
                <w:szCs w:val="24"/>
              </w:rPr>
              <w:t>1、为了保障售后服务的及时性和可靠性，供应商在本地须有固定经营场所、售后服务点、支持五年上门服务，接到运维需求后，5分钟内响应，30分钟内带备品备件到达故障现场解决故障并提供不少于1人1年驻场服务（附承诺书）。</w:t>
            </w:r>
          </w:p>
        </w:tc>
        <w:tc>
          <w:tcPr>
            <w:tcW w:w="1276" w:type="dxa"/>
            <w:shd w:val="clear" w:color="000000" w:fill="FFFFFF"/>
          </w:tcPr>
          <w:p w14:paraId="24338A0B">
            <w:pPr>
              <w:widowControl/>
              <w:jc w:val="left"/>
              <w:rPr>
                <w:rFonts w:hint="eastAsia"/>
                <w:sz w:val="24"/>
                <w:szCs w:val="24"/>
              </w:rPr>
            </w:pPr>
          </w:p>
        </w:tc>
      </w:tr>
    </w:tbl>
    <w:p w14:paraId="246E4018"/>
    <w:sectPr>
      <w:pgSz w:w="16838" w:h="11906" w:orient="landscape"/>
      <w:pgMar w:top="1134" w:right="1440" w:bottom="1135"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1" w:fontKey="{648C3F47-C5C2-44AE-82FF-960A7883AEE8}"/>
  </w:font>
  <w:font w:name="方正仿宋_GB2312">
    <w:panose1 w:val="02000000000000000000"/>
    <w:charset w:val="86"/>
    <w:family w:val="auto"/>
    <w:pitch w:val="default"/>
    <w:sig w:usb0="A00002BF" w:usb1="184F6CFA" w:usb2="00000012" w:usb3="00000000" w:csb0="00040001" w:csb1="00000000"/>
    <w:embedRegular r:id="rId2" w:fontKey="{52E339A5-680B-4591-BCBC-A88F80814179}"/>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57B0"/>
    <w:rsid w:val="00014552"/>
    <w:rsid w:val="00026181"/>
    <w:rsid w:val="00102D76"/>
    <w:rsid w:val="00143600"/>
    <w:rsid w:val="0018452F"/>
    <w:rsid w:val="001D1CDB"/>
    <w:rsid w:val="001E6D5E"/>
    <w:rsid w:val="00267E50"/>
    <w:rsid w:val="002E56B1"/>
    <w:rsid w:val="00382C13"/>
    <w:rsid w:val="0038589F"/>
    <w:rsid w:val="00393CDE"/>
    <w:rsid w:val="003C57D9"/>
    <w:rsid w:val="00404D1E"/>
    <w:rsid w:val="00504534"/>
    <w:rsid w:val="0058019A"/>
    <w:rsid w:val="005E12D0"/>
    <w:rsid w:val="00626BE6"/>
    <w:rsid w:val="006757B0"/>
    <w:rsid w:val="00704886"/>
    <w:rsid w:val="007079F4"/>
    <w:rsid w:val="007A1454"/>
    <w:rsid w:val="008B77A5"/>
    <w:rsid w:val="008E44F2"/>
    <w:rsid w:val="00984C03"/>
    <w:rsid w:val="00AB5CAE"/>
    <w:rsid w:val="00AB6179"/>
    <w:rsid w:val="00BC16B6"/>
    <w:rsid w:val="00BD0109"/>
    <w:rsid w:val="00CC23D6"/>
    <w:rsid w:val="00D10D28"/>
    <w:rsid w:val="00D3760E"/>
    <w:rsid w:val="00DF684D"/>
    <w:rsid w:val="00FA6B18"/>
    <w:rsid w:val="00FE7FD7"/>
    <w:rsid w:val="608150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99"/>
    <w:rPr>
      <w:sz w:val="18"/>
      <w:szCs w:val="18"/>
    </w:rPr>
  </w:style>
  <w:style w:type="character" w:customStyle="1" w:styleId="7">
    <w:name w:val="页脚 Char"/>
    <w:basedOn w:val="5"/>
    <w:link w:val="2"/>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11</Pages>
  <Words>14693</Words>
  <Characters>16385</Characters>
  <Lines>118</Lines>
  <Paragraphs>33</Paragraphs>
  <TotalTime>49</TotalTime>
  <ScaleCrop>false</ScaleCrop>
  <LinksUpToDate>false</LinksUpToDate>
  <CharactersWithSpaces>16573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2025-04-08T07:34:00Z</dcterms:created>
  <dc:creator>Administrator</dc:creator>
  <cp:lastModifiedBy>小东东</cp:lastModifiedBy>
  <dcterms:modified xsi:type="dcterms:W3CDTF">2025-04-08T09:09:56Z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eyJoZGlkIjoiMjZmZTg0NTJmNDQ4OGM5NWMzYTE5OGI4M2VhZGYyZDciLCJ1c2VySWQiOiIyNTQyNjIwNjEifQ==</vt:lpwstr>
  </property>
  <property fmtid="{D5CDD505-2E9C-101B-9397-08002B2CF9AE}" pid="3" name="KSOProductBuildVer">
    <vt:lpwstr>2052-12.1.0.20305</vt:lpwstr>
  </property>
  <property fmtid="{D5CDD505-2E9C-101B-9397-08002B2CF9AE}" pid="4" name="ICV">
    <vt:lpwstr>5EDE6567B2AB4A4B9367E7700C093730_12</vt:lpwstr>
  </property>
</Properties>
</file>