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62" w:rsidRPr="00CF4330" w:rsidRDefault="00214C6F">
      <w:pPr>
        <w:spacing w:line="500" w:lineRule="exact"/>
        <w:jc w:val="center"/>
        <w:rPr>
          <w:rFonts w:asciiTheme="majorEastAsia" w:eastAsiaTheme="majorEastAsia" w:hAnsiTheme="majorEastAsia"/>
          <w:b/>
          <w:sz w:val="44"/>
        </w:rPr>
      </w:pPr>
      <w:r w:rsidRPr="00CF4330">
        <w:rPr>
          <w:rFonts w:asciiTheme="majorEastAsia" w:eastAsiaTheme="majorEastAsia" w:hAnsiTheme="majorEastAsia" w:hint="eastAsia"/>
          <w:b/>
          <w:sz w:val="44"/>
        </w:rPr>
        <w:t>采购</w:t>
      </w:r>
      <w:r w:rsidRPr="00CF4330">
        <w:rPr>
          <w:rFonts w:asciiTheme="majorEastAsia" w:eastAsiaTheme="majorEastAsia" w:hAnsiTheme="majorEastAsia"/>
          <w:b/>
          <w:sz w:val="44"/>
        </w:rPr>
        <w:t>文件</w:t>
      </w:r>
    </w:p>
    <w:p w:rsidR="002F35E2" w:rsidRPr="00955608" w:rsidRDefault="00955608" w:rsidP="00EC186E">
      <w:pPr>
        <w:spacing w:beforeLines="100" w:before="312" w:afterLines="100" w:after="312"/>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214C6F" w:rsidRPr="00955608">
        <w:rPr>
          <w:rFonts w:asciiTheme="majorEastAsia" w:eastAsiaTheme="majorEastAsia" w:hAnsiTheme="majorEastAsia" w:hint="eastAsia"/>
          <w:sz w:val="21"/>
          <w:szCs w:val="21"/>
        </w:rPr>
        <w:t>采购</w:t>
      </w:r>
      <w:r w:rsidR="00214C6F" w:rsidRPr="00955608">
        <w:rPr>
          <w:rFonts w:asciiTheme="majorEastAsia" w:eastAsiaTheme="majorEastAsia" w:hAnsiTheme="majorEastAsia"/>
          <w:sz w:val="21"/>
          <w:szCs w:val="21"/>
        </w:rPr>
        <w:t>需求</w:t>
      </w:r>
    </w:p>
    <w:tbl>
      <w:tblPr>
        <w:tblStyle w:val="ac"/>
        <w:tblW w:w="10490" w:type="dxa"/>
        <w:jc w:val="center"/>
        <w:tblLayout w:type="fixed"/>
        <w:tblLook w:val="04A0" w:firstRow="1" w:lastRow="0" w:firstColumn="1" w:lastColumn="0" w:noHBand="0" w:noVBand="1"/>
      </w:tblPr>
      <w:tblGrid>
        <w:gridCol w:w="562"/>
        <w:gridCol w:w="2268"/>
        <w:gridCol w:w="1701"/>
        <w:gridCol w:w="1282"/>
        <w:gridCol w:w="685"/>
        <w:gridCol w:w="739"/>
        <w:gridCol w:w="1099"/>
        <w:gridCol w:w="1106"/>
        <w:gridCol w:w="1048"/>
      </w:tblGrid>
      <w:tr w:rsidR="00696550" w:rsidRPr="00CF4330" w:rsidTr="006366D9">
        <w:trPr>
          <w:trHeight w:val="567"/>
          <w:jc w:val="center"/>
        </w:trPr>
        <w:tc>
          <w:tcPr>
            <w:tcW w:w="562"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序号</w:t>
            </w:r>
          </w:p>
        </w:tc>
        <w:tc>
          <w:tcPr>
            <w:tcW w:w="2268"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名称</w:t>
            </w:r>
          </w:p>
        </w:tc>
        <w:tc>
          <w:tcPr>
            <w:tcW w:w="1701" w:type="dxa"/>
            <w:vAlign w:val="center"/>
          </w:tcPr>
          <w:p w:rsidR="0083245F" w:rsidRPr="00900CE4" w:rsidRDefault="0083245F" w:rsidP="00BF7556">
            <w:pPr>
              <w:spacing w:line="360" w:lineRule="auto"/>
              <w:jc w:val="center"/>
              <w:rPr>
                <w:rFonts w:asciiTheme="minorEastAsia" w:eastAsiaTheme="minorEastAsia" w:hAnsiTheme="minorEastAsia"/>
                <w:sz w:val="21"/>
                <w:szCs w:val="21"/>
              </w:rPr>
            </w:pPr>
            <w:r w:rsidRPr="00900CE4">
              <w:rPr>
                <w:rFonts w:asciiTheme="minorEastAsia" w:eastAsiaTheme="minorEastAsia" w:hAnsiTheme="minorEastAsia" w:hint="eastAsia"/>
                <w:sz w:val="21"/>
                <w:szCs w:val="21"/>
              </w:rPr>
              <w:t>规格</w:t>
            </w:r>
            <w:r w:rsidRPr="00900CE4">
              <w:rPr>
                <w:rFonts w:asciiTheme="minorEastAsia" w:eastAsiaTheme="minorEastAsia" w:hAnsiTheme="minorEastAsia"/>
                <w:sz w:val="21"/>
                <w:szCs w:val="21"/>
              </w:rPr>
              <w:t>、</w:t>
            </w:r>
            <w:r w:rsidR="008E58E1">
              <w:rPr>
                <w:rFonts w:asciiTheme="minorEastAsia" w:eastAsiaTheme="minorEastAsia" w:hAnsiTheme="minorEastAsia" w:hint="eastAsia"/>
                <w:sz w:val="21"/>
                <w:szCs w:val="21"/>
              </w:rPr>
              <w:t>要求</w:t>
            </w:r>
          </w:p>
        </w:tc>
        <w:tc>
          <w:tcPr>
            <w:tcW w:w="1282" w:type="dxa"/>
            <w:vAlign w:val="center"/>
          </w:tcPr>
          <w:p w:rsidR="00B45958" w:rsidRPr="00CF4330" w:rsidRDefault="00B45958" w:rsidP="00B4595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品牌</w:t>
            </w:r>
          </w:p>
        </w:tc>
        <w:tc>
          <w:tcPr>
            <w:tcW w:w="685" w:type="dxa"/>
            <w:vAlign w:val="center"/>
          </w:tcPr>
          <w:p w:rsidR="0083245F" w:rsidRPr="00CF4330" w:rsidRDefault="0083245F" w:rsidP="001517B8">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计量单位</w:t>
            </w:r>
          </w:p>
        </w:tc>
        <w:tc>
          <w:tcPr>
            <w:tcW w:w="739"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数量</w:t>
            </w:r>
          </w:p>
        </w:tc>
        <w:tc>
          <w:tcPr>
            <w:tcW w:w="1099"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参考单价（元）</w:t>
            </w:r>
          </w:p>
        </w:tc>
        <w:tc>
          <w:tcPr>
            <w:tcW w:w="1106"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小计</w:t>
            </w:r>
            <w:r w:rsidRPr="00CF4330">
              <w:rPr>
                <w:rFonts w:asciiTheme="minorEastAsia" w:eastAsiaTheme="minorEastAsia" w:hAnsiTheme="minorEastAsia"/>
                <w:sz w:val="21"/>
                <w:szCs w:val="21"/>
              </w:rPr>
              <w:t>金额</w:t>
            </w:r>
            <w:r w:rsidRPr="00CF4330">
              <w:rPr>
                <w:rFonts w:asciiTheme="minorEastAsia" w:eastAsiaTheme="minorEastAsia" w:hAnsiTheme="minorEastAsia" w:hint="eastAsia"/>
                <w:sz w:val="21"/>
                <w:szCs w:val="21"/>
              </w:rPr>
              <w:t>（元）</w:t>
            </w:r>
          </w:p>
        </w:tc>
        <w:tc>
          <w:tcPr>
            <w:tcW w:w="1048" w:type="dxa"/>
            <w:vAlign w:val="center"/>
          </w:tcPr>
          <w:p w:rsidR="0083245F" w:rsidRPr="00CF4330" w:rsidRDefault="0083245F" w:rsidP="00B518AF">
            <w:pPr>
              <w:spacing w:line="360" w:lineRule="auto"/>
              <w:jc w:val="center"/>
              <w:rPr>
                <w:rFonts w:asciiTheme="minorEastAsia" w:eastAsiaTheme="minorEastAsia" w:hAnsiTheme="minorEastAsia"/>
                <w:sz w:val="21"/>
                <w:szCs w:val="21"/>
              </w:rPr>
            </w:pPr>
            <w:r w:rsidRPr="00CF4330">
              <w:rPr>
                <w:rFonts w:asciiTheme="minorEastAsia" w:eastAsiaTheme="minorEastAsia" w:hAnsiTheme="minorEastAsia" w:hint="eastAsia"/>
                <w:sz w:val="21"/>
                <w:szCs w:val="21"/>
              </w:rPr>
              <w:t>备注</w:t>
            </w:r>
          </w:p>
        </w:tc>
      </w:tr>
      <w:tr w:rsidR="006366D9" w:rsidRPr="00CF4330" w:rsidTr="006366D9">
        <w:trPr>
          <w:trHeight w:val="822"/>
          <w:jc w:val="center"/>
        </w:trPr>
        <w:tc>
          <w:tcPr>
            <w:tcW w:w="562" w:type="dxa"/>
            <w:vAlign w:val="center"/>
          </w:tcPr>
          <w:p w:rsidR="006366D9" w:rsidRPr="00B92704" w:rsidRDefault="006366D9" w:rsidP="006366D9">
            <w:pPr>
              <w:widowControl/>
              <w:jc w:val="center"/>
              <w:rPr>
                <w:rFonts w:asciiTheme="minorEastAsia" w:eastAsiaTheme="minorEastAsia" w:hAnsiTheme="minorEastAsia"/>
                <w:color w:val="000000"/>
                <w:kern w:val="0"/>
                <w:sz w:val="21"/>
                <w:szCs w:val="21"/>
              </w:rPr>
            </w:pPr>
            <w:r w:rsidRPr="00B92704">
              <w:rPr>
                <w:rFonts w:asciiTheme="minorEastAsia" w:eastAsiaTheme="minorEastAsia" w:hAnsiTheme="minorEastAsia" w:hint="eastAsia"/>
                <w:color w:val="000000"/>
                <w:sz w:val="21"/>
                <w:szCs w:val="21"/>
              </w:rPr>
              <w:t>1</w:t>
            </w:r>
          </w:p>
        </w:tc>
        <w:tc>
          <w:tcPr>
            <w:tcW w:w="2268" w:type="dxa"/>
            <w:vAlign w:val="center"/>
          </w:tcPr>
          <w:p w:rsidR="006366D9" w:rsidRPr="005670D2" w:rsidRDefault="006366D9" w:rsidP="006366D9">
            <w:pPr>
              <w:widowControl/>
              <w:jc w:val="center"/>
              <w:rPr>
                <w:rFonts w:asciiTheme="minorEastAsia" w:eastAsiaTheme="minorEastAsia" w:hAnsiTheme="minorEastAsia"/>
                <w:kern w:val="0"/>
                <w:sz w:val="21"/>
              </w:rPr>
            </w:pPr>
            <w:r w:rsidRPr="005670D2">
              <w:rPr>
                <w:rFonts w:asciiTheme="minorEastAsia" w:eastAsiaTheme="minorEastAsia" w:hAnsiTheme="minorEastAsia" w:hint="eastAsia"/>
                <w:sz w:val="21"/>
              </w:rPr>
              <w:t xml:space="preserve"> C04001-500特级血清，每瓶血清配套5瓶DMEM培养基（高糖）</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500ml/瓶</w:t>
            </w:r>
          </w:p>
        </w:tc>
        <w:tc>
          <w:tcPr>
            <w:tcW w:w="1282" w:type="dxa"/>
            <w:vAlign w:val="center"/>
          </w:tcPr>
          <w:p w:rsidR="006366D9" w:rsidRPr="005670D2" w:rsidRDefault="006366D9" w:rsidP="006366D9">
            <w:pPr>
              <w:widowControl/>
              <w:jc w:val="center"/>
              <w:rPr>
                <w:rFonts w:asciiTheme="minorEastAsia" w:eastAsiaTheme="minorEastAsia" w:hAnsiTheme="minorEastAsia"/>
                <w:kern w:val="0"/>
                <w:sz w:val="21"/>
                <w:szCs w:val="21"/>
              </w:rPr>
            </w:pPr>
            <w:r w:rsidRPr="005670D2">
              <w:rPr>
                <w:rFonts w:asciiTheme="minorEastAsia" w:eastAsiaTheme="minorEastAsia" w:hAnsiTheme="minorEastAsia" w:hint="eastAsia"/>
                <w:sz w:val="21"/>
              </w:rPr>
              <w:t>Viva cell品牌(原BI公司）</w:t>
            </w:r>
          </w:p>
        </w:tc>
        <w:tc>
          <w:tcPr>
            <w:tcW w:w="685" w:type="dxa"/>
            <w:vAlign w:val="center"/>
          </w:tcPr>
          <w:p w:rsidR="006366D9" w:rsidRPr="005670D2" w:rsidRDefault="006366D9" w:rsidP="006366D9">
            <w:pPr>
              <w:widowControl/>
              <w:jc w:val="center"/>
              <w:rPr>
                <w:rFonts w:asciiTheme="minorEastAsia" w:eastAsiaTheme="minorEastAsia" w:hAnsiTheme="minorEastAsia"/>
                <w:kern w:val="0"/>
                <w:sz w:val="21"/>
              </w:rPr>
            </w:pPr>
            <w:r w:rsidRPr="005670D2">
              <w:rPr>
                <w:rFonts w:asciiTheme="minorEastAsia" w:eastAsiaTheme="minorEastAsia" w:hAnsiTheme="minorEastAsia" w:hint="eastAsia"/>
                <w:sz w:val="21"/>
              </w:rPr>
              <w:t>瓶</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8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2600.00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20800.00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704"/>
          <w:jc w:val="center"/>
        </w:trPr>
        <w:tc>
          <w:tcPr>
            <w:tcW w:w="562" w:type="dxa"/>
            <w:vAlign w:val="center"/>
          </w:tcPr>
          <w:p w:rsidR="006366D9" w:rsidRPr="00B92704"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针头滤器(0.22um)</w:t>
            </w:r>
          </w:p>
        </w:tc>
        <w:tc>
          <w:tcPr>
            <w:tcW w:w="1701" w:type="dxa"/>
            <w:vAlign w:val="center"/>
          </w:tcPr>
          <w:p w:rsidR="006366D9" w:rsidRPr="005670D2" w:rsidRDefault="003122CF"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0.22um</w:t>
            </w:r>
          </w:p>
        </w:tc>
        <w:tc>
          <w:tcPr>
            <w:tcW w:w="1282" w:type="dxa"/>
            <w:vAlign w:val="center"/>
          </w:tcPr>
          <w:p w:rsidR="006366D9" w:rsidRPr="005670D2" w:rsidRDefault="003122CF"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Millipore</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个</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100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9.00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900.00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844"/>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预染蛋白标准品</w:t>
            </w:r>
          </w:p>
        </w:tc>
        <w:tc>
          <w:tcPr>
            <w:tcW w:w="1701"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PM2510，</w:t>
            </w:r>
          </w:p>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250ul/支，</w:t>
            </w:r>
          </w:p>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10kD-180kD</w:t>
            </w:r>
          </w:p>
        </w:tc>
        <w:tc>
          <w:tcPr>
            <w:tcW w:w="1282" w:type="dxa"/>
            <w:vAlign w:val="center"/>
          </w:tcPr>
          <w:p w:rsidR="006366D9" w:rsidRPr="005670D2" w:rsidRDefault="003122CF"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鼎国</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支</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3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200.00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600.00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704"/>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一次性50ml细胞瓶</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12个/包，带有0.22um滤膜</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BEAVER</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包</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30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42.00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1260.00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592"/>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96孔细胞培养板</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65块/箱</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BEAVER</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箱</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3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390.00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1170.00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469"/>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酶标板（96孔，可拆）</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100块/箱</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BBSP</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箱</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1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1000.00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1000.00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549"/>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PEG1500</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 xml:space="preserve"> CAS号25322-68-3,规格：10×4mL/盒</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Sigma</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盒</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1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1110.00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1110.00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1711"/>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HAT培养基</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 xml:space="preserve"> 货号：H0262-10VL,规格：10VL/盒</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Sigma</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盒</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1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920.00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920.00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1987"/>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HT培养基</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货号：H0137-10VL,规格：10VL/盒</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Sigma</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盒</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2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626.00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1252.00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704"/>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0</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青霉素-链霉素</w:t>
            </w:r>
          </w:p>
        </w:tc>
        <w:tc>
          <w:tcPr>
            <w:tcW w:w="1701" w:type="dxa"/>
            <w:vAlign w:val="center"/>
          </w:tcPr>
          <w:p w:rsidR="006366D9" w:rsidRPr="005670D2" w:rsidRDefault="006366D9" w:rsidP="003122CF">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规格：</w:t>
            </w:r>
            <w:r w:rsidR="00F2612C" w:rsidRPr="005670D2">
              <w:rPr>
                <w:rFonts w:asciiTheme="minorEastAsia" w:eastAsiaTheme="minorEastAsia" w:hAnsiTheme="minorEastAsia" w:hint="eastAsia"/>
                <w:sz w:val="21"/>
              </w:rPr>
              <w:t>10</w:t>
            </w:r>
            <w:r w:rsidR="003122CF" w:rsidRPr="005670D2">
              <w:rPr>
                <w:rFonts w:asciiTheme="minorEastAsia" w:eastAsiaTheme="minorEastAsia" w:hAnsiTheme="minorEastAsia" w:hint="eastAsia"/>
                <w:sz w:val="21"/>
              </w:rPr>
              <w:t>,</w:t>
            </w:r>
            <w:r w:rsidRPr="005670D2">
              <w:rPr>
                <w:rFonts w:asciiTheme="minorEastAsia" w:eastAsiaTheme="minorEastAsia" w:hAnsiTheme="minorEastAsia" w:hint="eastAsia"/>
                <w:sz w:val="21"/>
              </w:rPr>
              <w:t>000 U/mL</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Gibco™</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瓶</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1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300.00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300.00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366D9" w:rsidRPr="00CF4330" w:rsidTr="006366D9">
        <w:trPr>
          <w:trHeight w:val="483"/>
          <w:jc w:val="center"/>
        </w:trPr>
        <w:tc>
          <w:tcPr>
            <w:tcW w:w="562" w:type="dxa"/>
            <w:vAlign w:val="center"/>
          </w:tcPr>
          <w:p w:rsidR="006366D9" w:rsidRDefault="006366D9" w:rsidP="006366D9">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1</w:t>
            </w:r>
          </w:p>
        </w:tc>
        <w:tc>
          <w:tcPr>
            <w:tcW w:w="2268"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DMEM无血清培养基</w:t>
            </w:r>
          </w:p>
        </w:tc>
        <w:tc>
          <w:tcPr>
            <w:tcW w:w="1701"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规格：500 mL</w:t>
            </w:r>
          </w:p>
        </w:tc>
        <w:tc>
          <w:tcPr>
            <w:tcW w:w="1282" w:type="dxa"/>
            <w:vAlign w:val="center"/>
          </w:tcPr>
          <w:p w:rsidR="006366D9" w:rsidRPr="005670D2" w:rsidRDefault="006366D9" w:rsidP="006366D9">
            <w:pPr>
              <w:jc w:val="center"/>
              <w:rPr>
                <w:rFonts w:asciiTheme="minorEastAsia" w:eastAsiaTheme="minorEastAsia" w:hAnsiTheme="minorEastAsia"/>
                <w:sz w:val="21"/>
              </w:rPr>
            </w:pPr>
            <w:r w:rsidRPr="005670D2">
              <w:rPr>
                <w:rFonts w:asciiTheme="minorEastAsia" w:eastAsiaTheme="minorEastAsia" w:hAnsiTheme="minorEastAsia" w:hint="eastAsia"/>
                <w:sz w:val="21"/>
              </w:rPr>
              <w:t>Gibco™</w:t>
            </w:r>
          </w:p>
        </w:tc>
        <w:tc>
          <w:tcPr>
            <w:tcW w:w="685" w:type="dxa"/>
            <w:vAlign w:val="center"/>
          </w:tcPr>
          <w:p w:rsidR="006366D9" w:rsidRPr="005670D2" w:rsidRDefault="006366D9" w:rsidP="006366D9">
            <w:pPr>
              <w:jc w:val="center"/>
              <w:rPr>
                <w:rFonts w:asciiTheme="minorEastAsia" w:eastAsiaTheme="minorEastAsia" w:hAnsiTheme="minorEastAsia" w:hint="eastAsia"/>
                <w:sz w:val="21"/>
              </w:rPr>
            </w:pPr>
            <w:r w:rsidRPr="005670D2">
              <w:rPr>
                <w:rFonts w:asciiTheme="minorEastAsia" w:eastAsiaTheme="minorEastAsia" w:hAnsiTheme="minorEastAsia" w:hint="eastAsia"/>
                <w:sz w:val="21"/>
              </w:rPr>
              <w:t>瓶</w:t>
            </w:r>
          </w:p>
        </w:tc>
        <w:tc>
          <w:tcPr>
            <w:tcW w:w="739" w:type="dxa"/>
            <w:vAlign w:val="center"/>
          </w:tcPr>
          <w:p w:rsidR="006366D9" w:rsidRPr="005670D2" w:rsidRDefault="006366D9" w:rsidP="006366D9">
            <w:pPr>
              <w:jc w:val="center"/>
              <w:rPr>
                <w:rFonts w:eastAsia="等线"/>
                <w:sz w:val="21"/>
              </w:rPr>
            </w:pPr>
            <w:r w:rsidRPr="005670D2">
              <w:rPr>
                <w:rFonts w:eastAsia="等线"/>
                <w:sz w:val="21"/>
              </w:rPr>
              <w:t xml:space="preserve">5 </w:t>
            </w:r>
          </w:p>
        </w:tc>
        <w:tc>
          <w:tcPr>
            <w:tcW w:w="1099" w:type="dxa"/>
            <w:vAlign w:val="center"/>
          </w:tcPr>
          <w:p w:rsidR="006366D9" w:rsidRPr="005670D2" w:rsidRDefault="006366D9" w:rsidP="006366D9">
            <w:pPr>
              <w:jc w:val="center"/>
              <w:rPr>
                <w:rFonts w:eastAsia="等线"/>
                <w:sz w:val="21"/>
              </w:rPr>
            </w:pPr>
            <w:r w:rsidRPr="005670D2">
              <w:rPr>
                <w:rFonts w:eastAsia="等线"/>
                <w:sz w:val="21"/>
              </w:rPr>
              <w:t xml:space="preserve">350.00 </w:t>
            </w:r>
          </w:p>
        </w:tc>
        <w:tc>
          <w:tcPr>
            <w:tcW w:w="1106" w:type="dxa"/>
            <w:vAlign w:val="center"/>
          </w:tcPr>
          <w:p w:rsidR="006366D9" w:rsidRPr="005670D2" w:rsidRDefault="006366D9" w:rsidP="006366D9">
            <w:pPr>
              <w:jc w:val="center"/>
              <w:rPr>
                <w:rFonts w:eastAsia="等线"/>
                <w:sz w:val="21"/>
              </w:rPr>
            </w:pPr>
            <w:r w:rsidRPr="005670D2">
              <w:rPr>
                <w:rFonts w:eastAsia="等线"/>
                <w:sz w:val="21"/>
              </w:rPr>
              <w:t xml:space="preserve">1750.00 </w:t>
            </w:r>
          </w:p>
        </w:tc>
        <w:tc>
          <w:tcPr>
            <w:tcW w:w="1048" w:type="dxa"/>
            <w:vAlign w:val="center"/>
          </w:tcPr>
          <w:p w:rsidR="006366D9" w:rsidRPr="00F542F7" w:rsidRDefault="006366D9" w:rsidP="006366D9">
            <w:pPr>
              <w:widowControl/>
              <w:jc w:val="left"/>
              <w:rPr>
                <w:rFonts w:asciiTheme="minorEastAsia" w:eastAsiaTheme="minorEastAsia" w:hAnsiTheme="minorEastAsia"/>
                <w:kern w:val="0"/>
                <w:sz w:val="21"/>
                <w:szCs w:val="18"/>
              </w:rPr>
            </w:pPr>
          </w:p>
        </w:tc>
      </w:tr>
      <w:tr w:rsidR="0061681F" w:rsidRPr="00CF4330" w:rsidTr="00AA3BC2">
        <w:trPr>
          <w:trHeight w:val="567"/>
          <w:jc w:val="center"/>
        </w:trPr>
        <w:tc>
          <w:tcPr>
            <w:tcW w:w="8336" w:type="dxa"/>
            <w:gridSpan w:val="7"/>
            <w:vAlign w:val="center"/>
          </w:tcPr>
          <w:p w:rsidR="0061681F" w:rsidRPr="00B92704" w:rsidRDefault="0061681F" w:rsidP="0061681F">
            <w:pPr>
              <w:jc w:val="center"/>
              <w:rPr>
                <w:rFonts w:eastAsiaTheme="minorEastAsia"/>
                <w:sz w:val="21"/>
                <w:szCs w:val="21"/>
              </w:rPr>
            </w:pPr>
            <w:r w:rsidRPr="00B92704">
              <w:rPr>
                <w:rFonts w:eastAsiaTheme="minorEastAsia"/>
                <w:sz w:val="21"/>
                <w:szCs w:val="21"/>
              </w:rPr>
              <w:t>最高限制总价（元）</w:t>
            </w:r>
          </w:p>
        </w:tc>
        <w:tc>
          <w:tcPr>
            <w:tcW w:w="1106" w:type="dxa"/>
            <w:vAlign w:val="center"/>
          </w:tcPr>
          <w:p w:rsidR="0061681F" w:rsidRPr="006E2183" w:rsidRDefault="006366D9" w:rsidP="00A4230A">
            <w:pPr>
              <w:jc w:val="right"/>
              <w:rPr>
                <w:rFonts w:eastAsia="黑体"/>
                <w:color w:val="000000"/>
                <w:sz w:val="21"/>
              </w:rPr>
            </w:pPr>
            <w:r>
              <w:rPr>
                <w:rFonts w:eastAsia="黑体"/>
                <w:color w:val="000000"/>
                <w:sz w:val="21"/>
              </w:rPr>
              <w:t>31062</w:t>
            </w:r>
            <w:r w:rsidR="00B424D9">
              <w:rPr>
                <w:rFonts w:eastAsia="黑体"/>
                <w:color w:val="000000"/>
                <w:sz w:val="21"/>
              </w:rPr>
              <w:t>.</w:t>
            </w:r>
            <w:r w:rsidR="0049576E">
              <w:rPr>
                <w:rFonts w:eastAsia="黑体"/>
                <w:color w:val="000000"/>
                <w:sz w:val="21"/>
              </w:rPr>
              <w:t>00</w:t>
            </w:r>
          </w:p>
        </w:tc>
        <w:tc>
          <w:tcPr>
            <w:tcW w:w="1048" w:type="dxa"/>
            <w:vAlign w:val="center"/>
          </w:tcPr>
          <w:p w:rsidR="0061681F" w:rsidRPr="00B92704" w:rsidRDefault="0061681F" w:rsidP="0061681F">
            <w:pPr>
              <w:rPr>
                <w:rFonts w:eastAsiaTheme="minorEastAsia"/>
                <w:sz w:val="21"/>
                <w:szCs w:val="21"/>
              </w:rPr>
            </w:pPr>
          </w:p>
        </w:tc>
      </w:tr>
    </w:tbl>
    <w:p w:rsidR="00214C6F" w:rsidRPr="00CF4330" w:rsidRDefault="005463EC" w:rsidP="00955608">
      <w:pPr>
        <w:spacing w:beforeLines="100" w:before="312"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lastRenderedPageBreak/>
        <w:t>二</w:t>
      </w:r>
      <w:r w:rsidRPr="00CF4330">
        <w:rPr>
          <w:rFonts w:asciiTheme="majorEastAsia" w:eastAsiaTheme="majorEastAsia" w:hAnsiTheme="majorEastAsia"/>
          <w:sz w:val="21"/>
          <w:szCs w:val="21"/>
        </w:rPr>
        <w:t>、供应商</w:t>
      </w:r>
      <w:r w:rsidR="00214C6F" w:rsidRPr="00CF4330">
        <w:rPr>
          <w:rFonts w:asciiTheme="majorEastAsia" w:eastAsiaTheme="majorEastAsia" w:hAnsiTheme="majorEastAsia" w:hint="eastAsia"/>
          <w:sz w:val="21"/>
          <w:szCs w:val="21"/>
        </w:rPr>
        <w:t>资质要求</w:t>
      </w:r>
    </w:p>
    <w:p w:rsidR="00F23D40" w:rsidRPr="00CF4330" w:rsidRDefault="00F23D40" w:rsidP="00F23D40">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Pr="00CF4330">
        <w:rPr>
          <w:rFonts w:asciiTheme="majorEastAsia" w:eastAsiaTheme="majorEastAsia" w:hAnsiTheme="majorEastAsia" w:hint="eastAsia"/>
          <w:sz w:val="21"/>
          <w:szCs w:val="21"/>
        </w:rPr>
        <w:t>基本资格条件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1.具有独立承担民事责任的能力；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2.具有良好的商业信誉和健全的财务会计制度；</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3.具有履行合同所必需的设备和专业技术能力；</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4.有依法缴纳税收和社会保障资金的良好记录；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5.参加政府采购活动前三年内，在经营活动中没有重大违法记录；</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6.法律、行政法规规定的其他条件。</w:t>
      </w:r>
    </w:p>
    <w:p w:rsidR="00F23D40" w:rsidRPr="00CF4330" w:rsidRDefault="00F23D40" w:rsidP="00F23D40">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7.</w:t>
      </w:r>
      <w:r w:rsidRPr="00CF4330">
        <w:rPr>
          <w:rFonts w:ascii="宋体" w:hAnsi="宋体" w:hint="eastAsia"/>
          <w:sz w:val="21"/>
          <w:szCs w:val="21"/>
        </w:rPr>
        <w:t>不接受联合体投标。</w:t>
      </w:r>
    </w:p>
    <w:p w:rsidR="00BB703D" w:rsidRPr="00CF4330" w:rsidRDefault="00F23D40" w:rsidP="00AB00F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（二）</w:t>
      </w:r>
      <w:r w:rsidR="00B77AF3">
        <w:rPr>
          <w:rFonts w:asciiTheme="majorEastAsia" w:eastAsiaTheme="majorEastAsia" w:hAnsiTheme="majorEastAsia" w:hint="eastAsia"/>
          <w:sz w:val="21"/>
          <w:szCs w:val="21"/>
        </w:rPr>
        <w:t>响应</w:t>
      </w:r>
      <w:r w:rsidR="00B20111" w:rsidRPr="00CF4330">
        <w:rPr>
          <w:rFonts w:asciiTheme="majorEastAsia" w:eastAsiaTheme="majorEastAsia" w:hAnsiTheme="majorEastAsia" w:hint="eastAsia"/>
          <w:sz w:val="21"/>
          <w:szCs w:val="21"/>
        </w:rPr>
        <w:t>资质要求</w:t>
      </w:r>
    </w:p>
    <w:p w:rsidR="00AA3BC2" w:rsidRPr="00B32097" w:rsidRDefault="00F23D40" w:rsidP="001216D6">
      <w:pPr>
        <w:spacing w:line="360" w:lineRule="auto"/>
        <w:ind w:firstLine="420"/>
        <w:jc w:val="left"/>
        <w:rPr>
          <w:rFonts w:asciiTheme="majorEastAsia" w:eastAsiaTheme="majorEastAsia" w:hAnsiTheme="majorEastAsia"/>
          <w:b/>
          <w:sz w:val="21"/>
          <w:szCs w:val="21"/>
        </w:rPr>
      </w:pPr>
      <w:r w:rsidRPr="00B32097">
        <w:rPr>
          <w:rFonts w:asciiTheme="majorEastAsia" w:eastAsiaTheme="majorEastAsia" w:hAnsiTheme="majorEastAsia" w:hint="eastAsia"/>
          <w:b/>
          <w:sz w:val="21"/>
          <w:szCs w:val="21"/>
        </w:rPr>
        <w:t>上传《营业执照》原件扫描件或盖章扫描件</w:t>
      </w:r>
      <w:r w:rsidR="00FF6EE2">
        <w:rPr>
          <w:rFonts w:asciiTheme="majorEastAsia" w:eastAsiaTheme="majorEastAsia" w:hAnsiTheme="majorEastAsia" w:hint="eastAsia"/>
          <w:b/>
          <w:sz w:val="21"/>
          <w:szCs w:val="21"/>
        </w:rPr>
        <w:t>，</w:t>
      </w:r>
      <w:r w:rsidR="00EE1F87" w:rsidRPr="00B32097">
        <w:rPr>
          <w:rFonts w:asciiTheme="majorEastAsia" w:eastAsiaTheme="majorEastAsia" w:hAnsiTheme="majorEastAsia" w:hint="eastAsia"/>
          <w:b/>
          <w:sz w:val="21"/>
          <w:szCs w:val="21"/>
        </w:rPr>
        <w:t>《营业执照》</w:t>
      </w:r>
      <w:r w:rsidR="00FF6EE2">
        <w:rPr>
          <w:rFonts w:asciiTheme="majorEastAsia" w:eastAsiaTheme="majorEastAsia" w:hAnsiTheme="majorEastAsia" w:hint="eastAsia"/>
          <w:b/>
          <w:sz w:val="21"/>
          <w:szCs w:val="21"/>
        </w:rPr>
        <w:t>经营范围</w:t>
      </w:r>
      <w:r w:rsidR="00EE1F87">
        <w:rPr>
          <w:rFonts w:asciiTheme="majorEastAsia" w:eastAsiaTheme="majorEastAsia" w:hAnsiTheme="majorEastAsia" w:hint="eastAsia"/>
          <w:b/>
          <w:sz w:val="21"/>
          <w:szCs w:val="21"/>
        </w:rPr>
        <w:t>至少</w:t>
      </w:r>
      <w:r w:rsidR="00FF6EE2">
        <w:rPr>
          <w:rFonts w:asciiTheme="majorEastAsia" w:eastAsiaTheme="majorEastAsia" w:hAnsiTheme="majorEastAsia" w:hint="eastAsia"/>
          <w:b/>
          <w:sz w:val="21"/>
          <w:szCs w:val="21"/>
        </w:rPr>
        <w:t>涵盖：</w:t>
      </w:r>
      <w:r w:rsidR="003122CF">
        <w:rPr>
          <w:rFonts w:asciiTheme="majorEastAsia" w:eastAsiaTheme="majorEastAsia" w:hAnsiTheme="majorEastAsia" w:hint="eastAsia"/>
          <w:b/>
          <w:sz w:val="21"/>
          <w:szCs w:val="21"/>
        </w:rPr>
        <w:t>生物制品</w:t>
      </w:r>
      <w:r w:rsidR="0049576E">
        <w:rPr>
          <w:rFonts w:asciiTheme="majorEastAsia" w:eastAsiaTheme="majorEastAsia" w:hAnsiTheme="majorEastAsia" w:hint="eastAsia"/>
          <w:b/>
          <w:sz w:val="21"/>
          <w:szCs w:val="21"/>
        </w:rPr>
        <w:t>。</w:t>
      </w:r>
      <w:bookmarkStart w:id="0" w:name="_GoBack"/>
      <w:bookmarkEnd w:id="0"/>
    </w:p>
    <w:p w:rsidR="00BB703D" w:rsidRPr="00CF4330" w:rsidRDefault="005463EC" w:rsidP="00AB00F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三</w:t>
      </w:r>
      <w:r w:rsidRPr="00CF4330">
        <w:rPr>
          <w:rFonts w:asciiTheme="majorEastAsia" w:eastAsiaTheme="majorEastAsia" w:hAnsiTheme="majorEastAsia"/>
          <w:sz w:val="21"/>
          <w:szCs w:val="21"/>
        </w:rPr>
        <w:t>、</w:t>
      </w:r>
      <w:r w:rsidR="00214C6F" w:rsidRPr="00CF4330">
        <w:rPr>
          <w:rFonts w:asciiTheme="majorEastAsia" w:eastAsiaTheme="majorEastAsia" w:hAnsiTheme="majorEastAsia" w:hint="eastAsia"/>
          <w:sz w:val="21"/>
          <w:szCs w:val="21"/>
        </w:rPr>
        <w:t>报价要求</w:t>
      </w:r>
    </w:p>
    <w:p w:rsidR="00EB5755" w:rsidRDefault="008F3259" w:rsidP="00EB5755">
      <w:pPr>
        <w:spacing w:line="360" w:lineRule="auto"/>
        <w:ind w:firstLineChars="200" w:firstLine="420"/>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本次报价须为人民币报价</w:t>
      </w:r>
      <w:r w:rsidR="00BB703D" w:rsidRPr="00CF4330">
        <w:rPr>
          <w:rFonts w:asciiTheme="majorEastAsia" w:eastAsiaTheme="majorEastAsia" w:hAnsiTheme="majorEastAsia" w:hint="eastAsia"/>
          <w:sz w:val="21"/>
          <w:szCs w:val="21"/>
        </w:rPr>
        <w:t>。</w:t>
      </w:r>
      <w:r w:rsidR="005463EC" w:rsidRPr="00CF4330">
        <w:rPr>
          <w:rFonts w:asciiTheme="majorEastAsia" w:eastAsiaTheme="majorEastAsia" w:hAnsiTheme="majorEastAsia" w:hint="eastAsia"/>
          <w:sz w:val="21"/>
          <w:szCs w:val="21"/>
        </w:rPr>
        <w:t>所报价</w:t>
      </w:r>
      <w:r w:rsidR="0098107E" w:rsidRPr="00CF4330">
        <w:rPr>
          <w:rFonts w:asciiTheme="majorEastAsia" w:eastAsiaTheme="majorEastAsia" w:hAnsiTheme="majorEastAsia" w:hint="eastAsia"/>
          <w:sz w:val="21"/>
          <w:szCs w:val="21"/>
        </w:rPr>
        <w:t>包含商品到达</w:t>
      </w:r>
      <w:r w:rsidR="001071C5">
        <w:rPr>
          <w:rFonts w:asciiTheme="majorEastAsia" w:eastAsiaTheme="majorEastAsia" w:hAnsiTheme="majorEastAsia" w:hint="eastAsia"/>
          <w:sz w:val="21"/>
          <w:szCs w:val="21"/>
        </w:rPr>
        <w:t>采购单位</w:t>
      </w:r>
      <w:r w:rsidR="0098107E" w:rsidRPr="00CF4330">
        <w:rPr>
          <w:rFonts w:asciiTheme="majorEastAsia" w:eastAsiaTheme="majorEastAsia" w:hAnsiTheme="majorEastAsia" w:hint="eastAsia"/>
          <w:sz w:val="21"/>
          <w:szCs w:val="21"/>
        </w:rPr>
        <w:t>并能正常使用所需的一切费用，包括但不限于商品购置费、包装费、运输费、装卸费、保险费、安装调试费、技术服务费、培训费以及保修费、税费等。</w:t>
      </w:r>
      <w:r w:rsidR="009E1668" w:rsidRPr="00CF4330">
        <w:rPr>
          <w:rFonts w:asciiTheme="majorEastAsia" w:eastAsiaTheme="majorEastAsia" w:hAnsiTheme="majorEastAsia" w:hint="eastAsia"/>
          <w:sz w:val="21"/>
          <w:szCs w:val="21"/>
        </w:rPr>
        <w:t>供应商应按要求</w:t>
      </w:r>
      <w:r w:rsidR="00571660" w:rsidRPr="00CF4330">
        <w:rPr>
          <w:rFonts w:asciiTheme="majorEastAsia" w:eastAsiaTheme="majorEastAsia" w:hAnsiTheme="majorEastAsia" w:hint="eastAsia"/>
          <w:sz w:val="21"/>
          <w:szCs w:val="21"/>
        </w:rPr>
        <w:t>分项</w:t>
      </w:r>
      <w:r w:rsidR="00EC528D" w:rsidRPr="00CF4330">
        <w:rPr>
          <w:rFonts w:asciiTheme="majorEastAsia" w:eastAsiaTheme="majorEastAsia" w:hAnsiTheme="majorEastAsia" w:hint="eastAsia"/>
          <w:sz w:val="21"/>
          <w:szCs w:val="21"/>
        </w:rPr>
        <w:t>报价，</w:t>
      </w:r>
      <w:r w:rsidR="00EE0045" w:rsidRPr="00CF4330">
        <w:rPr>
          <w:rFonts w:asciiTheme="majorEastAsia" w:eastAsiaTheme="majorEastAsia" w:hAnsiTheme="majorEastAsia" w:hint="eastAsia"/>
          <w:sz w:val="21"/>
          <w:szCs w:val="21"/>
        </w:rPr>
        <w:t>总价</w:t>
      </w:r>
      <w:r w:rsidR="009E1668" w:rsidRPr="00CF4330">
        <w:rPr>
          <w:rFonts w:asciiTheme="majorEastAsia" w:eastAsiaTheme="majorEastAsia" w:hAnsiTheme="majorEastAsia" w:hint="eastAsia"/>
          <w:sz w:val="21"/>
          <w:szCs w:val="21"/>
        </w:rPr>
        <w:t>不得超过最高限制总价。</w:t>
      </w:r>
    </w:p>
    <w:p w:rsidR="00E80B03" w:rsidRPr="00CF4330" w:rsidRDefault="00E80B03" w:rsidP="00EB5755">
      <w:pPr>
        <w:spacing w:line="360" w:lineRule="auto"/>
        <w:jc w:val="left"/>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四</w:t>
      </w:r>
      <w:r w:rsidRPr="00CF4330">
        <w:rPr>
          <w:rFonts w:asciiTheme="majorEastAsia" w:eastAsiaTheme="majorEastAsia" w:hAnsiTheme="majorEastAsia"/>
          <w:sz w:val="21"/>
          <w:szCs w:val="21"/>
        </w:rPr>
        <w:t>、</w:t>
      </w:r>
      <w:r w:rsidRPr="00CF4330">
        <w:rPr>
          <w:rFonts w:asciiTheme="majorEastAsia" w:eastAsiaTheme="majorEastAsia" w:hAnsiTheme="majorEastAsia" w:hint="eastAsia"/>
          <w:sz w:val="21"/>
          <w:szCs w:val="21"/>
        </w:rPr>
        <w:t>货款结算</w:t>
      </w:r>
    </w:p>
    <w:p w:rsidR="002C52D0" w:rsidRDefault="001071C5" w:rsidP="00C94E93">
      <w:pPr>
        <w:spacing w:line="360" w:lineRule="auto"/>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对货物质量无异议后，</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向</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开具发票，</w:t>
      </w:r>
      <w:r>
        <w:rPr>
          <w:rFonts w:asciiTheme="majorEastAsia" w:eastAsiaTheme="majorEastAsia" w:hAnsiTheme="majorEastAsia" w:hint="eastAsia"/>
          <w:sz w:val="21"/>
          <w:szCs w:val="21"/>
        </w:rPr>
        <w:t>采购单位</w:t>
      </w:r>
      <w:r w:rsidR="00C94E93" w:rsidRPr="00CF4330">
        <w:rPr>
          <w:rFonts w:asciiTheme="majorEastAsia" w:eastAsiaTheme="majorEastAsia" w:hAnsiTheme="majorEastAsia" w:hint="eastAsia"/>
          <w:sz w:val="21"/>
          <w:szCs w:val="21"/>
        </w:rPr>
        <w:t>以转账方式向</w:t>
      </w:r>
      <w:r>
        <w:rPr>
          <w:rFonts w:asciiTheme="majorEastAsia" w:eastAsiaTheme="majorEastAsia" w:hAnsiTheme="majorEastAsia" w:hint="eastAsia"/>
          <w:sz w:val="21"/>
          <w:szCs w:val="21"/>
        </w:rPr>
        <w:t>供货商</w:t>
      </w:r>
      <w:r w:rsidR="00C94E93" w:rsidRPr="00CF4330">
        <w:rPr>
          <w:rFonts w:asciiTheme="majorEastAsia" w:eastAsiaTheme="majorEastAsia" w:hAnsiTheme="majorEastAsia" w:hint="eastAsia"/>
          <w:sz w:val="21"/>
          <w:szCs w:val="21"/>
        </w:rPr>
        <w:t>支付合同全款。</w:t>
      </w:r>
    </w:p>
    <w:p w:rsidR="007E51B8" w:rsidRPr="00CF4330" w:rsidRDefault="00D2280F" w:rsidP="002C52D0">
      <w:pPr>
        <w:spacing w:line="360" w:lineRule="auto"/>
        <w:rPr>
          <w:rFonts w:asciiTheme="majorEastAsia" w:eastAsiaTheme="majorEastAsia" w:hAnsiTheme="majorEastAsia"/>
          <w:sz w:val="21"/>
          <w:szCs w:val="21"/>
        </w:rPr>
      </w:pPr>
      <w:r w:rsidRPr="00CF4330">
        <w:rPr>
          <w:rFonts w:asciiTheme="majorEastAsia" w:eastAsiaTheme="majorEastAsia" w:hAnsiTheme="majorEastAsia" w:hint="eastAsia"/>
          <w:sz w:val="21"/>
          <w:szCs w:val="21"/>
        </w:rPr>
        <w:t>五</w:t>
      </w:r>
      <w:r w:rsidRPr="00CF4330">
        <w:rPr>
          <w:rFonts w:asciiTheme="majorEastAsia" w:eastAsiaTheme="majorEastAsia" w:hAnsiTheme="majorEastAsia"/>
          <w:sz w:val="21"/>
          <w:szCs w:val="21"/>
        </w:rPr>
        <w:t>、</w:t>
      </w:r>
      <w:r w:rsidR="00B20111" w:rsidRPr="00CF4330">
        <w:rPr>
          <w:rFonts w:asciiTheme="majorEastAsia" w:eastAsiaTheme="majorEastAsia" w:hAnsiTheme="majorEastAsia" w:hint="eastAsia"/>
          <w:sz w:val="21"/>
          <w:szCs w:val="21"/>
        </w:rPr>
        <w:t>货物</w:t>
      </w:r>
      <w:r w:rsidR="00CF3508" w:rsidRPr="00CF4330">
        <w:rPr>
          <w:rFonts w:asciiTheme="majorEastAsia" w:eastAsiaTheme="majorEastAsia" w:hAnsiTheme="majorEastAsia" w:hint="eastAsia"/>
          <w:sz w:val="21"/>
          <w:szCs w:val="21"/>
        </w:rPr>
        <w:t>包装</w:t>
      </w:r>
      <w:r w:rsidR="0098107E" w:rsidRPr="00CF4330">
        <w:rPr>
          <w:rFonts w:asciiTheme="majorEastAsia" w:eastAsiaTheme="majorEastAsia" w:hAnsiTheme="majorEastAsia" w:hint="eastAsia"/>
          <w:sz w:val="21"/>
          <w:szCs w:val="21"/>
        </w:rPr>
        <w:t>与</w:t>
      </w:r>
      <w:r w:rsidR="0098107E" w:rsidRPr="00CF4330">
        <w:rPr>
          <w:rFonts w:asciiTheme="majorEastAsia" w:eastAsiaTheme="majorEastAsia" w:hAnsiTheme="majorEastAsia"/>
          <w:sz w:val="21"/>
          <w:szCs w:val="21"/>
        </w:rPr>
        <w:t>交付</w:t>
      </w:r>
    </w:p>
    <w:p w:rsidR="006022B5" w:rsidRPr="00EB5755" w:rsidRDefault="006022B5"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货物的包装应适于长途运输和反复装卸，并且</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应根据货物不同的特性和要求采取防潮、防雨、防锈、防震、防腐等保护措施，以保证货物安全无损地到达</w:t>
      </w:r>
      <w:r w:rsidR="001071C5">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指定地点。</w:t>
      </w:r>
      <w:r w:rsidR="001071C5">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将承担因包装不当导致交付的货物受损的责任。</w:t>
      </w:r>
    </w:p>
    <w:p w:rsidR="006022B5" w:rsidRDefault="001071C5" w:rsidP="00EB5755">
      <w:pPr>
        <w:pStyle w:val="a5"/>
        <w:numPr>
          <w:ilvl w:val="0"/>
          <w:numId w:val="3"/>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006022B5" w:rsidRPr="00EB5755">
        <w:rPr>
          <w:rFonts w:asciiTheme="majorEastAsia" w:eastAsiaTheme="majorEastAsia" w:hAnsiTheme="majorEastAsia" w:hint="eastAsia"/>
          <w:sz w:val="21"/>
          <w:szCs w:val="21"/>
        </w:rPr>
        <w:t>在交付产品的同时需向</w:t>
      </w:r>
      <w:r>
        <w:rPr>
          <w:rFonts w:asciiTheme="majorEastAsia" w:eastAsiaTheme="majorEastAsia" w:hAnsiTheme="majorEastAsia" w:hint="eastAsia"/>
          <w:sz w:val="21"/>
          <w:szCs w:val="21"/>
        </w:rPr>
        <w:t>采购单位</w:t>
      </w:r>
      <w:r w:rsidR="006022B5" w:rsidRPr="00EB5755">
        <w:rPr>
          <w:rFonts w:asciiTheme="majorEastAsia" w:eastAsiaTheme="majorEastAsia" w:hAnsiTheme="majorEastAsia" w:hint="eastAsia"/>
          <w:sz w:val="21"/>
          <w:szCs w:val="21"/>
        </w:rPr>
        <w:t>提供有关货物的附随资料，包括但不限于：商品目录、安装图纸、使用说明书、质量证明及其他技术资料（如有）。</w:t>
      </w:r>
    </w:p>
    <w:p w:rsidR="0098107E"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交货时间：</w:t>
      </w:r>
      <w:r w:rsidRPr="00D36714">
        <w:rPr>
          <w:rFonts w:asciiTheme="majorEastAsia" w:eastAsiaTheme="majorEastAsia" w:hAnsiTheme="majorEastAsia" w:hint="eastAsia"/>
          <w:b/>
          <w:sz w:val="21"/>
          <w:szCs w:val="21"/>
        </w:rPr>
        <w:t>成交后</w:t>
      </w:r>
      <w:r w:rsidR="003012C5">
        <w:rPr>
          <w:rFonts w:asciiTheme="majorEastAsia" w:eastAsiaTheme="majorEastAsia" w:hAnsiTheme="majorEastAsia"/>
          <w:b/>
          <w:sz w:val="21"/>
          <w:szCs w:val="21"/>
        </w:rPr>
        <w:t>3</w:t>
      </w:r>
      <w:r w:rsidRPr="00D36714">
        <w:rPr>
          <w:rFonts w:asciiTheme="majorEastAsia" w:eastAsiaTheme="majorEastAsia" w:hAnsiTheme="majorEastAsia" w:hint="eastAsia"/>
          <w:b/>
          <w:sz w:val="21"/>
          <w:szCs w:val="21"/>
        </w:rPr>
        <w:t>个工作日内签订合同，签订合同后</w:t>
      </w:r>
      <w:r w:rsidR="000B3671">
        <w:rPr>
          <w:rFonts w:asciiTheme="majorEastAsia" w:eastAsiaTheme="majorEastAsia" w:hAnsiTheme="majorEastAsia"/>
          <w:b/>
          <w:sz w:val="21"/>
          <w:szCs w:val="21"/>
        </w:rPr>
        <w:t>5</w:t>
      </w:r>
      <w:r w:rsidRPr="00D36714">
        <w:rPr>
          <w:rFonts w:asciiTheme="majorEastAsia" w:eastAsiaTheme="majorEastAsia" w:hAnsiTheme="majorEastAsia" w:hint="eastAsia"/>
          <w:b/>
          <w:sz w:val="21"/>
          <w:szCs w:val="21"/>
        </w:rPr>
        <w:t>个工作日内交货。</w:t>
      </w:r>
    </w:p>
    <w:p w:rsidR="00CA4863" w:rsidRDefault="0098107E"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sz w:val="21"/>
          <w:szCs w:val="21"/>
        </w:rPr>
        <w:t>交货</w:t>
      </w:r>
      <w:r w:rsidRPr="00EB5755">
        <w:rPr>
          <w:rFonts w:asciiTheme="majorEastAsia" w:eastAsiaTheme="majorEastAsia" w:hAnsiTheme="majorEastAsia" w:hint="eastAsia"/>
          <w:sz w:val="21"/>
          <w:szCs w:val="21"/>
        </w:rPr>
        <w:t>方式</w:t>
      </w:r>
      <w:r w:rsidRPr="00EB5755">
        <w:rPr>
          <w:rFonts w:asciiTheme="majorEastAsia" w:eastAsiaTheme="majorEastAsia" w:hAnsiTheme="majorEastAsia"/>
          <w:sz w:val="21"/>
          <w:szCs w:val="21"/>
        </w:rPr>
        <w:t>：</w:t>
      </w:r>
      <w:r w:rsidR="00A4472A" w:rsidRPr="00EB5755">
        <w:rPr>
          <w:rFonts w:asciiTheme="majorEastAsia" w:eastAsiaTheme="majorEastAsia" w:hAnsiTheme="majorEastAsia" w:hint="eastAsia"/>
          <w:sz w:val="21"/>
          <w:szCs w:val="21"/>
        </w:rPr>
        <w:t>供应商</w:t>
      </w:r>
      <w:r w:rsidR="00CA4863" w:rsidRPr="00EB5755">
        <w:rPr>
          <w:rFonts w:asciiTheme="majorEastAsia" w:eastAsiaTheme="majorEastAsia" w:hAnsiTheme="majorEastAsia" w:hint="eastAsia"/>
          <w:sz w:val="21"/>
          <w:szCs w:val="21"/>
        </w:rPr>
        <w:t>送货上门</w:t>
      </w:r>
      <w:r w:rsidR="00EB5755">
        <w:rPr>
          <w:rFonts w:asciiTheme="majorEastAsia" w:eastAsiaTheme="majorEastAsia" w:hAnsiTheme="majorEastAsia" w:hint="eastAsia"/>
          <w:sz w:val="21"/>
          <w:szCs w:val="21"/>
        </w:rPr>
        <w:t>。</w:t>
      </w:r>
    </w:p>
    <w:p w:rsidR="0098107E" w:rsidRDefault="00CA4863" w:rsidP="00EB5755">
      <w:pPr>
        <w:pStyle w:val="a5"/>
        <w:numPr>
          <w:ilvl w:val="0"/>
          <w:numId w:val="3"/>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收货地址</w:t>
      </w:r>
      <w:r w:rsidRPr="00EB5755">
        <w:rPr>
          <w:rFonts w:asciiTheme="majorEastAsia" w:eastAsiaTheme="majorEastAsia" w:hAnsiTheme="majorEastAsia"/>
          <w:sz w:val="21"/>
          <w:szCs w:val="21"/>
        </w:rPr>
        <w:t>：</w:t>
      </w:r>
      <w:r w:rsidR="0098107E" w:rsidRPr="00EB5755">
        <w:rPr>
          <w:rFonts w:asciiTheme="majorEastAsia" w:eastAsiaTheme="majorEastAsia" w:hAnsiTheme="majorEastAsia" w:hint="eastAsia"/>
          <w:sz w:val="21"/>
          <w:szCs w:val="21"/>
        </w:rPr>
        <w:t>重庆市</w:t>
      </w:r>
      <w:r w:rsidR="0098107E" w:rsidRPr="00EB5755">
        <w:rPr>
          <w:rFonts w:asciiTheme="majorEastAsia" w:eastAsiaTheme="majorEastAsia" w:hAnsiTheme="majorEastAsia"/>
          <w:sz w:val="21"/>
          <w:szCs w:val="21"/>
        </w:rPr>
        <w:t>动物疫病预防控制中心</w:t>
      </w:r>
      <w:r w:rsidR="00EB5755">
        <w:rPr>
          <w:rFonts w:asciiTheme="majorEastAsia" w:eastAsiaTheme="majorEastAsia" w:hAnsiTheme="majorEastAsia" w:hint="eastAsia"/>
          <w:sz w:val="21"/>
          <w:szCs w:val="21"/>
        </w:rPr>
        <w:t>。</w:t>
      </w:r>
    </w:p>
    <w:p w:rsidR="00214C6F" w:rsidRPr="00EB5755" w:rsidRDefault="00CA4863" w:rsidP="004A3524">
      <w:pPr>
        <w:pStyle w:val="a5"/>
        <w:numPr>
          <w:ilvl w:val="1"/>
          <w:numId w:val="3"/>
        </w:numPr>
        <w:spacing w:line="360" w:lineRule="auto"/>
        <w:ind w:left="426" w:firstLineChars="0" w:hanging="426"/>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验收</w:t>
      </w:r>
      <w:r w:rsidR="00E238DD" w:rsidRPr="00EB5755">
        <w:rPr>
          <w:rFonts w:asciiTheme="majorEastAsia" w:eastAsiaTheme="majorEastAsia" w:hAnsiTheme="majorEastAsia" w:hint="eastAsia"/>
          <w:sz w:val="21"/>
          <w:szCs w:val="21"/>
        </w:rPr>
        <w:t>标准</w:t>
      </w:r>
      <w:r w:rsidR="00E238DD" w:rsidRPr="00EB5755">
        <w:rPr>
          <w:rFonts w:asciiTheme="majorEastAsia" w:eastAsiaTheme="majorEastAsia" w:hAnsiTheme="majorEastAsia"/>
          <w:sz w:val="21"/>
          <w:szCs w:val="21"/>
        </w:rPr>
        <w:t>、方法</w:t>
      </w:r>
    </w:p>
    <w:p w:rsidR="00EB5755" w:rsidRPr="0024741A" w:rsidRDefault="00B20111" w:rsidP="00195ECA">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cs="宋体" w:hint="eastAsia"/>
          <w:kern w:val="0"/>
          <w:sz w:val="21"/>
          <w:szCs w:val="21"/>
        </w:rPr>
        <w:lastRenderedPageBreak/>
        <w:t>验收标准：</w:t>
      </w:r>
      <w:r w:rsidR="0024741A" w:rsidRPr="0024741A">
        <w:rPr>
          <w:rFonts w:asciiTheme="majorEastAsia" w:eastAsiaTheme="majorEastAsia" w:hAnsiTheme="majorEastAsia" w:hint="eastAsia"/>
          <w:sz w:val="21"/>
          <w:szCs w:val="21"/>
        </w:rPr>
        <w:t>供货商提供的商品必须是全新的，完全符合产品技术资料【指合同货物及其相关的设计、制造、监造、检验、验收等文件（包括图纸、各种文字说明、标准）】规定的质量、性能和技术要求，</w:t>
      </w:r>
      <w:r w:rsidRPr="0024741A">
        <w:rPr>
          <w:rFonts w:asciiTheme="majorEastAsia" w:eastAsiaTheme="majorEastAsia" w:hAnsiTheme="majorEastAsia" w:cs="宋体" w:hint="eastAsia"/>
          <w:kern w:val="0"/>
          <w:sz w:val="21"/>
          <w:szCs w:val="21"/>
        </w:rPr>
        <w:t>按产品执行标准</w:t>
      </w:r>
      <w:r w:rsidRPr="0024741A">
        <w:rPr>
          <w:rFonts w:asciiTheme="majorEastAsia" w:eastAsiaTheme="majorEastAsia" w:hAnsiTheme="majorEastAsia" w:cs="宋体"/>
          <w:kern w:val="0"/>
          <w:sz w:val="21"/>
          <w:szCs w:val="21"/>
        </w:rPr>
        <w:t>或其技术</w:t>
      </w:r>
      <w:r w:rsidRPr="0024741A">
        <w:rPr>
          <w:rFonts w:asciiTheme="majorEastAsia" w:eastAsiaTheme="majorEastAsia" w:hAnsiTheme="majorEastAsia" w:cs="宋体" w:hint="eastAsia"/>
          <w:kern w:val="0"/>
          <w:sz w:val="21"/>
          <w:szCs w:val="21"/>
        </w:rPr>
        <w:t>资料执行。</w:t>
      </w:r>
    </w:p>
    <w:p w:rsidR="00EB5755" w:rsidRDefault="00D710E8" w:rsidP="00EB575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EB5755">
        <w:rPr>
          <w:rFonts w:asciiTheme="majorEastAsia" w:eastAsiaTheme="majorEastAsia" w:hAnsiTheme="majorEastAsia" w:cs="宋体" w:hint="eastAsia"/>
          <w:kern w:val="0"/>
          <w:sz w:val="21"/>
          <w:szCs w:val="21"/>
        </w:rPr>
        <w:t>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收到货物后 2 个工作日内进行到货验收。</w:t>
      </w:r>
      <w:r w:rsidR="001071C5">
        <w:rPr>
          <w:rFonts w:asciiTheme="majorEastAsia" w:eastAsiaTheme="majorEastAsia" w:hAnsiTheme="majorEastAsia" w:cs="宋体" w:hint="eastAsia"/>
          <w:kern w:val="0"/>
          <w:sz w:val="21"/>
          <w:szCs w:val="21"/>
        </w:rPr>
        <w:t>采购单位</w:t>
      </w:r>
      <w:r w:rsidR="00B20111" w:rsidRPr="00EB5755">
        <w:rPr>
          <w:rFonts w:asciiTheme="majorEastAsia" w:eastAsiaTheme="majorEastAsia" w:hAnsiTheme="majorEastAsia" w:cs="宋体" w:hint="eastAsia"/>
          <w:kern w:val="0"/>
          <w:sz w:val="21"/>
          <w:szCs w:val="21"/>
        </w:rPr>
        <w:t>仅对产品的数量和外观进行检验，并不因此减轻或免除</w:t>
      </w:r>
      <w:r w:rsidR="001071C5">
        <w:rPr>
          <w:rFonts w:asciiTheme="majorEastAsia" w:eastAsiaTheme="majorEastAsia" w:hAnsiTheme="majorEastAsia" w:cs="宋体" w:hint="eastAsia"/>
          <w:kern w:val="0"/>
          <w:sz w:val="21"/>
          <w:szCs w:val="21"/>
        </w:rPr>
        <w:t>供货商</w:t>
      </w:r>
      <w:r w:rsidR="00B20111" w:rsidRPr="00EB5755">
        <w:rPr>
          <w:rFonts w:asciiTheme="majorEastAsia" w:eastAsiaTheme="majorEastAsia" w:hAnsiTheme="majorEastAsia" w:cs="宋体" w:hint="eastAsia"/>
          <w:kern w:val="0"/>
          <w:sz w:val="21"/>
          <w:szCs w:val="21"/>
        </w:rPr>
        <w:t>所应承担的质量保证责任。</w:t>
      </w:r>
    </w:p>
    <w:p w:rsidR="001071C5" w:rsidRPr="0024741A" w:rsidRDefault="001071C5" w:rsidP="00AB00F5">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Pr>
          <w:rFonts w:ascii="宋体" w:hAnsi="宋体" w:hint="eastAsia"/>
          <w:sz w:val="21"/>
          <w:szCs w:val="21"/>
        </w:rPr>
        <w:t>供货商</w:t>
      </w:r>
      <w:r w:rsidR="00B20111" w:rsidRPr="00EB5755">
        <w:rPr>
          <w:rFonts w:ascii="宋体" w:hAnsi="宋体" w:hint="eastAsia"/>
          <w:sz w:val="21"/>
          <w:szCs w:val="21"/>
        </w:rPr>
        <w:t>对验收结果有异议的，应于收到</w:t>
      </w:r>
      <w:r w:rsidR="00B20111" w:rsidRPr="00EB5755">
        <w:rPr>
          <w:rFonts w:ascii="宋体" w:hAnsi="宋体"/>
          <w:sz w:val="21"/>
          <w:szCs w:val="21"/>
        </w:rPr>
        <w:t>验收结果通知后3</w:t>
      </w:r>
      <w:r w:rsidR="00B20111" w:rsidRPr="00EB5755">
        <w:rPr>
          <w:rFonts w:ascii="宋体" w:hAnsi="宋体" w:hint="eastAsia"/>
          <w:sz w:val="21"/>
          <w:szCs w:val="21"/>
        </w:rPr>
        <w:t>日内以书面形式提出</w:t>
      </w:r>
      <w:r w:rsidR="006E2183" w:rsidRPr="00EB5755">
        <w:rPr>
          <w:rFonts w:ascii="宋体" w:hAnsi="宋体" w:hint="eastAsia"/>
          <w:sz w:val="21"/>
          <w:szCs w:val="21"/>
        </w:rPr>
        <w:t>，否则视为对验收结果无异。</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货物有效期期限：交货时，进口</w:t>
      </w:r>
      <w:r w:rsidRPr="00EB5755">
        <w:rPr>
          <w:rFonts w:asciiTheme="majorEastAsia" w:eastAsiaTheme="majorEastAsia" w:hAnsiTheme="majorEastAsia"/>
          <w:sz w:val="21"/>
          <w:szCs w:val="21"/>
        </w:rPr>
        <w:t>产品剩余有效期不</w:t>
      </w:r>
      <w:r w:rsidRPr="00EB5755">
        <w:rPr>
          <w:rFonts w:asciiTheme="majorEastAsia" w:eastAsiaTheme="majorEastAsia" w:hAnsiTheme="majorEastAsia" w:hint="eastAsia"/>
          <w:sz w:val="21"/>
          <w:szCs w:val="21"/>
        </w:rPr>
        <w:t>得</w:t>
      </w:r>
      <w:r w:rsidRPr="00EB5755">
        <w:rPr>
          <w:rFonts w:asciiTheme="majorEastAsia" w:eastAsiaTheme="majorEastAsia" w:hAnsiTheme="majorEastAsia"/>
          <w:sz w:val="21"/>
          <w:szCs w:val="21"/>
        </w:rPr>
        <w:t>低于总</w:t>
      </w:r>
      <w:r w:rsidRPr="00EB5755">
        <w:rPr>
          <w:rFonts w:asciiTheme="majorEastAsia" w:eastAsiaTheme="majorEastAsia" w:hAnsiTheme="majorEastAsia" w:hint="eastAsia"/>
          <w:sz w:val="21"/>
          <w:szCs w:val="21"/>
        </w:rPr>
        <w:t>有效期</w:t>
      </w:r>
      <w:r w:rsidRPr="00EB5755">
        <w:rPr>
          <w:rFonts w:asciiTheme="majorEastAsia" w:eastAsiaTheme="majorEastAsia" w:hAnsiTheme="majorEastAsia"/>
          <w:sz w:val="21"/>
          <w:szCs w:val="21"/>
        </w:rPr>
        <w:t>的三分之二，国内</w:t>
      </w:r>
      <w:r w:rsidRPr="00EB5755">
        <w:rPr>
          <w:rFonts w:asciiTheme="majorEastAsia" w:eastAsiaTheme="majorEastAsia" w:hAnsiTheme="majorEastAsia" w:hint="eastAsia"/>
          <w:sz w:val="21"/>
          <w:szCs w:val="21"/>
        </w:rPr>
        <w:t>产品剩余有效期不得低于</w:t>
      </w:r>
      <w:r w:rsidRPr="00EB5755">
        <w:rPr>
          <w:rFonts w:asciiTheme="majorEastAsia" w:eastAsiaTheme="majorEastAsia" w:hAnsiTheme="majorEastAsia"/>
          <w:sz w:val="21"/>
          <w:szCs w:val="21"/>
        </w:rPr>
        <w:t>总效期的</w:t>
      </w:r>
      <w:r w:rsidRPr="00EB5755">
        <w:rPr>
          <w:rFonts w:asciiTheme="majorEastAsia" w:eastAsiaTheme="majorEastAsia" w:hAnsiTheme="majorEastAsia" w:hint="eastAsia"/>
          <w:sz w:val="21"/>
          <w:szCs w:val="21"/>
        </w:rPr>
        <w:t>四</w:t>
      </w:r>
      <w:r w:rsidRPr="00EB5755">
        <w:rPr>
          <w:rFonts w:asciiTheme="majorEastAsia" w:eastAsiaTheme="majorEastAsia" w:hAnsiTheme="majorEastAsia"/>
          <w:sz w:val="21"/>
          <w:szCs w:val="21"/>
        </w:rPr>
        <w:t>分之</w:t>
      </w:r>
      <w:r w:rsidRPr="00EB5755">
        <w:rPr>
          <w:rFonts w:asciiTheme="majorEastAsia" w:eastAsiaTheme="majorEastAsia" w:hAnsiTheme="majorEastAsia" w:hint="eastAsia"/>
          <w:sz w:val="21"/>
          <w:szCs w:val="21"/>
        </w:rPr>
        <w:t>三</w:t>
      </w:r>
      <w:r w:rsidRPr="00EB5755">
        <w:rPr>
          <w:rFonts w:asciiTheme="majorEastAsia" w:eastAsiaTheme="majorEastAsia" w:hAnsiTheme="majorEastAsia"/>
          <w:sz w:val="21"/>
          <w:szCs w:val="21"/>
        </w:rPr>
        <w:t>。</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在所提供产品的有效期内对产品任何质量问题负责（因</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未按保存条件储存引起的质量问题除外），</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有权对</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提供的产品作质量检测；经检测不合格的，将追究</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p>
    <w:p w:rsidR="0024741A" w:rsidRDefault="0024741A" w:rsidP="0024741A">
      <w:pPr>
        <w:pStyle w:val="a5"/>
        <w:numPr>
          <w:ilvl w:val="0"/>
          <w:numId w:val="4"/>
        </w:numPr>
        <w:spacing w:line="360" w:lineRule="auto"/>
        <w:ind w:firstLineChars="0"/>
        <w:jc w:val="left"/>
        <w:rPr>
          <w:rFonts w:asciiTheme="majorEastAsia" w:eastAsiaTheme="majorEastAsia" w:hAnsiTheme="majorEastAsia"/>
          <w:sz w:val="21"/>
          <w:szCs w:val="21"/>
        </w:rPr>
      </w:pPr>
      <w:r w:rsidRPr="00EB5755">
        <w:rPr>
          <w:rFonts w:asciiTheme="majorEastAsia" w:eastAsiaTheme="majorEastAsia" w:hAnsiTheme="majorEastAsia" w:hint="eastAsia"/>
          <w:sz w:val="21"/>
          <w:szCs w:val="21"/>
        </w:rPr>
        <w:t>如产生质量问题或质量纠纷，</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与供应商联合调查确定为产品质量原因造成的，或经权威部门确认为产品质量有问题的，</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应承担责任，因此产生的一切费用和造成的一切经济损失，均由</w:t>
      </w:r>
      <w:r>
        <w:rPr>
          <w:rFonts w:asciiTheme="majorEastAsia" w:eastAsiaTheme="majorEastAsia" w:hAnsiTheme="majorEastAsia" w:hint="eastAsia"/>
          <w:sz w:val="21"/>
          <w:szCs w:val="21"/>
        </w:rPr>
        <w:t>供货商</w:t>
      </w:r>
      <w:r w:rsidRPr="00EB5755">
        <w:rPr>
          <w:rFonts w:asciiTheme="majorEastAsia" w:eastAsiaTheme="majorEastAsia" w:hAnsiTheme="majorEastAsia" w:hint="eastAsia"/>
          <w:sz w:val="21"/>
          <w:szCs w:val="21"/>
        </w:rPr>
        <w:t>承担；</w:t>
      </w:r>
      <w:r>
        <w:rPr>
          <w:rFonts w:asciiTheme="majorEastAsia" w:eastAsiaTheme="majorEastAsia" w:hAnsiTheme="majorEastAsia" w:hint="eastAsia"/>
          <w:sz w:val="21"/>
          <w:szCs w:val="21"/>
        </w:rPr>
        <w:t>采购单位</w:t>
      </w:r>
      <w:r w:rsidRPr="00EB5755">
        <w:rPr>
          <w:rFonts w:asciiTheme="majorEastAsia" w:eastAsiaTheme="majorEastAsia" w:hAnsiTheme="majorEastAsia" w:hint="eastAsia"/>
          <w:sz w:val="21"/>
          <w:szCs w:val="21"/>
        </w:rPr>
        <w:t>有权单方解除采购合同。</w:t>
      </w:r>
    </w:p>
    <w:p w:rsidR="0024741A" w:rsidRPr="0024741A" w:rsidRDefault="0024741A" w:rsidP="00544BEE">
      <w:pPr>
        <w:pStyle w:val="a5"/>
        <w:numPr>
          <w:ilvl w:val="0"/>
          <w:numId w:val="4"/>
        </w:numPr>
        <w:snapToGrid w:val="0"/>
        <w:spacing w:line="360" w:lineRule="auto"/>
        <w:ind w:firstLineChars="0"/>
        <w:jc w:val="left"/>
        <w:rPr>
          <w:rFonts w:asciiTheme="majorEastAsia" w:eastAsiaTheme="majorEastAsia" w:hAnsiTheme="majorEastAsia" w:cs="宋体"/>
          <w:kern w:val="0"/>
          <w:sz w:val="21"/>
          <w:szCs w:val="21"/>
        </w:rPr>
      </w:pPr>
      <w:r w:rsidRPr="0024741A">
        <w:rPr>
          <w:rFonts w:asciiTheme="majorEastAsia" w:eastAsiaTheme="majorEastAsia" w:hAnsiTheme="majorEastAsia" w:hint="eastAsia"/>
          <w:sz w:val="21"/>
          <w:szCs w:val="21"/>
        </w:rPr>
        <w:t>退换货服务：若有</w:t>
      </w:r>
      <w:r w:rsidRPr="0024741A">
        <w:rPr>
          <w:rFonts w:asciiTheme="majorEastAsia" w:eastAsiaTheme="majorEastAsia" w:hAnsiTheme="majorEastAsia"/>
          <w:sz w:val="21"/>
          <w:szCs w:val="21"/>
        </w:rPr>
        <w:t>质量问题，按</w:t>
      </w:r>
      <w:r w:rsidRPr="0024741A">
        <w:rPr>
          <w:rFonts w:asciiTheme="majorEastAsia" w:eastAsiaTheme="majorEastAsia" w:hAnsiTheme="majorEastAsia" w:hint="eastAsia"/>
          <w:sz w:val="21"/>
          <w:szCs w:val="21"/>
        </w:rPr>
        <w:t>采购单位</w:t>
      </w:r>
      <w:r w:rsidRPr="0024741A">
        <w:rPr>
          <w:rFonts w:asciiTheme="majorEastAsia" w:eastAsiaTheme="majorEastAsia" w:hAnsiTheme="majorEastAsia"/>
          <w:sz w:val="21"/>
          <w:szCs w:val="21"/>
        </w:rPr>
        <w:t>要求进行退</w:t>
      </w:r>
      <w:r w:rsidRPr="0024741A">
        <w:rPr>
          <w:rFonts w:asciiTheme="majorEastAsia" w:eastAsiaTheme="majorEastAsia" w:hAnsiTheme="majorEastAsia" w:hint="eastAsia"/>
          <w:sz w:val="21"/>
          <w:szCs w:val="21"/>
        </w:rPr>
        <w:t>或</w:t>
      </w:r>
      <w:r w:rsidRPr="0024741A">
        <w:rPr>
          <w:rFonts w:asciiTheme="majorEastAsia" w:eastAsiaTheme="majorEastAsia" w:hAnsiTheme="majorEastAsia"/>
          <w:sz w:val="21"/>
          <w:szCs w:val="21"/>
        </w:rPr>
        <w:t>换货</w:t>
      </w:r>
      <w:r w:rsidRPr="0024741A">
        <w:rPr>
          <w:rFonts w:asciiTheme="majorEastAsia" w:eastAsiaTheme="majorEastAsia" w:hAnsiTheme="majorEastAsia" w:hint="eastAsia"/>
          <w:sz w:val="21"/>
          <w:szCs w:val="21"/>
        </w:rPr>
        <w:t>，</w:t>
      </w:r>
      <w:r w:rsidRPr="0024741A">
        <w:rPr>
          <w:rFonts w:asciiTheme="majorEastAsia" w:eastAsiaTheme="majorEastAsia" w:hAnsiTheme="majorEastAsia"/>
          <w:sz w:val="21"/>
          <w:szCs w:val="21"/>
        </w:rPr>
        <w:t>退换货所涉一切费用由供货商承担</w:t>
      </w:r>
      <w:r w:rsidRPr="0024741A">
        <w:rPr>
          <w:rFonts w:asciiTheme="majorEastAsia" w:eastAsiaTheme="majorEastAsia" w:hAnsiTheme="majorEastAsia" w:hint="eastAsia"/>
          <w:sz w:val="21"/>
          <w:szCs w:val="21"/>
        </w:rPr>
        <w:t>。</w:t>
      </w:r>
    </w:p>
    <w:p w:rsidR="00214C6F" w:rsidRPr="001071C5" w:rsidRDefault="000830BB" w:rsidP="001071C5">
      <w:pPr>
        <w:snapToGrid w:val="0"/>
        <w:spacing w:line="360" w:lineRule="auto"/>
        <w:jc w:val="left"/>
        <w:rPr>
          <w:rFonts w:asciiTheme="majorEastAsia" w:eastAsiaTheme="majorEastAsia" w:hAnsiTheme="majorEastAsia" w:cs="宋体"/>
          <w:kern w:val="0"/>
          <w:sz w:val="21"/>
          <w:szCs w:val="21"/>
        </w:rPr>
      </w:pPr>
      <w:r w:rsidRPr="001071C5">
        <w:rPr>
          <w:rFonts w:asciiTheme="majorEastAsia" w:eastAsiaTheme="majorEastAsia" w:hAnsiTheme="majorEastAsia" w:hint="eastAsia"/>
          <w:sz w:val="21"/>
          <w:szCs w:val="21"/>
        </w:rPr>
        <w:t>七</w:t>
      </w:r>
      <w:r w:rsidR="00D2280F" w:rsidRPr="001071C5">
        <w:rPr>
          <w:rFonts w:asciiTheme="majorEastAsia" w:eastAsiaTheme="majorEastAsia" w:hAnsiTheme="majorEastAsia"/>
          <w:sz w:val="21"/>
          <w:szCs w:val="21"/>
        </w:rPr>
        <w:t>、</w:t>
      </w:r>
      <w:r w:rsidR="00D710E8" w:rsidRPr="001071C5">
        <w:rPr>
          <w:rFonts w:asciiTheme="majorEastAsia" w:eastAsiaTheme="majorEastAsia" w:hAnsiTheme="majorEastAsia" w:hint="eastAsia"/>
          <w:sz w:val="21"/>
          <w:szCs w:val="21"/>
        </w:rPr>
        <w:t>违约责任</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（一）</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不能按期交货时，需提前5个工作日书面通知</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。除非</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书面同意延期，</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逾期 7 日不能交货的，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894DA4" w:rsidRPr="00CF4330">
        <w:rPr>
          <w:rFonts w:asciiTheme="majorEastAsia" w:eastAsiaTheme="majorEastAsia" w:hAnsiTheme="majorEastAsia" w:hint="eastAsia"/>
          <w:sz w:val="21"/>
          <w:szCs w:val="21"/>
        </w:rPr>
        <w:t>解除合同。</w:t>
      </w:r>
      <w:r w:rsidR="00CF4330" w:rsidRPr="00CF4330">
        <w:rPr>
          <w:rFonts w:asciiTheme="majorEastAsia" w:eastAsiaTheme="majorEastAsia" w:hAnsiTheme="majorEastAsia" w:hint="eastAsia"/>
          <w:sz w:val="21"/>
          <w:szCs w:val="21"/>
        </w:rPr>
        <w:t>由此给</w:t>
      </w:r>
      <w:r w:rsidR="001071C5">
        <w:rPr>
          <w:rFonts w:asciiTheme="majorEastAsia" w:eastAsiaTheme="majorEastAsia" w:hAnsiTheme="majorEastAsia" w:hint="eastAsia"/>
          <w:sz w:val="21"/>
          <w:szCs w:val="21"/>
        </w:rPr>
        <w:t>采购单位</w:t>
      </w:r>
      <w:r w:rsidR="00CF4330" w:rsidRPr="00CF4330">
        <w:rPr>
          <w:rFonts w:asciiTheme="majorEastAsia" w:eastAsiaTheme="majorEastAsia" w:hAnsiTheme="majorEastAsia" w:hint="eastAsia"/>
          <w:sz w:val="21"/>
          <w:szCs w:val="21"/>
        </w:rPr>
        <w:t>造成的全部经济损失，由</w:t>
      </w:r>
      <w:r w:rsidR="001071C5">
        <w:rPr>
          <w:rFonts w:asciiTheme="majorEastAsia" w:eastAsiaTheme="majorEastAsia" w:hAnsiTheme="majorEastAsia" w:hint="eastAsia"/>
          <w:sz w:val="21"/>
          <w:szCs w:val="21"/>
        </w:rPr>
        <w:t>供货商</w:t>
      </w:r>
      <w:r w:rsidR="00CF4330" w:rsidRPr="00CF4330">
        <w:rPr>
          <w:rFonts w:asciiTheme="majorEastAsia" w:eastAsiaTheme="majorEastAsia" w:hAnsiTheme="majorEastAsia" w:hint="eastAsia"/>
          <w:sz w:val="21"/>
          <w:szCs w:val="21"/>
        </w:rPr>
        <w:t>负责赔偿。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（二）</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违反合同和招投标文件约定的有关质量保证及售后服务等的，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有权委托第三方进行保修，所产生的费用由</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承担。若因货物缺陷或</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服务质量等问题造成</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或任何人员人身、财产损害的，</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应承担有关责任并作出相应赔偿。</w:t>
      </w:r>
    </w:p>
    <w:p w:rsidR="00894DA4"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（三）</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所提供商品的生产厂家、产地、型号规格、质量技</w:t>
      </w:r>
      <w:r w:rsidR="00656412" w:rsidRPr="00CF4330">
        <w:rPr>
          <w:rFonts w:asciiTheme="majorEastAsia" w:eastAsiaTheme="majorEastAsia" w:hAnsiTheme="majorEastAsia" w:hint="eastAsia"/>
          <w:sz w:val="21"/>
          <w:szCs w:val="21"/>
        </w:rPr>
        <w:t>术要求不符合合同规定的，</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有权拒收、退货，并且</w:t>
      </w:r>
      <w:r w:rsidR="001071C5">
        <w:rPr>
          <w:rFonts w:asciiTheme="majorEastAsia" w:eastAsiaTheme="majorEastAsia" w:hAnsiTheme="majorEastAsia" w:hint="eastAsia"/>
          <w:sz w:val="21"/>
          <w:szCs w:val="21"/>
        </w:rPr>
        <w:t>采购单位</w:t>
      </w:r>
      <w:r w:rsidR="00656412" w:rsidRPr="00CF4330">
        <w:rPr>
          <w:rFonts w:asciiTheme="majorEastAsia" w:eastAsiaTheme="majorEastAsia" w:hAnsiTheme="majorEastAsia" w:hint="eastAsia"/>
          <w:sz w:val="21"/>
          <w:szCs w:val="21"/>
        </w:rPr>
        <w:t>有权</w:t>
      </w:r>
      <w:r w:rsidR="00C65D39">
        <w:rPr>
          <w:rFonts w:asciiTheme="majorEastAsia" w:eastAsiaTheme="majorEastAsia" w:hAnsiTheme="majorEastAsia" w:hint="eastAsia"/>
          <w:sz w:val="21"/>
          <w:szCs w:val="21"/>
        </w:rPr>
        <w:t>单方</w:t>
      </w:r>
      <w:r w:rsidR="00656412" w:rsidRPr="00CF4330">
        <w:rPr>
          <w:rFonts w:asciiTheme="majorEastAsia" w:eastAsiaTheme="majorEastAsia" w:hAnsiTheme="majorEastAsia" w:hint="eastAsia"/>
          <w:sz w:val="21"/>
          <w:szCs w:val="21"/>
        </w:rPr>
        <w:t>解除</w:t>
      </w:r>
      <w:r w:rsidR="00894DA4" w:rsidRPr="00CF4330">
        <w:rPr>
          <w:rFonts w:asciiTheme="majorEastAsia" w:eastAsiaTheme="majorEastAsia" w:hAnsiTheme="majorEastAsia" w:hint="eastAsia"/>
          <w:sz w:val="21"/>
          <w:szCs w:val="21"/>
        </w:rPr>
        <w:t>合同。同时，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向</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支付合同总价5%的违约金。</w:t>
      </w:r>
    </w:p>
    <w:p w:rsidR="00EB5755"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（四）</w:t>
      </w:r>
      <w:r w:rsidR="00894DA4" w:rsidRPr="00CF4330">
        <w:rPr>
          <w:rFonts w:asciiTheme="majorEastAsia" w:eastAsiaTheme="majorEastAsia" w:hAnsiTheme="majorEastAsia" w:hint="eastAsia"/>
          <w:sz w:val="21"/>
          <w:szCs w:val="21"/>
        </w:rPr>
        <w:t>如发生退货时</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已付款，</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应于退货之日起3日内返还上述货款，并承担由此产生的一切损失和费用，包括但不限于货款利息、运输和保险费、检验费、仓储和装卸费以及为保管和保护被拒绝货物所需要的其它必要费用等。</w:t>
      </w:r>
    </w:p>
    <w:p w:rsidR="00C042F9" w:rsidRDefault="00EB5755" w:rsidP="00EB5755">
      <w:pPr>
        <w:spacing w:line="360" w:lineRule="auto"/>
        <w:jc w:val="left"/>
        <w:rPr>
          <w:rFonts w:ascii="宋体" w:hAnsi="宋体"/>
          <w:sz w:val="21"/>
          <w:szCs w:val="21"/>
        </w:rPr>
      </w:pPr>
      <w:r>
        <w:rPr>
          <w:rFonts w:asciiTheme="majorEastAsia" w:eastAsiaTheme="majorEastAsia" w:hAnsiTheme="majorEastAsia" w:hint="eastAsia"/>
          <w:sz w:val="21"/>
          <w:szCs w:val="21"/>
        </w:rPr>
        <w:lastRenderedPageBreak/>
        <w:t>（五）</w:t>
      </w:r>
      <w:r w:rsidR="001071C5">
        <w:rPr>
          <w:rFonts w:ascii="宋体" w:hAnsi="宋体" w:hint="eastAsia"/>
          <w:sz w:val="21"/>
          <w:szCs w:val="21"/>
        </w:rPr>
        <w:t>供货商</w:t>
      </w:r>
      <w:r w:rsidR="00C042F9" w:rsidRPr="00CF4330">
        <w:rPr>
          <w:rFonts w:ascii="宋体" w:hAnsi="宋体" w:hint="eastAsia"/>
          <w:sz w:val="21"/>
          <w:szCs w:val="21"/>
        </w:rPr>
        <w:t>保证向</w:t>
      </w:r>
      <w:r w:rsidR="001071C5">
        <w:rPr>
          <w:rFonts w:ascii="宋体" w:hAnsi="宋体" w:hint="eastAsia"/>
          <w:sz w:val="21"/>
          <w:szCs w:val="21"/>
        </w:rPr>
        <w:t>采购单位</w:t>
      </w:r>
      <w:r w:rsidR="00C042F9" w:rsidRPr="00CF4330">
        <w:rPr>
          <w:rFonts w:ascii="宋体" w:hAnsi="宋体" w:hint="eastAsia"/>
          <w:sz w:val="21"/>
          <w:szCs w:val="21"/>
        </w:rPr>
        <w:t>交付的货物、软件、技术资料等，不会侵犯任何第三人的专利权、著作权、商标权、商业秘密、其他知识产权或者其他民事权利。如</w:t>
      </w:r>
      <w:r w:rsidR="001071C5">
        <w:rPr>
          <w:rFonts w:ascii="宋体" w:hAnsi="宋体" w:hint="eastAsia"/>
          <w:sz w:val="21"/>
          <w:szCs w:val="21"/>
        </w:rPr>
        <w:t>供货商</w:t>
      </w:r>
      <w:r w:rsidR="00C042F9" w:rsidRPr="00CF4330">
        <w:rPr>
          <w:rFonts w:ascii="宋体" w:hAnsi="宋体" w:hint="eastAsia"/>
          <w:sz w:val="21"/>
          <w:szCs w:val="21"/>
        </w:rPr>
        <w:t>违反上述规定，则</w:t>
      </w:r>
      <w:r w:rsidR="001071C5">
        <w:rPr>
          <w:rFonts w:ascii="宋体" w:hAnsi="宋体" w:hint="eastAsia"/>
          <w:sz w:val="21"/>
          <w:szCs w:val="21"/>
        </w:rPr>
        <w:t>供货商</w:t>
      </w:r>
      <w:r w:rsidR="00C042F9" w:rsidRPr="00CF4330">
        <w:rPr>
          <w:rFonts w:ascii="宋体" w:hAnsi="宋体" w:hint="eastAsia"/>
          <w:sz w:val="21"/>
          <w:szCs w:val="21"/>
        </w:rPr>
        <w:t>应负责消除</w:t>
      </w:r>
      <w:r w:rsidR="001071C5">
        <w:rPr>
          <w:rFonts w:ascii="宋体" w:hAnsi="宋体" w:hint="eastAsia"/>
          <w:sz w:val="21"/>
          <w:szCs w:val="21"/>
        </w:rPr>
        <w:t>采购单位</w:t>
      </w:r>
      <w:r w:rsidR="00C042F9" w:rsidRPr="00CF4330">
        <w:rPr>
          <w:rFonts w:ascii="宋体" w:hAnsi="宋体" w:hint="eastAsia"/>
          <w:sz w:val="21"/>
          <w:szCs w:val="21"/>
        </w:rPr>
        <w:t>拥有并使用</w:t>
      </w:r>
      <w:r w:rsidR="001071C5">
        <w:rPr>
          <w:rFonts w:ascii="宋体" w:hAnsi="宋体" w:hint="eastAsia"/>
          <w:sz w:val="21"/>
          <w:szCs w:val="21"/>
        </w:rPr>
        <w:t>供货商</w:t>
      </w:r>
      <w:r w:rsidR="00C042F9" w:rsidRPr="00CF4330">
        <w:rPr>
          <w:rFonts w:ascii="宋体" w:hAnsi="宋体" w:hint="eastAsia"/>
          <w:sz w:val="21"/>
          <w:szCs w:val="21"/>
        </w:rPr>
        <w:t>交付的货物、软件、技术资料等所存在的全部法律障碍，并赔偿</w:t>
      </w:r>
      <w:r w:rsidR="001071C5">
        <w:rPr>
          <w:rFonts w:ascii="宋体" w:hAnsi="宋体" w:hint="eastAsia"/>
          <w:sz w:val="21"/>
          <w:szCs w:val="21"/>
        </w:rPr>
        <w:t>采购单位</w:t>
      </w:r>
      <w:r w:rsidR="00C042F9" w:rsidRPr="00CF4330">
        <w:rPr>
          <w:rFonts w:ascii="宋体" w:hAnsi="宋体" w:hint="eastAsia"/>
          <w:sz w:val="21"/>
          <w:szCs w:val="21"/>
        </w:rPr>
        <w:t>的损失。</w:t>
      </w:r>
    </w:p>
    <w:p w:rsidR="00894DA4" w:rsidRDefault="00EB5755" w:rsidP="00EB5755">
      <w:pPr>
        <w:spacing w:line="360" w:lineRule="auto"/>
        <w:jc w:val="left"/>
        <w:rPr>
          <w:rFonts w:asciiTheme="majorEastAsia" w:eastAsiaTheme="majorEastAsia" w:hAnsiTheme="majorEastAsia"/>
          <w:sz w:val="21"/>
          <w:szCs w:val="21"/>
        </w:rPr>
      </w:pPr>
      <w:r>
        <w:rPr>
          <w:rFonts w:ascii="宋体" w:hAnsi="宋体" w:hint="eastAsia"/>
          <w:sz w:val="21"/>
          <w:szCs w:val="21"/>
        </w:rPr>
        <w:t>（六）</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有履约失信行为的，</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可将其纳入《企业不良行为记录》。</w:t>
      </w:r>
    </w:p>
    <w:p w:rsidR="005836BB" w:rsidRDefault="00EB5755" w:rsidP="00EB5755">
      <w:pPr>
        <w:spacing w:line="360" w:lineRule="auto"/>
        <w:jc w:val="left"/>
        <w:rPr>
          <w:rFonts w:asciiTheme="majorEastAsia" w:eastAsiaTheme="majorEastAsia" w:hAnsiTheme="majorEastAsia"/>
          <w:sz w:val="21"/>
          <w:szCs w:val="21"/>
        </w:rPr>
      </w:pPr>
      <w:r>
        <w:rPr>
          <w:rFonts w:asciiTheme="majorEastAsia" w:eastAsiaTheme="majorEastAsia" w:hAnsiTheme="majorEastAsia" w:hint="eastAsia"/>
          <w:sz w:val="21"/>
          <w:szCs w:val="21"/>
        </w:rPr>
        <w:t>（七）</w:t>
      </w:r>
      <w:r w:rsidR="00894DA4" w:rsidRPr="00CF4330">
        <w:rPr>
          <w:rFonts w:asciiTheme="majorEastAsia" w:eastAsiaTheme="majorEastAsia" w:hAnsiTheme="majorEastAsia" w:hint="eastAsia"/>
          <w:sz w:val="21"/>
          <w:szCs w:val="21"/>
        </w:rPr>
        <w:t>若发生不可抗力事件，</w:t>
      </w:r>
      <w:r w:rsidR="001071C5">
        <w:rPr>
          <w:rFonts w:asciiTheme="majorEastAsia" w:eastAsiaTheme="majorEastAsia" w:hAnsiTheme="majorEastAsia" w:hint="eastAsia"/>
          <w:sz w:val="21"/>
          <w:szCs w:val="21"/>
        </w:rPr>
        <w:t>供货商</w:t>
      </w:r>
      <w:r w:rsidR="00894DA4" w:rsidRPr="00CF4330">
        <w:rPr>
          <w:rFonts w:asciiTheme="majorEastAsia" w:eastAsiaTheme="majorEastAsia" w:hAnsiTheme="majorEastAsia" w:hint="eastAsia"/>
          <w:sz w:val="21"/>
          <w:szCs w:val="21"/>
        </w:rPr>
        <w:t>应在2日内以书面形式将不可抗力的情况和原因及时通知</w:t>
      </w:r>
      <w:r w:rsidR="001071C5">
        <w:rPr>
          <w:rFonts w:asciiTheme="majorEastAsia" w:eastAsiaTheme="majorEastAsia" w:hAnsiTheme="majorEastAsia" w:hint="eastAsia"/>
          <w:sz w:val="21"/>
          <w:szCs w:val="21"/>
        </w:rPr>
        <w:t>采购单位</w:t>
      </w:r>
      <w:r w:rsidR="00894DA4" w:rsidRPr="00CF4330">
        <w:rPr>
          <w:rFonts w:asciiTheme="majorEastAsia" w:eastAsiaTheme="majorEastAsia" w:hAnsiTheme="majorEastAsia" w:hint="eastAsia"/>
          <w:sz w:val="21"/>
          <w:szCs w:val="21"/>
        </w:rPr>
        <w:t>。同时，双方应在3日内就进一步实施合同达成协议。</w:t>
      </w:r>
    </w:p>
    <w:p w:rsidR="00003F82" w:rsidRDefault="00003F82">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214C6F" w:rsidRDefault="00003F82" w:rsidP="00EA4987">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附件1</w:t>
      </w:r>
    </w:p>
    <w:p w:rsidR="00003F82" w:rsidRDefault="00003F82" w:rsidP="00003F82">
      <w:pPr>
        <w:spacing w:line="360" w:lineRule="auto"/>
        <w:ind w:firstLineChars="200" w:firstLine="420"/>
        <w:jc w:val="left"/>
        <w:rPr>
          <w:rFonts w:asciiTheme="majorEastAsia" w:eastAsiaTheme="majorEastAsia" w:hAnsiTheme="majorEastAsia"/>
          <w:sz w:val="21"/>
          <w:szCs w:val="21"/>
        </w:rPr>
      </w:pPr>
    </w:p>
    <w:tbl>
      <w:tblPr>
        <w:tblStyle w:val="ac"/>
        <w:tblW w:w="10505" w:type="dxa"/>
        <w:jc w:val="center"/>
        <w:tblLook w:val="04A0" w:firstRow="1" w:lastRow="0" w:firstColumn="1" w:lastColumn="0" w:noHBand="0" w:noVBand="1"/>
      </w:tblPr>
      <w:tblGrid>
        <w:gridCol w:w="1980"/>
        <w:gridCol w:w="1701"/>
        <w:gridCol w:w="992"/>
        <w:gridCol w:w="1134"/>
        <w:gridCol w:w="1843"/>
        <w:gridCol w:w="2855"/>
      </w:tblGrid>
      <w:tr w:rsidR="00003F82" w:rsidRPr="00CF4330" w:rsidTr="00BE5661">
        <w:trPr>
          <w:trHeight w:val="755"/>
          <w:jc w:val="center"/>
        </w:trPr>
        <w:tc>
          <w:tcPr>
            <w:tcW w:w="10505" w:type="dxa"/>
            <w:gridSpan w:val="6"/>
            <w:vAlign w:val="center"/>
          </w:tcPr>
          <w:p w:rsidR="00003F82" w:rsidRPr="00C6158A" w:rsidRDefault="00003F82" w:rsidP="00BE5661">
            <w:pPr>
              <w:spacing w:line="360" w:lineRule="auto"/>
              <w:jc w:val="center"/>
              <w:rPr>
                <w:rFonts w:asciiTheme="minorEastAsia" w:eastAsiaTheme="minorEastAsia" w:hAnsiTheme="minorEastAsia"/>
                <w:sz w:val="24"/>
                <w:szCs w:val="21"/>
              </w:rPr>
            </w:pPr>
            <w:r w:rsidRPr="00C6158A">
              <w:rPr>
                <w:rFonts w:asciiTheme="minorEastAsia" w:eastAsiaTheme="minorEastAsia" w:hAnsiTheme="minorEastAsia" w:hint="eastAsia"/>
                <w:sz w:val="24"/>
                <w:szCs w:val="21"/>
              </w:rPr>
              <w:t>商品信息确认表</w:t>
            </w:r>
          </w:p>
        </w:tc>
      </w:tr>
      <w:tr w:rsidR="00003F82" w:rsidRPr="008E7357" w:rsidTr="00BE5661">
        <w:trPr>
          <w:trHeight w:val="748"/>
          <w:jc w:val="center"/>
        </w:trPr>
        <w:tc>
          <w:tcPr>
            <w:tcW w:w="1980"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名称</w:t>
            </w:r>
          </w:p>
        </w:tc>
        <w:tc>
          <w:tcPr>
            <w:tcW w:w="1701"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品牌</w:t>
            </w:r>
          </w:p>
        </w:tc>
        <w:tc>
          <w:tcPr>
            <w:tcW w:w="992"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包装</w:t>
            </w:r>
          </w:p>
        </w:tc>
        <w:tc>
          <w:tcPr>
            <w:tcW w:w="1134"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计量单位</w:t>
            </w:r>
          </w:p>
        </w:tc>
        <w:tc>
          <w:tcPr>
            <w:tcW w:w="1843"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数量</w:t>
            </w:r>
          </w:p>
        </w:tc>
        <w:tc>
          <w:tcPr>
            <w:tcW w:w="2855" w:type="dxa"/>
            <w:vAlign w:val="center"/>
          </w:tcPr>
          <w:p w:rsidR="00003F82" w:rsidRPr="00C6158A" w:rsidRDefault="00003F82" w:rsidP="00BE5661">
            <w:pPr>
              <w:spacing w:line="360" w:lineRule="auto"/>
              <w:jc w:val="center"/>
              <w:rPr>
                <w:rFonts w:asciiTheme="minorEastAsia" w:eastAsiaTheme="minorEastAsia" w:hAnsiTheme="minorEastAsia"/>
                <w:sz w:val="22"/>
                <w:szCs w:val="21"/>
              </w:rPr>
            </w:pPr>
            <w:r w:rsidRPr="00C6158A">
              <w:rPr>
                <w:rFonts w:asciiTheme="minorEastAsia" w:eastAsiaTheme="minorEastAsia" w:hAnsiTheme="minorEastAsia" w:hint="eastAsia"/>
                <w:sz w:val="22"/>
                <w:szCs w:val="21"/>
              </w:rPr>
              <w:t>备注</w:t>
            </w: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r w:rsidR="00003F82" w:rsidRPr="008E7357" w:rsidTr="00BE5661">
        <w:trPr>
          <w:trHeight w:val="764"/>
          <w:jc w:val="center"/>
        </w:trPr>
        <w:tc>
          <w:tcPr>
            <w:tcW w:w="1980" w:type="dxa"/>
            <w:vAlign w:val="center"/>
          </w:tcPr>
          <w:p w:rsidR="00003F82" w:rsidRPr="00FF3B63" w:rsidRDefault="00003F82" w:rsidP="00BE5661">
            <w:pPr>
              <w:rPr>
                <w:rFonts w:ascii="Courier New" w:hAnsi="Courier New"/>
                <w:color w:val="000000"/>
                <w:sz w:val="21"/>
                <w:szCs w:val="22"/>
              </w:rPr>
            </w:pPr>
          </w:p>
        </w:tc>
        <w:tc>
          <w:tcPr>
            <w:tcW w:w="1701" w:type="dxa"/>
            <w:vAlign w:val="center"/>
          </w:tcPr>
          <w:p w:rsidR="00003F82" w:rsidRPr="00562ACC" w:rsidRDefault="00003F82" w:rsidP="00BE5661">
            <w:pPr>
              <w:rPr>
                <w:rFonts w:asciiTheme="minorEastAsia" w:eastAsiaTheme="minorEastAsia" w:hAnsiTheme="minorEastAsia"/>
                <w:color w:val="000000"/>
                <w:sz w:val="20"/>
                <w:szCs w:val="22"/>
              </w:rPr>
            </w:pPr>
          </w:p>
        </w:tc>
        <w:tc>
          <w:tcPr>
            <w:tcW w:w="992" w:type="dxa"/>
            <w:vAlign w:val="center"/>
          </w:tcPr>
          <w:p w:rsidR="00003F82" w:rsidRPr="00FF3B63" w:rsidRDefault="00003F82" w:rsidP="00BE5661">
            <w:pPr>
              <w:jc w:val="center"/>
              <w:rPr>
                <w:rFonts w:asciiTheme="minorEastAsia" w:eastAsiaTheme="minorEastAsia" w:hAnsiTheme="minorEastAsia"/>
                <w:color w:val="000000"/>
                <w:sz w:val="21"/>
                <w:szCs w:val="22"/>
              </w:rPr>
            </w:pPr>
          </w:p>
        </w:tc>
        <w:tc>
          <w:tcPr>
            <w:tcW w:w="1134" w:type="dxa"/>
            <w:vAlign w:val="center"/>
          </w:tcPr>
          <w:p w:rsidR="00003F82" w:rsidRDefault="00003F82" w:rsidP="00BE5661">
            <w:pPr>
              <w:jc w:val="center"/>
              <w:rPr>
                <w:rFonts w:ascii="Courier New" w:hAnsi="Courier New" w:cs="宋体"/>
                <w:color w:val="000000"/>
                <w:sz w:val="22"/>
                <w:szCs w:val="22"/>
              </w:rPr>
            </w:pPr>
          </w:p>
        </w:tc>
        <w:tc>
          <w:tcPr>
            <w:tcW w:w="1843" w:type="dxa"/>
            <w:vAlign w:val="center"/>
          </w:tcPr>
          <w:p w:rsidR="00003F82" w:rsidRDefault="00003F82" w:rsidP="00BE5661">
            <w:pPr>
              <w:jc w:val="right"/>
              <w:rPr>
                <w:color w:val="000000"/>
                <w:sz w:val="22"/>
                <w:szCs w:val="22"/>
              </w:rPr>
            </w:pPr>
          </w:p>
        </w:tc>
        <w:tc>
          <w:tcPr>
            <w:tcW w:w="2855" w:type="dxa"/>
            <w:vAlign w:val="center"/>
          </w:tcPr>
          <w:p w:rsidR="00003F82" w:rsidRPr="008E7357" w:rsidRDefault="00003F82" w:rsidP="00BE5661">
            <w:pPr>
              <w:widowControl/>
              <w:jc w:val="left"/>
              <w:rPr>
                <w:rFonts w:eastAsiaTheme="minorEastAsia"/>
                <w:kern w:val="0"/>
                <w:sz w:val="24"/>
                <w:szCs w:val="18"/>
              </w:rPr>
            </w:pPr>
          </w:p>
        </w:tc>
      </w:tr>
    </w:tbl>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Default="00003F82" w:rsidP="00003F82">
      <w:pPr>
        <w:spacing w:line="360" w:lineRule="auto"/>
        <w:ind w:firstLineChars="200" w:firstLine="420"/>
        <w:jc w:val="left"/>
        <w:rPr>
          <w:rFonts w:asciiTheme="majorEastAsia" w:eastAsiaTheme="majorEastAsia" w:hAnsiTheme="majorEastAsia"/>
          <w:sz w:val="21"/>
          <w:szCs w:val="21"/>
        </w:rPr>
      </w:pPr>
    </w:p>
    <w:p w:rsidR="00003F82" w:rsidRPr="00C6158A" w:rsidRDefault="00003F82" w:rsidP="00003F82">
      <w:pPr>
        <w:spacing w:afterLines="50" w:after="156" w:line="360" w:lineRule="auto"/>
        <w:ind w:right="839" w:firstLineChars="200" w:firstLine="420"/>
        <w:jc w:val="center"/>
        <w:rPr>
          <w:rFonts w:asciiTheme="majorEastAsia" w:eastAsiaTheme="majorEastAsia" w:hAnsiTheme="majorEastAsia"/>
          <w:sz w:val="22"/>
          <w:szCs w:val="21"/>
        </w:rPr>
      </w:pP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C6158A">
        <w:rPr>
          <w:rFonts w:asciiTheme="majorEastAsia" w:eastAsiaTheme="majorEastAsia" w:hAnsiTheme="majorEastAsia" w:hint="eastAsia"/>
          <w:sz w:val="22"/>
          <w:szCs w:val="21"/>
        </w:rPr>
        <w:t>供应商</w:t>
      </w:r>
      <w:r>
        <w:rPr>
          <w:rFonts w:asciiTheme="majorEastAsia" w:eastAsiaTheme="majorEastAsia" w:hAnsiTheme="majorEastAsia" w:hint="eastAsia"/>
          <w:sz w:val="22"/>
          <w:szCs w:val="21"/>
        </w:rPr>
        <w:t>（公章）</w:t>
      </w:r>
      <w:r w:rsidRPr="00C6158A">
        <w:rPr>
          <w:rFonts w:asciiTheme="majorEastAsia" w:eastAsiaTheme="majorEastAsia" w:hAnsiTheme="majorEastAsia" w:hint="eastAsia"/>
          <w:sz w:val="22"/>
          <w:szCs w:val="21"/>
        </w:rPr>
        <w:t>：</w:t>
      </w:r>
    </w:p>
    <w:p w:rsidR="00003F82" w:rsidRPr="00C6158A" w:rsidRDefault="00003F82" w:rsidP="00003F82">
      <w:pPr>
        <w:spacing w:line="360" w:lineRule="auto"/>
        <w:ind w:right="210" w:firstLineChars="200" w:firstLine="440"/>
        <w:jc w:val="right"/>
        <w:rPr>
          <w:rFonts w:asciiTheme="majorEastAsia" w:eastAsiaTheme="majorEastAsia" w:hAnsiTheme="majorEastAsia"/>
          <w:sz w:val="22"/>
          <w:szCs w:val="21"/>
        </w:rPr>
      </w:pPr>
      <w:r w:rsidRPr="00C6158A">
        <w:rPr>
          <w:rFonts w:asciiTheme="majorEastAsia" w:eastAsiaTheme="majorEastAsia" w:hAnsiTheme="majorEastAsia" w:hint="eastAsia"/>
          <w:sz w:val="22"/>
          <w:szCs w:val="21"/>
        </w:rPr>
        <w:t xml:space="preserve">年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 xml:space="preserve">月  </w:t>
      </w:r>
      <w:r w:rsidRPr="00C6158A">
        <w:rPr>
          <w:rFonts w:asciiTheme="majorEastAsia" w:eastAsiaTheme="majorEastAsia" w:hAnsiTheme="majorEastAsia"/>
          <w:sz w:val="22"/>
          <w:szCs w:val="21"/>
        </w:rPr>
        <w:t xml:space="preserve">  </w:t>
      </w:r>
      <w:r w:rsidRPr="00C6158A">
        <w:rPr>
          <w:rFonts w:asciiTheme="majorEastAsia" w:eastAsiaTheme="majorEastAsia" w:hAnsiTheme="majorEastAsia" w:hint="eastAsia"/>
          <w:sz w:val="22"/>
          <w:szCs w:val="21"/>
        </w:rPr>
        <w:t>日</w:t>
      </w:r>
    </w:p>
    <w:p w:rsidR="00003F82" w:rsidRPr="00CF4330" w:rsidRDefault="00003F82" w:rsidP="00003F82">
      <w:pPr>
        <w:spacing w:line="360" w:lineRule="auto"/>
        <w:jc w:val="left"/>
        <w:rPr>
          <w:rFonts w:asciiTheme="majorEastAsia" w:eastAsiaTheme="majorEastAsia" w:hAnsiTheme="majorEastAsia"/>
          <w:sz w:val="21"/>
          <w:szCs w:val="21"/>
        </w:rPr>
      </w:pPr>
    </w:p>
    <w:p w:rsidR="00003F82" w:rsidRPr="00CF4330" w:rsidRDefault="00003F82" w:rsidP="00EA4987">
      <w:pPr>
        <w:widowControl/>
        <w:jc w:val="left"/>
        <w:rPr>
          <w:rFonts w:asciiTheme="majorEastAsia" w:eastAsiaTheme="majorEastAsia" w:hAnsiTheme="majorEastAsia"/>
          <w:sz w:val="21"/>
          <w:szCs w:val="21"/>
        </w:rPr>
      </w:pPr>
    </w:p>
    <w:sectPr w:rsidR="00003F82" w:rsidRPr="00CF4330" w:rsidSect="00565CDD">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40A" w:rsidRDefault="00C4440A" w:rsidP="00B10A81">
      <w:r>
        <w:separator/>
      </w:r>
    </w:p>
  </w:endnote>
  <w:endnote w:type="continuationSeparator" w:id="0">
    <w:p w:rsidR="00C4440A" w:rsidRDefault="00C4440A" w:rsidP="00B1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40A" w:rsidRDefault="00C4440A" w:rsidP="00B10A81">
      <w:r>
        <w:separator/>
      </w:r>
    </w:p>
  </w:footnote>
  <w:footnote w:type="continuationSeparator" w:id="0">
    <w:p w:rsidR="00C4440A" w:rsidRDefault="00C4440A" w:rsidP="00B10A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46F"/>
    <w:multiLevelType w:val="hybridMultilevel"/>
    <w:tmpl w:val="C7048822"/>
    <w:lvl w:ilvl="0" w:tplc="C1100C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06F73"/>
    <w:multiLevelType w:val="hybridMultilevel"/>
    <w:tmpl w:val="EE109AE4"/>
    <w:lvl w:ilvl="0" w:tplc="37900E92">
      <w:start w:val="1"/>
      <w:numFmt w:val="japaneseCounting"/>
      <w:lvlText w:val="（%1）"/>
      <w:lvlJc w:val="left"/>
      <w:pPr>
        <w:ind w:left="720" w:hanging="720"/>
      </w:pPr>
      <w:rPr>
        <w:rFonts w:hint="default"/>
      </w:rPr>
    </w:lvl>
    <w:lvl w:ilvl="1" w:tplc="C5A60022">
      <w:start w:val="6"/>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122395"/>
    <w:multiLevelType w:val="hybridMultilevel"/>
    <w:tmpl w:val="A3E8919C"/>
    <w:lvl w:ilvl="0" w:tplc="C6E027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E03055"/>
    <w:multiLevelType w:val="hybridMultilevel"/>
    <w:tmpl w:val="6366AD14"/>
    <w:lvl w:ilvl="0" w:tplc="90F2335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8B6F19"/>
    <w:rsid w:val="0000190A"/>
    <w:rsid w:val="00001941"/>
    <w:rsid w:val="00002CB2"/>
    <w:rsid w:val="00003F82"/>
    <w:rsid w:val="00005FC6"/>
    <w:rsid w:val="00016AE0"/>
    <w:rsid w:val="00021E45"/>
    <w:rsid w:val="00024451"/>
    <w:rsid w:val="00026ED0"/>
    <w:rsid w:val="0003109A"/>
    <w:rsid w:val="00045EF7"/>
    <w:rsid w:val="00050D61"/>
    <w:rsid w:val="00051059"/>
    <w:rsid w:val="0005144B"/>
    <w:rsid w:val="00053B91"/>
    <w:rsid w:val="00053E84"/>
    <w:rsid w:val="000569CF"/>
    <w:rsid w:val="00060719"/>
    <w:rsid w:val="00060B73"/>
    <w:rsid w:val="00060E57"/>
    <w:rsid w:val="00062F6B"/>
    <w:rsid w:val="00067B0A"/>
    <w:rsid w:val="00071717"/>
    <w:rsid w:val="000830BB"/>
    <w:rsid w:val="00086B05"/>
    <w:rsid w:val="00087396"/>
    <w:rsid w:val="000879D3"/>
    <w:rsid w:val="000917EA"/>
    <w:rsid w:val="00092CFC"/>
    <w:rsid w:val="000A2992"/>
    <w:rsid w:val="000A4DF9"/>
    <w:rsid w:val="000A5971"/>
    <w:rsid w:val="000A59FC"/>
    <w:rsid w:val="000B2645"/>
    <w:rsid w:val="000B3671"/>
    <w:rsid w:val="000B4954"/>
    <w:rsid w:val="000B7E35"/>
    <w:rsid w:val="000C64EB"/>
    <w:rsid w:val="000C7BE6"/>
    <w:rsid w:val="000D0415"/>
    <w:rsid w:val="000D342A"/>
    <w:rsid w:val="000D3F4E"/>
    <w:rsid w:val="000D5BE6"/>
    <w:rsid w:val="000D6465"/>
    <w:rsid w:val="000D66AC"/>
    <w:rsid w:val="000D69CC"/>
    <w:rsid w:val="000D742C"/>
    <w:rsid w:val="000E3C6E"/>
    <w:rsid w:val="000E6447"/>
    <w:rsid w:val="000E71F9"/>
    <w:rsid w:val="000F2FAC"/>
    <w:rsid w:val="000F6D3E"/>
    <w:rsid w:val="0010025D"/>
    <w:rsid w:val="001032D8"/>
    <w:rsid w:val="00103F47"/>
    <w:rsid w:val="00104EEC"/>
    <w:rsid w:val="00106525"/>
    <w:rsid w:val="001071C5"/>
    <w:rsid w:val="001071D4"/>
    <w:rsid w:val="00112CB4"/>
    <w:rsid w:val="00112FD3"/>
    <w:rsid w:val="00114F30"/>
    <w:rsid w:val="0012033E"/>
    <w:rsid w:val="00120B9C"/>
    <w:rsid w:val="00120D49"/>
    <w:rsid w:val="00120E96"/>
    <w:rsid w:val="001216D6"/>
    <w:rsid w:val="00124B5A"/>
    <w:rsid w:val="00124E40"/>
    <w:rsid w:val="00132C1B"/>
    <w:rsid w:val="00136E8F"/>
    <w:rsid w:val="001517B8"/>
    <w:rsid w:val="00154AA7"/>
    <w:rsid w:val="0016228C"/>
    <w:rsid w:val="00163459"/>
    <w:rsid w:val="001638C3"/>
    <w:rsid w:val="0017026E"/>
    <w:rsid w:val="00175559"/>
    <w:rsid w:val="00176155"/>
    <w:rsid w:val="0017728B"/>
    <w:rsid w:val="00187CD3"/>
    <w:rsid w:val="00193DA9"/>
    <w:rsid w:val="00194085"/>
    <w:rsid w:val="001976B6"/>
    <w:rsid w:val="001A0CBE"/>
    <w:rsid w:val="001A1711"/>
    <w:rsid w:val="001A1805"/>
    <w:rsid w:val="001B4B3F"/>
    <w:rsid w:val="001B5245"/>
    <w:rsid w:val="001C3D02"/>
    <w:rsid w:val="001C52ED"/>
    <w:rsid w:val="001C740A"/>
    <w:rsid w:val="001D2101"/>
    <w:rsid w:val="001D462F"/>
    <w:rsid w:val="001D463C"/>
    <w:rsid w:val="001E40C2"/>
    <w:rsid w:val="001E7FBF"/>
    <w:rsid w:val="001F3312"/>
    <w:rsid w:val="001F737F"/>
    <w:rsid w:val="00200640"/>
    <w:rsid w:val="00201FAA"/>
    <w:rsid w:val="00207592"/>
    <w:rsid w:val="0021057F"/>
    <w:rsid w:val="00214C6F"/>
    <w:rsid w:val="00215951"/>
    <w:rsid w:val="00220CD7"/>
    <w:rsid w:val="00220DD0"/>
    <w:rsid w:val="00221680"/>
    <w:rsid w:val="00230508"/>
    <w:rsid w:val="002338EB"/>
    <w:rsid w:val="00233A80"/>
    <w:rsid w:val="00236BAD"/>
    <w:rsid w:val="00240025"/>
    <w:rsid w:val="00246E81"/>
    <w:rsid w:val="0024741A"/>
    <w:rsid w:val="00254825"/>
    <w:rsid w:val="00255D24"/>
    <w:rsid w:val="0026156C"/>
    <w:rsid w:val="00264E95"/>
    <w:rsid w:val="00271B59"/>
    <w:rsid w:val="0027429F"/>
    <w:rsid w:val="00285E12"/>
    <w:rsid w:val="002864B7"/>
    <w:rsid w:val="0028696A"/>
    <w:rsid w:val="00290FD9"/>
    <w:rsid w:val="00291C23"/>
    <w:rsid w:val="00294CDF"/>
    <w:rsid w:val="00295D3B"/>
    <w:rsid w:val="00296521"/>
    <w:rsid w:val="00296592"/>
    <w:rsid w:val="002A05DE"/>
    <w:rsid w:val="002A6F54"/>
    <w:rsid w:val="002B2EE8"/>
    <w:rsid w:val="002B62FF"/>
    <w:rsid w:val="002B6868"/>
    <w:rsid w:val="002B7966"/>
    <w:rsid w:val="002C0932"/>
    <w:rsid w:val="002C1AF6"/>
    <w:rsid w:val="002C3151"/>
    <w:rsid w:val="002C51E5"/>
    <w:rsid w:val="002C52D0"/>
    <w:rsid w:val="002D23F0"/>
    <w:rsid w:val="002D4D6C"/>
    <w:rsid w:val="002D59C1"/>
    <w:rsid w:val="002D5CB9"/>
    <w:rsid w:val="002F3128"/>
    <w:rsid w:val="002F35E2"/>
    <w:rsid w:val="002F4085"/>
    <w:rsid w:val="002F6266"/>
    <w:rsid w:val="002F651F"/>
    <w:rsid w:val="003012C5"/>
    <w:rsid w:val="003122CF"/>
    <w:rsid w:val="00314892"/>
    <w:rsid w:val="00317938"/>
    <w:rsid w:val="00320CCF"/>
    <w:rsid w:val="00321DC5"/>
    <w:rsid w:val="0032460E"/>
    <w:rsid w:val="00324A78"/>
    <w:rsid w:val="0033287E"/>
    <w:rsid w:val="00334A49"/>
    <w:rsid w:val="003350EF"/>
    <w:rsid w:val="0033510E"/>
    <w:rsid w:val="00336D6D"/>
    <w:rsid w:val="003444B3"/>
    <w:rsid w:val="003550AD"/>
    <w:rsid w:val="003655CE"/>
    <w:rsid w:val="003679CA"/>
    <w:rsid w:val="00372D80"/>
    <w:rsid w:val="003732AC"/>
    <w:rsid w:val="003775A5"/>
    <w:rsid w:val="00391980"/>
    <w:rsid w:val="003952A5"/>
    <w:rsid w:val="0039778C"/>
    <w:rsid w:val="003A4EC6"/>
    <w:rsid w:val="003A54E2"/>
    <w:rsid w:val="003A5A7C"/>
    <w:rsid w:val="003B0154"/>
    <w:rsid w:val="003B48D4"/>
    <w:rsid w:val="003C6C91"/>
    <w:rsid w:val="003C7B2F"/>
    <w:rsid w:val="003C7CC6"/>
    <w:rsid w:val="003D04B8"/>
    <w:rsid w:val="003D4666"/>
    <w:rsid w:val="003D5508"/>
    <w:rsid w:val="003D6E9E"/>
    <w:rsid w:val="003D7F68"/>
    <w:rsid w:val="003E3387"/>
    <w:rsid w:val="003E4E7A"/>
    <w:rsid w:val="003F1086"/>
    <w:rsid w:val="003F16BE"/>
    <w:rsid w:val="003F2BE9"/>
    <w:rsid w:val="003F4DD9"/>
    <w:rsid w:val="003F4EA5"/>
    <w:rsid w:val="00402D3D"/>
    <w:rsid w:val="00405B8F"/>
    <w:rsid w:val="00407069"/>
    <w:rsid w:val="00407606"/>
    <w:rsid w:val="00411A52"/>
    <w:rsid w:val="00412087"/>
    <w:rsid w:val="00417837"/>
    <w:rsid w:val="00420EC6"/>
    <w:rsid w:val="0042116F"/>
    <w:rsid w:val="004349D0"/>
    <w:rsid w:val="004411A7"/>
    <w:rsid w:val="00442C48"/>
    <w:rsid w:val="00446215"/>
    <w:rsid w:val="00447415"/>
    <w:rsid w:val="00450C59"/>
    <w:rsid w:val="00451CA4"/>
    <w:rsid w:val="0045253D"/>
    <w:rsid w:val="0045282A"/>
    <w:rsid w:val="00452E63"/>
    <w:rsid w:val="0045573A"/>
    <w:rsid w:val="0045628F"/>
    <w:rsid w:val="00461617"/>
    <w:rsid w:val="00473617"/>
    <w:rsid w:val="00474629"/>
    <w:rsid w:val="00475A87"/>
    <w:rsid w:val="00475DB4"/>
    <w:rsid w:val="004763D1"/>
    <w:rsid w:val="00476971"/>
    <w:rsid w:val="004801EB"/>
    <w:rsid w:val="004940D2"/>
    <w:rsid w:val="0049576E"/>
    <w:rsid w:val="00497820"/>
    <w:rsid w:val="004A14E6"/>
    <w:rsid w:val="004A34F1"/>
    <w:rsid w:val="004A3524"/>
    <w:rsid w:val="004B0CCF"/>
    <w:rsid w:val="004B5E0E"/>
    <w:rsid w:val="004D165E"/>
    <w:rsid w:val="004D2A6F"/>
    <w:rsid w:val="004E04B3"/>
    <w:rsid w:val="004E1398"/>
    <w:rsid w:val="004E3EE2"/>
    <w:rsid w:val="004E6B2E"/>
    <w:rsid w:val="004E6C0A"/>
    <w:rsid w:val="004E763A"/>
    <w:rsid w:val="004F6F60"/>
    <w:rsid w:val="004F7196"/>
    <w:rsid w:val="004F78E1"/>
    <w:rsid w:val="00504409"/>
    <w:rsid w:val="00505A1A"/>
    <w:rsid w:val="005060E1"/>
    <w:rsid w:val="00507D3D"/>
    <w:rsid w:val="00513CE3"/>
    <w:rsid w:val="00515A9E"/>
    <w:rsid w:val="00526552"/>
    <w:rsid w:val="00537DF8"/>
    <w:rsid w:val="00544F81"/>
    <w:rsid w:val="00545225"/>
    <w:rsid w:val="005463EC"/>
    <w:rsid w:val="005469B3"/>
    <w:rsid w:val="00550BA7"/>
    <w:rsid w:val="00554E61"/>
    <w:rsid w:val="005569F6"/>
    <w:rsid w:val="005576E2"/>
    <w:rsid w:val="00563212"/>
    <w:rsid w:val="00565CDD"/>
    <w:rsid w:val="00567056"/>
    <w:rsid w:val="005670D2"/>
    <w:rsid w:val="00570C69"/>
    <w:rsid w:val="00571135"/>
    <w:rsid w:val="00571660"/>
    <w:rsid w:val="00575946"/>
    <w:rsid w:val="00582FC2"/>
    <w:rsid w:val="005836BB"/>
    <w:rsid w:val="00587A62"/>
    <w:rsid w:val="00592115"/>
    <w:rsid w:val="005A0BD1"/>
    <w:rsid w:val="005A43DA"/>
    <w:rsid w:val="005A6AA8"/>
    <w:rsid w:val="005A7253"/>
    <w:rsid w:val="005B0333"/>
    <w:rsid w:val="005B0C4F"/>
    <w:rsid w:val="005C3583"/>
    <w:rsid w:val="005C3E65"/>
    <w:rsid w:val="005C5A32"/>
    <w:rsid w:val="005C7D5C"/>
    <w:rsid w:val="005D008D"/>
    <w:rsid w:val="005D0CE0"/>
    <w:rsid w:val="005D13EA"/>
    <w:rsid w:val="005D2D29"/>
    <w:rsid w:val="005D362B"/>
    <w:rsid w:val="005D4DD8"/>
    <w:rsid w:val="005D4E1E"/>
    <w:rsid w:val="005D501B"/>
    <w:rsid w:val="005E085A"/>
    <w:rsid w:val="005E2C45"/>
    <w:rsid w:val="005E55ED"/>
    <w:rsid w:val="005E6C12"/>
    <w:rsid w:val="005F02C9"/>
    <w:rsid w:val="005F0895"/>
    <w:rsid w:val="005F15ED"/>
    <w:rsid w:val="005F2061"/>
    <w:rsid w:val="0060090D"/>
    <w:rsid w:val="00601667"/>
    <w:rsid w:val="006022B5"/>
    <w:rsid w:val="00604F42"/>
    <w:rsid w:val="00605251"/>
    <w:rsid w:val="006120EE"/>
    <w:rsid w:val="00614158"/>
    <w:rsid w:val="0061681F"/>
    <w:rsid w:val="00621B73"/>
    <w:rsid w:val="00623785"/>
    <w:rsid w:val="006317A7"/>
    <w:rsid w:val="006358D9"/>
    <w:rsid w:val="00635D0B"/>
    <w:rsid w:val="006366D9"/>
    <w:rsid w:val="006471D4"/>
    <w:rsid w:val="006531B0"/>
    <w:rsid w:val="0065465F"/>
    <w:rsid w:val="006562B8"/>
    <w:rsid w:val="00656412"/>
    <w:rsid w:val="00660220"/>
    <w:rsid w:val="00661508"/>
    <w:rsid w:val="00661C1B"/>
    <w:rsid w:val="006628CD"/>
    <w:rsid w:val="00673A14"/>
    <w:rsid w:val="00680EC2"/>
    <w:rsid w:val="006825FE"/>
    <w:rsid w:val="00682DE6"/>
    <w:rsid w:val="00683226"/>
    <w:rsid w:val="006859CB"/>
    <w:rsid w:val="00686119"/>
    <w:rsid w:val="006872E8"/>
    <w:rsid w:val="00691D12"/>
    <w:rsid w:val="00696550"/>
    <w:rsid w:val="006A03A4"/>
    <w:rsid w:val="006A59CC"/>
    <w:rsid w:val="006A7418"/>
    <w:rsid w:val="006B161D"/>
    <w:rsid w:val="006B20EC"/>
    <w:rsid w:val="006B3192"/>
    <w:rsid w:val="006B3CF9"/>
    <w:rsid w:val="006B50D3"/>
    <w:rsid w:val="006B566B"/>
    <w:rsid w:val="006C6D27"/>
    <w:rsid w:val="006D092A"/>
    <w:rsid w:val="006D4370"/>
    <w:rsid w:val="006E2183"/>
    <w:rsid w:val="006E2878"/>
    <w:rsid w:val="006E4758"/>
    <w:rsid w:val="006E58B9"/>
    <w:rsid w:val="006E5DDB"/>
    <w:rsid w:val="006F123A"/>
    <w:rsid w:val="00701654"/>
    <w:rsid w:val="007122C9"/>
    <w:rsid w:val="00713542"/>
    <w:rsid w:val="00715EAE"/>
    <w:rsid w:val="0072711C"/>
    <w:rsid w:val="00727A07"/>
    <w:rsid w:val="007309DC"/>
    <w:rsid w:val="00730AC8"/>
    <w:rsid w:val="00732FD8"/>
    <w:rsid w:val="007345C2"/>
    <w:rsid w:val="00736C11"/>
    <w:rsid w:val="0074428D"/>
    <w:rsid w:val="00745088"/>
    <w:rsid w:val="007452C7"/>
    <w:rsid w:val="00746173"/>
    <w:rsid w:val="007515B8"/>
    <w:rsid w:val="00751A15"/>
    <w:rsid w:val="00751DC0"/>
    <w:rsid w:val="00751FC3"/>
    <w:rsid w:val="0075396A"/>
    <w:rsid w:val="007544A5"/>
    <w:rsid w:val="00763A84"/>
    <w:rsid w:val="00767C31"/>
    <w:rsid w:val="00767EE6"/>
    <w:rsid w:val="00771FA3"/>
    <w:rsid w:val="00773816"/>
    <w:rsid w:val="00777259"/>
    <w:rsid w:val="00777CCD"/>
    <w:rsid w:val="00781DBD"/>
    <w:rsid w:val="00785664"/>
    <w:rsid w:val="00787B29"/>
    <w:rsid w:val="00790FB7"/>
    <w:rsid w:val="0079248D"/>
    <w:rsid w:val="007950DB"/>
    <w:rsid w:val="007A1F69"/>
    <w:rsid w:val="007A2282"/>
    <w:rsid w:val="007A398D"/>
    <w:rsid w:val="007A3FA8"/>
    <w:rsid w:val="007A5447"/>
    <w:rsid w:val="007A5A24"/>
    <w:rsid w:val="007A6208"/>
    <w:rsid w:val="007B14D6"/>
    <w:rsid w:val="007B2974"/>
    <w:rsid w:val="007B2BF3"/>
    <w:rsid w:val="007B5339"/>
    <w:rsid w:val="007C014C"/>
    <w:rsid w:val="007C37D4"/>
    <w:rsid w:val="007C4DB2"/>
    <w:rsid w:val="007C63F1"/>
    <w:rsid w:val="007C7F5B"/>
    <w:rsid w:val="007D4EFE"/>
    <w:rsid w:val="007E0257"/>
    <w:rsid w:val="007E31D2"/>
    <w:rsid w:val="007E40FA"/>
    <w:rsid w:val="007E51B8"/>
    <w:rsid w:val="007F2368"/>
    <w:rsid w:val="007F4430"/>
    <w:rsid w:val="00800E28"/>
    <w:rsid w:val="00801FB0"/>
    <w:rsid w:val="00804A0B"/>
    <w:rsid w:val="00814414"/>
    <w:rsid w:val="0081554F"/>
    <w:rsid w:val="00816318"/>
    <w:rsid w:val="008209E9"/>
    <w:rsid w:val="00821D1E"/>
    <w:rsid w:val="0082666D"/>
    <w:rsid w:val="00826DCB"/>
    <w:rsid w:val="0083245F"/>
    <w:rsid w:val="00832648"/>
    <w:rsid w:val="00834182"/>
    <w:rsid w:val="00834443"/>
    <w:rsid w:val="00834C80"/>
    <w:rsid w:val="00836981"/>
    <w:rsid w:val="00851C60"/>
    <w:rsid w:val="00851CC5"/>
    <w:rsid w:val="00861FAB"/>
    <w:rsid w:val="00862BFC"/>
    <w:rsid w:val="00864F65"/>
    <w:rsid w:val="008705DC"/>
    <w:rsid w:val="0087413E"/>
    <w:rsid w:val="00874AD3"/>
    <w:rsid w:val="008816EF"/>
    <w:rsid w:val="008840CB"/>
    <w:rsid w:val="008875E3"/>
    <w:rsid w:val="0089251C"/>
    <w:rsid w:val="00894267"/>
    <w:rsid w:val="00894DA4"/>
    <w:rsid w:val="008970CF"/>
    <w:rsid w:val="008B1945"/>
    <w:rsid w:val="008B4B97"/>
    <w:rsid w:val="008C083C"/>
    <w:rsid w:val="008C5DB6"/>
    <w:rsid w:val="008C7D9E"/>
    <w:rsid w:val="008D0E2F"/>
    <w:rsid w:val="008D30A2"/>
    <w:rsid w:val="008D4249"/>
    <w:rsid w:val="008E44BD"/>
    <w:rsid w:val="008E58E1"/>
    <w:rsid w:val="008E713F"/>
    <w:rsid w:val="008E75A5"/>
    <w:rsid w:val="008E7DE7"/>
    <w:rsid w:val="008E7E94"/>
    <w:rsid w:val="008F1AC5"/>
    <w:rsid w:val="008F3259"/>
    <w:rsid w:val="008F499E"/>
    <w:rsid w:val="008F4E4E"/>
    <w:rsid w:val="008F7BC5"/>
    <w:rsid w:val="00900CE4"/>
    <w:rsid w:val="00902052"/>
    <w:rsid w:val="00907085"/>
    <w:rsid w:val="009166DB"/>
    <w:rsid w:val="00917429"/>
    <w:rsid w:val="00922049"/>
    <w:rsid w:val="009237CC"/>
    <w:rsid w:val="00925100"/>
    <w:rsid w:val="009305B6"/>
    <w:rsid w:val="00932494"/>
    <w:rsid w:val="009340CE"/>
    <w:rsid w:val="00935E68"/>
    <w:rsid w:val="009418A0"/>
    <w:rsid w:val="009537A1"/>
    <w:rsid w:val="009538AE"/>
    <w:rsid w:val="00955608"/>
    <w:rsid w:val="009559E6"/>
    <w:rsid w:val="0096305B"/>
    <w:rsid w:val="009630C1"/>
    <w:rsid w:val="0096336E"/>
    <w:rsid w:val="00964612"/>
    <w:rsid w:val="00966E27"/>
    <w:rsid w:val="00974A2B"/>
    <w:rsid w:val="0097643A"/>
    <w:rsid w:val="0098107E"/>
    <w:rsid w:val="00983712"/>
    <w:rsid w:val="00986CAB"/>
    <w:rsid w:val="009870EE"/>
    <w:rsid w:val="009A0685"/>
    <w:rsid w:val="009A23E3"/>
    <w:rsid w:val="009A2DBB"/>
    <w:rsid w:val="009A590C"/>
    <w:rsid w:val="009A69EB"/>
    <w:rsid w:val="009A706D"/>
    <w:rsid w:val="009A78CF"/>
    <w:rsid w:val="009A79A2"/>
    <w:rsid w:val="009A7C84"/>
    <w:rsid w:val="009B079D"/>
    <w:rsid w:val="009B22D2"/>
    <w:rsid w:val="009B29D1"/>
    <w:rsid w:val="009B34BA"/>
    <w:rsid w:val="009B7B2F"/>
    <w:rsid w:val="009C1FEF"/>
    <w:rsid w:val="009C3A52"/>
    <w:rsid w:val="009D1AC8"/>
    <w:rsid w:val="009D2871"/>
    <w:rsid w:val="009E1668"/>
    <w:rsid w:val="009E4689"/>
    <w:rsid w:val="009F0232"/>
    <w:rsid w:val="00A04856"/>
    <w:rsid w:val="00A068AC"/>
    <w:rsid w:val="00A10B2B"/>
    <w:rsid w:val="00A116BE"/>
    <w:rsid w:val="00A11BC0"/>
    <w:rsid w:val="00A20181"/>
    <w:rsid w:val="00A22FBC"/>
    <w:rsid w:val="00A27DCA"/>
    <w:rsid w:val="00A36885"/>
    <w:rsid w:val="00A4230A"/>
    <w:rsid w:val="00A42F81"/>
    <w:rsid w:val="00A43B08"/>
    <w:rsid w:val="00A4472A"/>
    <w:rsid w:val="00A500B8"/>
    <w:rsid w:val="00A55B2E"/>
    <w:rsid w:val="00A55F3A"/>
    <w:rsid w:val="00A57346"/>
    <w:rsid w:val="00A62514"/>
    <w:rsid w:val="00A6503A"/>
    <w:rsid w:val="00A667D6"/>
    <w:rsid w:val="00A709EB"/>
    <w:rsid w:val="00A727E7"/>
    <w:rsid w:val="00A80D41"/>
    <w:rsid w:val="00A82702"/>
    <w:rsid w:val="00A8551C"/>
    <w:rsid w:val="00A87080"/>
    <w:rsid w:val="00A948D7"/>
    <w:rsid w:val="00AA18FE"/>
    <w:rsid w:val="00AA3BC2"/>
    <w:rsid w:val="00AB00F5"/>
    <w:rsid w:val="00AB0310"/>
    <w:rsid w:val="00AB736D"/>
    <w:rsid w:val="00AC408C"/>
    <w:rsid w:val="00AC6FFB"/>
    <w:rsid w:val="00AD3C7B"/>
    <w:rsid w:val="00AD4CB8"/>
    <w:rsid w:val="00AE3F02"/>
    <w:rsid w:val="00AE5FD6"/>
    <w:rsid w:val="00AF0104"/>
    <w:rsid w:val="00AF0FDC"/>
    <w:rsid w:val="00B0311B"/>
    <w:rsid w:val="00B03318"/>
    <w:rsid w:val="00B055A1"/>
    <w:rsid w:val="00B0774E"/>
    <w:rsid w:val="00B10A81"/>
    <w:rsid w:val="00B20111"/>
    <w:rsid w:val="00B22682"/>
    <w:rsid w:val="00B22E57"/>
    <w:rsid w:val="00B230B8"/>
    <w:rsid w:val="00B2781E"/>
    <w:rsid w:val="00B32097"/>
    <w:rsid w:val="00B3290C"/>
    <w:rsid w:val="00B33C23"/>
    <w:rsid w:val="00B41377"/>
    <w:rsid w:val="00B424D9"/>
    <w:rsid w:val="00B43EFD"/>
    <w:rsid w:val="00B45958"/>
    <w:rsid w:val="00B45E33"/>
    <w:rsid w:val="00B47880"/>
    <w:rsid w:val="00B514D5"/>
    <w:rsid w:val="00B518AF"/>
    <w:rsid w:val="00B5365C"/>
    <w:rsid w:val="00B54631"/>
    <w:rsid w:val="00B54A7D"/>
    <w:rsid w:val="00B57863"/>
    <w:rsid w:val="00B62C5F"/>
    <w:rsid w:val="00B74425"/>
    <w:rsid w:val="00B772CC"/>
    <w:rsid w:val="00B77AF3"/>
    <w:rsid w:val="00B80192"/>
    <w:rsid w:val="00B816CF"/>
    <w:rsid w:val="00B85B44"/>
    <w:rsid w:val="00B8782E"/>
    <w:rsid w:val="00B92704"/>
    <w:rsid w:val="00B94C99"/>
    <w:rsid w:val="00B95059"/>
    <w:rsid w:val="00B951D5"/>
    <w:rsid w:val="00BA4416"/>
    <w:rsid w:val="00BA44EC"/>
    <w:rsid w:val="00BB1E74"/>
    <w:rsid w:val="00BB703D"/>
    <w:rsid w:val="00BB76A5"/>
    <w:rsid w:val="00BB79E2"/>
    <w:rsid w:val="00BC09D7"/>
    <w:rsid w:val="00BC4738"/>
    <w:rsid w:val="00BD0043"/>
    <w:rsid w:val="00BD158A"/>
    <w:rsid w:val="00BD3472"/>
    <w:rsid w:val="00BD6FB7"/>
    <w:rsid w:val="00BD7C21"/>
    <w:rsid w:val="00BE59ED"/>
    <w:rsid w:val="00BE676A"/>
    <w:rsid w:val="00BE7663"/>
    <w:rsid w:val="00BF0E31"/>
    <w:rsid w:val="00BF6A6F"/>
    <w:rsid w:val="00BF7556"/>
    <w:rsid w:val="00C0412C"/>
    <w:rsid w:val="00C042F9"/>
    <w:rsid w:val="00C04572"/>
    <w:rsid w:val="00C04EF2"/>
    <w:rsid w:val="00C05C71"/>
    <w:rsid w:val="00C12B4E"/>
    <w:rsid w:val="00C12B66"/>
    <w:rsid w:val="00C21260"/>
    <w:rsid w:val="00C23EA5"/>
    <w:rsid w:val="00C33E48"/>
    <w:rsid w:val="00C35434"/>
    <w:rsid w:val="00C369FF"/>
    <w:rsid w:val="00C401D4"/>
    <w:rsid w:val="00C40BFD"/>
    <w:rsid w:val="00C4440A"/>
    <w:rsid w:val="00C51A71"/>
    <w:rsid w:val="00C57C63"/>
    <w:rsid w:val="00C63D23"/>
    <w:rsid w:val="00C647B3"/>
    <w:rsid w:val="00C65D39"/>
    <w:rsid w:val="00C7205E"/>
    <w:rsid w:val="00C8237D"/>
    <w:rsid w:val="00C834FC"/>
    <w:rsid w:val="00C8429C"/>
    <w:rsid w:val="00C86902"/>
    <w:rsid w:val="00C90DE2"/>
    <w:rsid w:val="00C91C67"/>
    <w:rsid w:val="00C9401B"/>
    <w:rsid w:val="00C94E93"/>
    <w:rsid w:val="00CA0D70"/>
    <w:rsid w:val="00CA4863"/>
    <w:rsid w:val="00CB3704"/>
    <w:rsid w:val="00CB4984"/>
    <w:rsid w:val="00CB79FD"/>
    <w:rsid w:val="00CC0BB6"/>
    <w:rsid w:val="00CC0FDA"/>
    <w:rsid w:val="00CD3BE2"/>
    <w:rsid w:val="00CD5EEE"/>
    <w:rsid w:val="00CD68BA"/>
    <w:rsid w:val="00CF3508"/>
    <w:rsid w:val="00CF4330"/>
    <w:rsid w:val="00CF50AA"/>
    <w:rsid w:val="00D00E96"/>
    <w:rsid w:val="00D0647C"/>
    <w:rsid w:val="00D1745F"/>
    <w:rsid w:val="00D2280F"/>
    <w:rsid w:val="00D25B36"/>
    <w:rsid w:val="00D30B5E"/>
    <w:rsid w:val="00D311CC"/>
    <w:rsid w:val="00D36714"/>
    <w:rsid w:val="00D41281"/>
    <w:rsid w:val="00D42344"/>
    <w:rsid w:val="00D54C01"/>
    <w:rsid w:val="00D556BF"/>
    <w:rsid w:val="00D57A83"/>
    <w:rsid w:val="00D60656"/>
    <w:rsid w:val="00D64ED3"/>
    <w:rsid w:val="00D710E8"/>
    <w:rsid w:val="00D72E2B"/>
    <w:rsid w:val="00D83B18"/>
    <w:rsid w:val="00D84525"/>
    <w:rsid w:val="00D8635F"/>
    <w:rsid w:val="00D901D5"/>
    <w:rsid w:val="00D9179E"/>
    <w:rsid w:val="00DA0208"/>
    <w:rsid w:val="00DA0E39"/>
    <w:rsid w:val="00DA1E39"/>
    <w:rsid w:val="00DA4E1F"/>
    <w:rsid w:val="00DB1EEC"/>
    <w:rsid w:val="00DB2050"/>
    <w:rsid w:val="00DB491B"/>
    <w:rsid w:val="00DB5663"/>
    <w:rsid w:val="00DB5CA9"/>
    <w:rsid w:val="00DC1FDF"/>
    <w:rsid w:val="00DC2CA3"/>
    <w:rsid w:val="00DC31BF"/>
    <w:rsid w:val="00DD50CA"/>
    <w:rsid w:val="00DD7E08"/>
    <w:rsid w:val="00DE3BAA"/>
    <w:rsid w:val="00DF2A2B"/>
    <w:rsid w:val="00E0422B"/>
    <w:rsid w:val="00E061AE"/>
    <w:rsid w:val="00E15F29"/>
    <w:rsid w:val="00E237CF"/>
    <w:rsid w:val="00E238DD"/>
    <w:rsid w:val="00E2672C"/>
    <w:rsid w:val="00E2760C"/>
    <w:rsid w:val="00E2773E"/>
    <w:rsid w:val="00E30687"/>
    <w:rsid w:val="00E42AA9"/>
    <w:rsid w:val="00E42D51"/>
    <w:rsid w:val="00E43BBA"/>
    <w:rsid w:val="00E45D20"/>
    <w:rsid w:val="00E47333"/>
    <w:rsid w:val="00E47AE9"/>
    <w:rsid w:val="00E70BDD"/>
    <w:rsid w:val="00E7232C"/>
    <w:rsid w:val="00E75A11"/>
    <w:rsid w:val="00E77608"/>
    <w:rsid w:val="00E77A04"/>
    <w:rsid w:val="00E80B03"/>
    <w:rsid w:val="00E92CCB"/>
    <w:rsid w:val="00EA0199"/>
    <w:rsid w:val="00EA062D"/>
    <w:rsid w:val="00EA0A6F"/>
    <w:rsid w:val="00EA312C"/>
    <w:rsid w:val="00EA4987"/>
    <w:rsid w:val="00EA6DCD"/>
    <w:rsid w:val="00EB3BF9"/>
    <w:rsid w:val="00EB50E5"/>
    <w:rsid w:val="00EB5389"/>
    <w:rsid w:val="00EB548C"/>
    <w:rsid w:val="00EB5755"/>
    <w:rsid w:val="00EB6A42"/>
    <w:rsid w:val="00EC186E"/>
    <w:rsid w:val="00EC3C9B"/>
    <w:rsid w:val="00EC528D"/>
    <w:rsid w:val="00ED21DB"/>
    <w:rsid w:val="00ED7751"/>
    <w:rsid w:val="00EE0045"/>
    <w:rsid w:val="00EE1F87"/>
    <w:rsid w:val="00EE7086"/>
    <w:rsid w:val="00EE7A57"/>
    <w:rsid w:val="00EF009A"/>
    <w:rsid w:val="00EF1535"/>
    <w:rsid w:val="00EF253E"/>
    <w:rsid w:val="00EF469A"/>
    <w:rsid w:val="00EF61F9"/>
    <w:rsid w:val="00EF70FE"/>
    <w:rsid w:val="00EF73B7"/>
    <w:rsid w:val="00F00D33"/>
    <w:rsid w:val="00F0702B"/>
    <w:rsid w:val="00F07A0E"/>
    <w:rsid w:val="00F07E3D"/>
    <w:rsid w:val="00F123C3"/>
    <w:rsid w:val="00F132D0"/>
    <w:rsid w:val="00F23667"/>
    <w:rsid w:val="00F23D40"/>
    <w:rsid w:val="00F2612C"/>
    <w:rsid w:val="00F35867"/>
    <w:rsid w:val="00F3679D"/>
    <w:rsid w:val="00F36CC4"/>
    <w:rsid w:val="00F400D2"/>
    <w:rsid w:val="00F40C1F"/>
    <w:rsid w:val="00F44ED8"/>
    <w:rsid w:val="00F53151"/>
    <w:rsid w:val="00F542F7"/>
    <w:rsid w:val="00F563BB"/>
    <w:rsid w:val="00F64D4B"/>
    <w:rsid w:val="00F6692D"/>
    <w:rsid w:val="00F73030"/>
    <w:rsid w:val="00F80F4E"/>
    <w:rsid w:val="00F81238"/>
    <w:rsid w:val="00F81FEF"/>
    <w:rsid w:val="00F8291A"/>
    <w:rsid w:val="00F8720A"/>
    <w:rsid w:val="00F8772B"/>
    <w:rsid w:val="00F95F2D"/>
    <w:rsid w:val="00F97217"/>
    <w:rsid w:val="00FA02FC"/>
    <w:rsid w:val="00FA6F12"/>
    <w:rsid w:val="00FA755E"/>
    <w:rsid w:val="00FB0ADE"/>
    <w:rsid w:val="00FB5E97"/>
    <w:rsid w:val="00FC0DE4"/>
    <w:rsid w:val="00FC172C"/>
    <w:rsid w:val="00FC1827"/>
    <w:rsid w:val="00FC5BED"/>
    <w:rsid w:val="00FD0552"/>
    <w:rsid w:val="00FD0DEE"/>
    <w:rsid w:val="00FD2FB2"/>
    <w:rsid w:val="00FE1220"/>
    <w:rsid w:val="00FE2896"/>
    <w:rsid w:val="00FE616F"/>
    <w:rsid w:val="00FF16C1"/>
    <w:rsid w:val="00FF4C38"/>
    <w:rsid w:val="00FF4E3B"/>
    <w:rsid w:val="00FF55C3"/>
    <w:rsid w:val="00FF58DE"/>
    <w:rsid w:val="00FF61D1"/>
    <w:rsid w:val="00FF6EE2"/>
    <w:rsid w:val="00FF7C7C"/>
    <w:rsid w:val="105C5095"/>
    <w:rsid w:val="14712C94"/>
    <w:rsid w:val="221E1EBF"/>
    <w:rsid w:val="298B6F19"/>
    <w:rsid w:val="2B0B379C"/>
    <w:rsid w:val="36C91788"/>
    <w:rsid w:val="39261FD4"/>
    <w:rsid w:val="4ADB4486"/>
    <w:rsid w:val="6E766A4B"/>
    <w:rsid w:val="7011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577310"/>
  <w15:docId w15:val="{3CB4F2DE-914F-4EB7-AB4A-15AA893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FDA"/>
    <w:pPr>
      <w:widowControl w:val="0"/>
      <w:jc w:val="both"/>
    </w:pPr>
    <w:rPr>
      <w:kern w:val="2"/>
      <w:sz w:val="28"/>
    </w:rPr>
  </w:style>
  <w:style w:type="paragraph" w:styleId="1">
    <w:name w:val="heading 1"/>
    <w:basedOn w:val="a"/>
    <w:next w:val="a"/>
    <w:link w:val="10"/>
    <w:uiPriority w:val="9"/>
    <w:qFormat/>
    <w:locked/>
    <w:rsid w:val="0005144B"/>
    <w:pPr>
      <w:keepNext/>
      <w:keepLines/>
      <w:widowControl/>
      <w:spacing w:before="100" w:beforeAutospacing="1" w:after="100" w:afterAutospacing="1"/>
      <w:jc w:val="left"/>
      <w:outlineLvl w:val="0"/>
    </w:pPr>
    <w:rPr>
      <w:rFonts w:asciiTheme="majorHAnsi" w:eastAsiaTheme="majorEastAsia" w:hAnsiTheme="majorHAnsi" w:cstheme="majorBidi"/>
      <w:b/>
      <w:bCs/>
      <w:color w:val="365F91" w:themeColor="accent1" w:themeShade="BF"/>
      <w:kern w:val="0"/>
      <w:szCs w:val="28"/>
      <w:lang w:eastAsia="en-US"/>
    </w:rPr>
  </w:style>
  <w:style w:type="paragraph" w:styleId="3">
    <w:name w:val="heading 3"/>
    <w:basedOn w:val="a"/>
    <w:next w:val="a"/>
    <w:link w:val="30"/>
    <w:uiPriority w:val="9"/>
    <w:unhideWhenUsed/>
    <w:qFormat/>
    <w:locked/>
    <w:rsid w:val="0005144B"/>
    <w:pPr>
      <w:keepNext/>
      <w:keepLines/>
      <w:widowControl/>
      <w:spacing w:before="200" w:beforeAutospacing="1" w:afterAutospacing="1"/>
      <w:jc w:val="left"/>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C0FDA"/>
  </w:style>
  <w:style w:type="character" w:customStyle="1" w:styleId="a4">
    <w:name w:val="日期 字符"/>
    <w:link w:val="a3"/>
    <w:uiPriority w:val="99"/>
    <w:semiHidden/>
    <w:rsid w:val="00E860AE"/>
    <w:rPr>
      <w:sz w:val="28"/>
      <w:szCs w:val="20"/>
    </w:rPr>
  </w:style>
  <w:style w:type="paragraph" w:styleId="a5">
    <w:name w:val="List Paragraph"/>
    <w:basedOn w:val="a"/>
    <w:uiPriority w:val="99"/>
    <w:qFormat/>
    <w:rsid w:val="00E237CF"/>
    <w:pPr>
      <w:ind w:firstLineChars="200" w:firstLine="420"/>
    </w:pPr>
  </w:style>
  <w:style w:type="paragraph" w:styleId="a6">
    <w:name w:val="header"/>
    <w:basedOn w:val="a"/>
    <w:link w:val="a7"/>
    <w:uiPriority w:val="99"/>
    <w:rsid w:val="00B10A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B10A81"/>
    <w:rPr>
      <w:rFonts w:cs="Times New Roman"/>
      <w:kern w:val="2"/>
      <w:sz w:val="18"/>
      <w:szCs w:val="18"/>
    </w:rPr>
  </w:style>
  <w:style w:type="paragraph" w:styleId="a8">
    <w:name w:val="footer"/>
    <w:basedOn w:val="a"/>
    <w:link w:val="a9"/>
    <w:uiPriority w:val="99"/>
    <w:rsid w:val="00B10A81"/>
    <w:pPr>
      <w:tabs>
        <w:tab w:val="center" w:pos="4153"/>
        <w:tab w:val="right" w:pos="8306"/>
      </w:tabs>
      <w:snapToGrid w:val="0"/>
      <w:jc w:val="left"/>
    </w:pPr>
    <w:rPr>
      <w:sz w:val="18"/>
      <w:szCs w:val="18"/>
    </w:rPr>
  </w:style>
  <w:style w:type="character" w:customStyle="1" w:styleId="a9">
    <w:name w:val="页脚 字符"/>
    <w:link w:val="a8"/>
    <w:uiPriority w:val="99"/>
    <w:locked/>
    <w:rsid w:val="00B10A81"/>
    <w:rPr>
      <w:rFonts w:cs="Times New Roman"/>
      <w:kern w:val="2"/>
      <w:sz w:val="18"/>
      <w:szCs w:val="18"/>
    </w:rPr>
  </w:style>
  <w:style w:type="paragraph" w:styleId="aa">
    <w:name w:val="Balloon Text"/>
    <w:basedOn w:val="a"/>
    <w:link w:val="ab"/>
    <w:uiPriority w:val="99"/>
    <w:rsid w:val="000D6465"/>
    <w:rPr>
      <w:sz w:val="18"/>
      <w:szCs w:val="18"/>
    </w:rPr>
  </w:style>
  <w:style w:type="character" w:customStyle="1" w:styleId="ab">
    <w:name w:val="批注框文本 字符"/>
    <w:link w:val="aa"/>
    <w:uiPriority w:val="99"/>
    <w:locked/>
    <w:rsid w:val="000D6465"/>
    <w:rPr>
      <w:rFonts w:cs="Times New Roman"/>
      <w:kern w:val="2"/>
      <w:sz w:val="18"/>
      <w:szCs w:val="18"/>
    </w:rPr>
  </w:style>
  <w:style w:type="paragraph" w:customStyle="1" w:styleId="Char2CharCharChar">
    <w:name w:val="Char2 Char Char Char"/>
    <w:basedOn w:val="a"/>
    <w:rsid w:val="007A398D"/>
    <w:rPr>
      <w:rFonts w:ascii="Calibri" w:hAnsi="Calibri"/>
    </w:rPr>
  </w:style>
  <w:style w:type="character" w:customStyle="1" w:styleId="10">
    <w:name w:val="标题 1 字符"/>
    <w:basedOn w:val="a0"/>
    <w:link w:val="1"/>
    <w:uiPriority w:val="9"/>
    <w:rsid w:val="0005144B"/>
    <w:rPr>
      <w:rFonts w:asciiTheme="majorHAnsi" w:eastAsiaTheme="majorEastAsia" w:hAnsiTheme="majorHAnsi" w:cstheme="majorBidi"/>
      <w:b/>
      <w:bCs/>
      <w:color w:val="365F91" w:themeColor="accent1" w:themeShade="BF"/>
      <w:sz w:val="28"/>
      <w:szCs w:val="28"/>
      <w:lang w:eastAsia="en-US"/>
    </w:rPr>
  </w:style>
  <w:style w:type="character" w:customStyle="1" w:styleId="30">
    <w:name w:val="标题 3 字符"/>
    <w:basedOn w:val="a0"/>
    <w:link w:val="3"/>
    <w:uiPriority w:val="9"/>
    <w:rsid w:val="0005144B"/>
    <w:rPr>
      <w:rFonts w:asciiTheme="majorHAnsi" w:eastAsiaTheme="majorEastAsia" w:hAnsiTheme="majorHAnsi" w:cstheme="majorBidi"/>
      <w:b/>
      <w:bCs/>
      <w:color w:val="4F81BD" w:themeColor="accent1"/>
      <w:sz w:val="22"/>
      <w:szCs w:val="22"/>
      <w:lang w:eastAsia="en-US"/>
    </w:rPr>
  </w:style>
  <w:style w:type="table" w:styleId="ac">
    <w:name w:val="Table Grid"/>
    <w:basedOn w:val="a1"/>
    <w:uiPriority w:val="59"/>
    <w:rsid w:val="00B05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3797">
      <w:bodyDiv w:val="1"/>
      <w:marLeft w:val="0"/>
      <w:marRight w:val="0"/>
      <w:marTop w:val="0"/>
      <w:marBottom w:val="0"/>
      <w:divBdr>
        <w:top w:val="none" w:sz="0" w:space="0" w:color="auto"/>
        <w:left w:val="none" w:sz="0" w:space="0" w:color="auto"/>
        <w:bottom w:val="none" w:sz="0" w:space="0" w:color="auto"/>
        <w:right w:val="none" w:sz="0" w:space="0" w:color="auto"/>
      </w:divBdr>
    </w:div>
    <w:div w:id="245578998">
      <w:bodyDiv w:val="1"/>
      <w:marLeft w:val="0"/>
      <w:marRight w:val="0"/>
      <w:marTop w:val="0"/>
      <w:marBottom w:val="0"/>
      <w:divBdr>
        <w:top w:val="none" w:sz="0" w:space="0" w:color="auto"/>
        <w:left w:val="none" w:sz="0" w:space="0" w:color="auto"/>
        <w:bottom w:val="none" w:sz="0" w:space="0" w:color="auto"/>
        <w:right w:val="none" w:sz="0" w:space="0" w:color="auto"/>
      </w:divBdr>
    </w:div>
    <w:div w:id="420224218">
      <w:bodyDiv w:val="1"/>
      <w:marLeft w:val="0"/>
      <w:marRight w:val="0"/>
      <w:marTop w:val="0"/>
      <w:marBottom w:val="0"/>
      <w:divBdr>
        <w:top w:val="none" w:sz="0" w:space="0" w:color="auto"/>
        <w:left w:val="none" w:sz="0" w:space="0" w:color="auto"/>
        <w:bottom w:val="none" w:sz="0" w:space="0" w:color="auto"/>
        <w:right w:val="none" w:sz="0" w:space="0" w:color="auto"/>
      </w:divBdr>
    </w:div>
    <w:div w:id="430510700">
      <w:bodyDiv w:val="1"/>
      <w:marLeft w:val="0"/>
      <w:marRight w:val="0"/>
      <w:marTop w:val="0"/>
      <w:marBottom w:val="0"/>
      <w:divBdr>
        <w:top w:val="none" w:sz="0" w:space="0" w:color="auto"/>
        <w:left w:val="none" w:sz="0" w:space="0" w:color="auto"/>
        <w:bottom w:val="none" w:sz="0" w:space="0" w:color="auto"/>
        <w:right w:val="none" w:sz="0" w:space="0" w:color="auto"/>
      </w:divBdr>
    </w:div>
    <w:div w:id="555775861">
      <w:bodyDiv w:val="1"/>
      <w:marLeft w:val="0"/>
      <w:marRight w:val="0"/>
      <w:marTop w:val="0"/>
      <w:marBottom w:val="0"/>
      <w:divBdr>
        <w:top w:val="none" w:sz="0" w:space="0" w:color="auto"/>
        <w:left w:val="none" w:sz="0" w:space="0" w:color="auto"/>
        <w:bottom w:val="none" w:sz="0" w:space="0" w:color="auto"/>
        <w:right w:val="none" w:sz="0" w:space="0" w:color="auto"/>
      </w:divBdr>
    </w:div>
    <w:div w:id="826555357">
      <w:bodyDiv w:val="1"/>
      <w:marLeft w:val="0"/>
      <w:marRight w:val="0"/>
      <w:marTop w:val="0"/>
      <w:marBottom w:val="0"/>
      <w:divBdr>
        <w:top w:val="none" w:sz="0" w:space="0" w:color="auto"/>
        <w:left w:val="none" w:sz="0" w:space="0" w:color="auto"/>
        <w:bottom w:val="none" w:sz="0" w:space="0" w:color="auto"/>
        <w:right w:val="none" w:sz="0" w:space="0" w:color="auto"/>
      </w:divBdr>
    </w:div>
    <w:div w:id="844590202">
      <w:bodyDiv w:val="1"/>
      <w:marLeft w:val="0"/>
      <w:marRight w:val="0"/>
      <w:marTop w:val="0"/>
      <w:marBottom w:val="0"/>
      <w:divBdr>
        <w:top w:val="none" w:sz="0" w:space="0" w:color="auto"/>
        <w:left w:val="none" w:sz="0" w:space="0" w:color="auto"/>
        <w:bottom w:val="none" w:sz="0" w:space="0" w:color="auto"/>
        <w:right w:val="none" w:sz="0" w:space="0" w:color="auto"/>
      </w:divBdr>
    </w:div>
    <w:div w:id="933249074">
      <w:bodyDiv w:val="1"/>
      <w:marLeft w:val="0"/>
      <w:marRight w:val="0"/>
      <w:marTop w:val="0"/>
      <w:marBottom w:val="0"/>
      <w:divBdr>
        <w:top w:val="none" w:sz="0" w:space="0" w:color="auto"/>
        <w:left w:val="none" w:sz="0" w:space="0" w:color="auto"/>
        <w:bottom w:val="none" w:sz="0" w:space="0" w:color="auto"/>
        <w:right w:val="none" w:sz="0" w:space="0" w:color="auto"/>
      </w:divBdr>
    </w:div>
    <w:div w:id="1148790770">
      <w:bodyDiv w:val="1"/>
      <w:marLeft w:val="0"/>
      <w:marRight w:val="0"/>
      <w:marTop w:val="0"/>
      <w:marBottom w:val="0"/>
      <w:divBdr>
        <w:top w:val="none" w:sz="0" w:space="0" w:color="auto"/>
        <w:left w:val="none" w:sz="0" w:space="0" w:color="auto"/>
        <w:bottom w:val="none" w:sz="0" w:space="0" w:color="auto"/>
        <w:right w:val="none" w:sz="0" w:space="0" w:color="auto"/>
      </w:divBdr>
    </w:div>
    <w:div w:id="1149402236">
      <w:bodyDiv w:val="1"/>
      <w:marLeft w:val="0"/>
      <w:marRight w:val="0"/>
      <w:marTop w:val="0"/>
      <w:marBottom w:val="0"/>
      <w:divBdr>
        <w:top w:val="none" w:sz="0" w:space="0" w:color="auto"/>
        <w:left w:val="none" w:sz="0" w:space="0" w:color="auto"/>
        <w:bottom w:val="none" w:sz="0" w:space="0" w:color="auto"/>
        <w:right w:val="none" w:sz="0" w:space="0" w:color="auto"/>
      </w:divBdr>
    </w:div>
    <w:div w:id="1227687350">
      <w:bodyDiv w:val="1"/>
      <w:marLeft w:val="0"/>
      <w:marRight w:val="0"/>
      <w:marTop w:val="0"/>
      <w:marBottom w:val="0"/>
      <w:divBdr>
        <w:top w:val="none" w:sz="0" w:space="0" w:color="auto"/>
        <w:left w:val="none" w:sz="0" w:space="0" w:color="auto"/>
        <w:bottom w:val="none" w:sz="0" w:space="0" w:color="auto"/>
        <w:right w:val="none" w:sz="0" w:space="0" w:color="auto"/>
      </w:divBdr>
    </w:div>
    <w:div w:id="1273636426">
      <w:bodyDiv w:val="1"/>
      <w:marLeft w:val="0"/>
      <w:marRight w:val="0"/>
      <w:marTop w:val="0"/>
      <w:marBottom w:val="0"/>
      <w:divBdr>
        <w:top w:val="none" w:sz="0" w:space="0" w:color="auto"/>
        <w:left w:val="none" w:sz="0" w:space="0" w:color="auto"/>
        <w:bottom w:val="none" w:sz="0" w:space="0" w:color="auto"/>
        <w:right w:val="none" w:sz="0" w:space="0" w:color="auto"/>
      </w:divBdr>
    </w:div>
    <w:div w:id="1455171978">
      <w:bodyDiv w:val="1"/>
      <w:marLeft w:val="0"/>
      <w:marRight w:val="0"/>
      <w:marTop w:val="0"/>
      <w:marBottom w:val="0"/>
      <w:divBdr>
        <w:top w:val="none" w:sz="0" w:space="0" w:color="auto"/>
        <w:left w:val="none" w:sz="0" w:space="0" w:color="auto"/>
        <w:bottom w:val="none" w:sz="0" w:space="0" w:color="auto"/>
        <w:right w:val="none" w:sz="0" w:space="0" w:color="auto"/>
      </w:divBdr>
    </w:div>
    <w:div w:id="1515072838">
      <w:bodyDiv w:val="1"/>
      <w:marLeft w:val="0"/>
      <w:marRight w:val="0"/>
      <w:marTop w:val="0"/>
      <w:marBottom w:val="0"/>
      <w:divBdr>
        <w:top w:val="none" w:sz="0" w:space="0" w:color="auto"/>
        <w:left w:val="none" w:sz="0" w:space="0" w:color="auto"/>
        <w:bottom w:val="none" w:sz="0" w:space="0" w:color="auto"/>
        <w:right w:val="none" w:sz="0" w:space="0" w:color="auto"/>
      </w:divBdr>
    </w:div>
    <w:div w:id="1516730701">
      <w:bodyDiv w:val="1"/>
      <w:marLeft w:val="0"/>
      <w:marRight w:val="0"/>
      <w:marTop w:val="0"/>
      <w:marBottom w:val="0"/>
      <w:divBdr>
        <w:top w:val="none" w:sz="0" w:space="0" w:color="auto"/>
        <w:left w:val="none" w:sz="0" w:space="0" w:color="auto"/>
        <w:bottom w:val="none" w:sz="0" w:space="0" w:color="auto"/>
        <w:right w:val="none" w:sz="0" w:space="0" w:color="auto"/>
      </w:divBdr>
    </w:div>
    <w:div w:id="1616518848">
      <w:bodyDiv w:val="1"/>
      <w:marLeft w:val="0"/>
      <w:marRight w:val="0"/>
      <w:marTop w:val="0"/>
      <w:marBottom w:val="0"/>
      <w:divBdr>
        <w:top w:val="none" w:sz="0" w:space="0" w:color="auto"/>
        <w:left w:val="none" w:sz="0" w:space="0" w:color="auto"/>
        <w:bottom w:val="none" w:sz="0" w:space="0" w:color="auto"/>
        <w:right w:val="none" w:sz="0" w:space="0" w:color="auto"/>
      </w:divBdr>
    </w:div>
    <w:div w:id="1630818690">
      <w:bodyDiv w:val="1"/>
      <w:marLeft w:val="0"/>
      <w:marRight w:val="0"/>
      <w:marTop w:val="0"/>
      <w:marBottom w:val="0"/>
      <w:divBdr>
        <w:top w:val="none" w:sz="0" w:space="0" w:color="auto"/>
        <w:left w:val="none" w:sz="0" w:space="0" w:color="auto"/>
        <w:bottom w:val="none" w:sz="0" w:space="0" w:color="auto"/>
        <w:right w:val="none" w:sz="0" w:space="0" w:color="auto"/>
      </w:divBdr>
    </w:div>
    <w:div w:id="1712488042">
      <w:bodyDiv w:val="1"/>
      <w:marLeft w:val="0"/>
      <w:marRight w:val="0"/>
      <w:marTop w:val="0"/>
      <w:marBottom w:val="0"/>
      <w:divBdr>
        <w:top w:val="none" w:sz="0" w:space="0" w:color="auto"/>
        <w:left w:val="none" w:sz="0" w:space="0" w:color="auto"/>
        <w:bottom w:val="none" w:sz="0" w:space="0" w:color="auto"/>
        <w:right w:val="none" w:sz="0" w:space="0" w:color="auto"/>
      </w:divBdr>
    </w:div>
    <w:div w:id="1805272712">
      <w:bodyDiv w:val="1"/>
      <w:marLeft w:val="0"/>
      <w:marRight w:val="0"/>
      <w:marTop w:val="0"/>
      <w:marBottom w:val="0"/>
      <w:divBdr>
        <w:top w:val="none" w:sz="0" w:space="0" w:color="auto"/>
        <w:left w:val="none" w:sz="0" w:space="0" w:color="auto"/>
        <w:bottom w:val="none" w:sz="0" w:space="0" w:color="auto"/>
        <w:right w:val="none" w:sz="0" w:space="0" w:color="auto"/>
      </w:divBdr>
    </w:div>
    <w:div w:id="1811944297">
      <w:bodyDiv w:val="1"/>
      <w:marLeft w:val="0"/>
      <w:marRight w:val="0"/>
      <w:marTop w:val="0"/>
      <w:marBottom w:val="0"/>
      <w:divBdr>
        <w:top w:val="none" w:sz="0" w:space="0" w:color="auto"/>
        <w:left w:val="none" w:sz="0" w:space="0" w:color="auto"/>
        <w:bottom w:val="none" w:sz="0" w:space="0" w:color="auto"/>
        <w:right w:val="none" w:sz="0" w:space="0" w:color="auto"/>
      </w:divBdr>
    </w:div>
    <w:div w:id="1936860002">
      <w:bodyDiv w:val="1"/>
      <w:marLeft w:val="0"/>
      <w:marRight w:val="0"/>
      <w:marTop w:val="0"/>
      <w:marBottom w:val="0"/>
      <w:divBdr>
        <w:top w:val="none" w:sz="0" w:space="0" w:color="auto"/>
        <w:left w:val="none" w:sz="0" w:space="0" w:color="auto"/>
        <w:bottom w:val="none" w:sz="0" w:space="0" w:color="auto"/>
        <w:right w:val="none" w:sz="0" w:space="0" w:color="auto"/>
      </w:divBdr>
    </w:div>
    <w:div w:id="1962833011">
      <w:bodyDiv w:val="1"/>
      <w:marLeft w:val="0"/>
      <w:marRight w:val="0"/>
      <w:marTop w:val="0"/>
      <w:marBottom w:val="0"/>
      <w:divBdr>
        <w:top w:val="none" w:sz="0" w:space="0" w:color="auto"/>
        <w:left w:val="none" w:sz="0" w:space="0" w:color="auto"/>
        <w:bottom w:val="none" w:sz="0" w:space="0" w:color="auto"/>
        <w:right w:val="none" w:sz="0" w:space="0" w:color="auto"/>
      </w:divBdr>
    </w:div>
    <w:div w:id="2009016335">
      <w:bodyDiv w:val="1"/>
      <w:marLeft w:val="0"/>
      <w:marRight w:val="0"/>
      <w:marTop w:val="0"/>
      <w:marBottom w:val="0"/>
      <w:divBdr>
        <w:top w:val="none" w:sz="0" w:space="0" w:color="auto"/>
        <w:left w:val="none" w:sz="0" w:space="0" w:color="auto"/>
        <w:bottom w:val="none" w:sz="0" w:space="0" w:color="auto"/>
        <w:right w:val="none" w:sz="0" w:space="0" w:color="auto"/>
      </w:divBdr>
    </w:div>
    <w:div w:id="213355257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F649-1C81-4C17-BA7C-6CD4EFA9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5</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重庆市政府采购合同</dc:title>
  <dc:subject/>
  <dc:creator>Administrator</dc:creator>
  <cp:keywords/>
  <dc:description/>
  <cp:lastModifiedBy>Administrator</cp:lastModifiedBy>
  <cp:revision>142</cp:revision>
  <cp:lastPrinted>2021-07-01T03:15:00Z</cp:lastPrinted>
  <dcterms:created xsi:type="dcterms:W3CDTF">2022-12-20T01:57:00Z</dcterms:created>
  <dcterms:modified xsi:type="dcterms:W3CDTF">2025-06-18T06:54:00Z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