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07663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2FFAA050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 w14:paraId="3CE4E9B7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 w14:paraId="34E6E45A"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8D3267E"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 w14:paraId="7778626C"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 w14:paraId="6064C158"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 w14:paraId="145A2D68"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 w14:paraId="628C997D"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 w14:paraId="46E93EC8"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 w14:paraId="791A0BF3"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 w14:paraId="6EA8AA42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  <w:lang w:eastAsia="zh-Hans"/>
        </w:rPr>
        <w:t>电子反拍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评审方式）</w:t>
      </w:r>
    </w:p>
    <w:p w14:paraId="57989B17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1482979A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 w14:paraId="70FEA50A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740E766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9E049EB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C809EC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D57188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2720778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重庆市人民检查院第一分院采购公务用车</w:t>
      </w:r>
    </w:p>
    <w:p w14:paraId="688811C5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重庆市人民检查院第一分院</w:t>
      </w:r>
    </w:p>
    <w:p w14:paraId="471E92D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AF4785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FB9252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CD22B2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5CE0136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3B11352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E301BE4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6AAB8B2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4E7C475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7BF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A148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12CF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7DA60D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F67F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256C7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3AAB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6ED7AE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重庆市人民检察院第一分院采购公务用车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50C2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249800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0C54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财政预算</w:t>
            </w:r>
          </w:p>
          <w:p w14:paraId="355D381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CC701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 w14:paraId="5BCC54E5">
      <w:pPr>
        <w:pStyle w:val="4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48E1AA03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 w14:paraId="144400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（若修改此处，请同步修改公告内容）</w:t>
      </w:r>
    </w:p>
    <w:p w14:paraId="0FCA2B7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single"/>
        </w:rPr>
        <w:t>中标单位须提供主机厂授权证书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。</w:t>
      </w:r>
    </w:p>
    <w:p w14:paraId="59F2E92B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056"/>
        <w:gridCol w:w="895"/>
        <w:gridCol w:w="845"/>
        <w:gridCol w:w="1343"/>
        <w:gridCol w:w="1343"/>
        <w:gridCol w:w="1344"/>
      </w:tblGrid>
      <w:tr w14:paraId="42B9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6E80E8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2056" w:type="dxa"/>
            <w:vAlign w:val="center"/>
          </w:tcPr>
          <w:p w14:paraId="1F815CA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895" w:type="dxa"/>
            <w:vAlign w:val="center"/>
          </w:tcPr>
          <w:p w14:paraId="40CD55AE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 w14:paraId="205CBF3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3" w:type="dxa"/>
            <w:vAlign w:val="center"/>
          </w:tcPr>
          <w:p w14:paraId="2120740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750F07B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5CA861B4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最高总价（元）</w:t>
            </w:r>
          </w:p>
        </w:tc>
      </w:tr>
      <w:tr w14:paraId="6C51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55C434E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问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界M7pro五座后驱智驾版</w:t>
            </w:r>
          </w:p>
        </w:tc>
        <w:tc>
          <w:tcPr>
            <w:tcW w:w="2056" w:type="dxa"/>
          </w:tcPr>
          <w:p w14:paraId="4F8EECB7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参数详见尾页</w:t>
            </w:r>
          </w:p>
        </w:tc>
        <w:tc>
          <w:tcPr>
            <w:tcW w:w="895" w:type="dxa"/>
          </w:tcPr>
          <w:p w14:paraId="391BF91B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0130455F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33E208B5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0174CE4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14:paraId="7919C2C1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7D7D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A4C18F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2466E9F1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1B298218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22708765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5206FBC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70F57261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14:paraId="1331EDD3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507517CC">
      <w:pPr>
        <w:snapToGrid w:val="0"/>
        <w:spacing w:line="360" w:lineRule="auto"/>
        <w:ind w:firstLine="42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（采购人自行完善采购需求内容）</w:t>
      </w:r>
    </w:p>
    <w:p w14:paraId="371EC5C0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32952C0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1FC68A6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1EB8F31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38530A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64BA697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小时内派出专业人员进行技术支持。 </w:t>
      </w:r>
    </w:p>
    <w:p w14:paraId="5E6CE381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1260AD9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21EF8E7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（若修改此处，请同步修改公告内容）</w:t>
      </w:r>
    </w:p>
    <w:p w14:paraId="7E39F9B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112DFD69"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（请同步修改公告内容）</w:t>
      </w:r>
    </w:p>
    <w:p w14:paraId="2C5F5879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60D1DDB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6E32B0E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29BA8E4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74F1F2E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 w14:paraId="0100FE2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 w14:paraId="1E22336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 w14:paraId="211A89C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 w14:paraId="12236AD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73C6CBB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2C828C4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（若需修改此处，建议直接复制公告中内容）</w:t>
      </w:r>
    </w:p>
    <w:p w14:paraId="274D539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（二）本次报价为人民币报价，包含：货物费、运输费、安装调试费、装卸费、培训费、税费（含关税）等所有费用。</w:t>
      </w:r>
    </w:p>
    <w:p w14:paraId="5C8CBE17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77270FBF">
      <w:pPr>
        <w:pStyle w:val="67"/>
      </w:pPr>
    </w:p>
    <w:p w14:paraId="3093FCB6"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（无需上传）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供应商无需在平台上传响应文件，凡参与本项目的供应商均视为满足所有实质性要求。</w:t>
      </w:r>
    </w:p>
    <w:p w14:paraId="3852A25E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552BB83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32"/>
          <w:szCs w:val="32"/>
          <w:u w:val="single"/>
        </w:rPr>
        <w:t>采购人应明确供应商出现报价相同、报价时间相同的情况，如何确定成交供应商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）</w:t>
      </w:r>
    </w:p>
    <w:p w14:paraId="7ED7BE00">
      <w:pPr>
        <w:pStyle w:val="67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Hans"/>
        </w:rPr>
        <w:t>因系统将根据价格进行排名并推荐</w:t>
      </w:r>
      <w:r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Hans"/>
        </w:rPr>
        <w:t>以供应商系统中的报价为准</w:t>
      </w:r>
      <w:r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  <w:t>如价格相同，以系统价格排名推荐确定成交</w:t>
      </w:r>
    </w:p>
    <w:p w14:paraId="09477F3C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16E8E56F">
      <w:pPr>
        <w:snapToGrid w:val="0"/>
        <w:spacing w:line="360" w:lineRule="auto"/>
        <w:ind w:firstLine="42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（采购人自行确认付款方式）</w:t>
      </w:r>
    </w:p>
    <w:p w14:paraId="7FB6957B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 w14:paraId="1A919ECD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重庆市人民检察院第一分院</w:t>
      </w:r>
    </w:p>
    <w:p w14:paraId="5F85CF8D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匡老师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B782D17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18523023311</w:t>
      </w:r>
    </w:p>
    <w:p w14:paraId="3C668F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 w14:paraId="458F26DC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 w14:paraId="1FD28F4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6BCF69F6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0F20F409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3EC5D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4939FC9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509BFB01"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 w14:paraId="0AF94084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172CB1B1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28A98D72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0BA42675">
      <w:pPr>
        <w:pStyle w:val="4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33641A64"/>
    <w:p w14:paraId="22553789"/>
    <w:p w14:paraId="3A404801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F1721E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457CAF6D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5B62C2E3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6DB5395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 w14:paraId="57226227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5D1C6914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25F80839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37603206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006BD651">
      <w:pPr>
        <w:pStyle w:val="67"/>
        <w:spacing w:line="360" w:lineRule="auto"/>
      </w:pPr>
    </w:p>
    <w:p w14:paraId="44099580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7CB15C70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9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61D55BD5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5130E9F2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5C8BD482">
      <w:pPr>
        <w:pStyle w:val="4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 w14:paraId="7B647922">
      <w:pPr>
        <w:pStyle w:val="4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6CBDA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7FB7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8119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7177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C26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F21D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24FA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7BBD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546A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0D794585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BF1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66EB523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07087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FBE4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3B83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F94B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9E05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F4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A68F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88C1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2299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24F4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5CB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983A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6D8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3394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8183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649F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FE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6FC8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3054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EA27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2BC8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7F7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8BB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BB54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5DC0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DFB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1744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5B65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1ABA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41E5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B0F8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896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F115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8A65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26E3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AEB3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DFEB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1574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DD30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57FA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94C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5463C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A4408B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21704A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71DDA1F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5E9C88A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36345B58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11A11A89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6C83ABE5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2665DE4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7C2CA44E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7A8322E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6A99F3A3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2F24A7C1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2C447467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59324C5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9A8676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C9479B1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770D650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7E97C55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3353AB1C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BD83008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FB77B19">
      <w:pPr>
        <w:pStyle w:val="67"/>
        <w:spacing w:line="360" w:lineRule="auto"/>
      </w:pPr>
    </w:p>
    <w:p w14:paraId="5CFA3FE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0772683F">
      <w:pPr>
        <w:pStyle w:val="4"/>
        <w:spacing w:line="360" w:lineRule="auto"/>
      </w:pPr>
    </w:p>
    <w:p w14:paraId="4B15FED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25DF7D84">
      <w:pPr>
        <w:pStyle w:val="67"/>
      </w:pPr>
    </w:p>
    <w:p w14:paraId="09DEF5E4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498BE38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6A37DC5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191CA0FF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7A59137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464D1C0B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7399B0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7FE1F6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0B06CE6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1F28995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3903FC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7FEAA7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8188DB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1100C101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4F906F2">
      <w:pPr>
        <w:pStyle w:val="4"/>
        <w:spacing w:line="360" w:lineRule="auto"/>
      </w:pPr>
      <w:r>
        <w:br w:type="page"/>
      </w:r>
    </w:p>
    <w:p w14:paraId="408C6BF9"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6617052C">
      <w:pPr>
        <w:pStyle w:val="67"/>
      </w:pPr>
    </w:p>
    <w:p w14:paraId="1C2E6166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3A5B358F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58228EEE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0D2347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5B33008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4EA7682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7543DE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45D65E5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4BEE10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7011FAD">
      <w:pPr>
        <w:pStyle w:val="67"/>
      </w:pPr>
    </w:p>
    <w:p w14:paraId="5128D6E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6C88E4B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707A630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7B7F828F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65C0A35B">
      <w:pPr>
        <w:pStyle w:val="4"/>
        <w:spacing w:line="360" w:lineRule="auto"/>
      </w:pPr>
    </w:p>
    <w:p w14:paraId="2A47BA3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1CBEC55E">
      <w:pPr>
        <w:pStyle w:val="4"/>
        <w:spacing w:line="360" w:lineRule="auto"/>
      </w:pPr>
    </w:p>
    <w:p w14:paraId="5DA65946">
      <w:pPr>
        <w:spacing w:line="360" w:lineRule="auto"/>
      </w:pPr>
    </w:p>
    <w:p w14:paraId="51BBC020">
      <w:pPr>
        <w:pStyle w:val="4"/>
        <w:spacing w:line="360" w:lineRule="auto"/>
      </w:pPr>
    </w:p>
    <w:p w14:paraId="2AC66278">
      <w:pPr>
        <w:spacing w:line="360" w:lineRule="auto"/>
      </w:pPr>
    </w:p>
    <w:p w14:paraId="17BC5D14">
      <w:pPr>
        <w:pStyle w:val="4"/>
        <w:spacing w:line="360" w:lineRule="auto"/>
      </w:pPr>
    </w:p>
    <w:p w14:paraId="304B86AF">
      <w:pPr>
        <w:spacing w:line="360" w:lineRule="auto"/>
      </w:pPr>
    </w:p>
    <w:p w14:paraId="5C7AA6D0">
      <w:pPr>
        <w:pStyle w:val="4"/>
        <w:spacing w:line="360" w:lineRule="auto"/>
      </w:pPr>
    </w:p>
    <w:p w14:paraId="685E5F17">
      <w:pPr>
        <w:spacing w:line="360" w:lineRule="auto"/>
      </w:pPr>
    </w:p>
    <w:p w14:paraId="0772D3EB">
      <w:pPr>
        <w:pStyle w:val="4"/>
        <w:spacing w:line="360" w:lineRule="auto"/>
      </w:pPr>
    </w:p>
    <w:p w14:paraId="5B389AB0">
      <w:pPr>
        <w:spacing w:line="360" w:lineRule="auto"/>
      </w:pPr>
    </w:p>
    <w:p w14:paraId="2593343F">
      <w:pPr>
        <w:pStyle w:val="4"/>
        <w:spacing w:line="360" w:lineRule="auto"/>
      </w:pPr>
    </w:p>
    <w:p w14:paraId="1B48145B">
      <w:pPr>
        <w:spacing w:line="360" w:lineRule="auto"/>
      </w:pPr>
    </w:p>
    <w:p w14:paraId="374194C4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9F4F566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5772DDB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  <w:sectPr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</w:p>
    <w:p w14:paraId="440CF9F3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外观颜色：</w:t>
      </w:r>
      <w:r>
        <w:rPr>
          <w:rFonts w:hint="eastAsia"/>
          <w:lang w:val="en-US" w:eastAsia="zh-CN"/>
        </w:rPr>
        <w:t>鎏金黑</w:t>
      </w:r>
    </w:p>
    <w:p w14:paraId="0E541335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内饰颜色：</w:t>
      </w:r>
      <w:r>
        <w:rPr>
          <w:rFonts w:hint="eastAsia"/>
          <w:lang w:val="en-US" w:eastAsia="zh-CN"/>
        </w:rPr>
        <w:t>琥珀棕</w:t>
      </w:r>
    </w:p>
    <w:p w14:paraId="13205AF0">
      <w:r>
        <w:rPr>
          <w:rFonts w:hint="eastAsia"/>
        </w:rPr>
        <w:t>参数：</w:t>
      </w:r>
    </w:p>
    <w:p w14:paraId="04E1ACC0">
      <w:r>
        <w:rPr>
          <w:rFonts w:hint="eastAsia"/>
        </w:rPr>
        <w:t>能源类型：E</w:t>
      </w:r>
      <w:r>
        <w:t>VR</w:t>
      </w:r>
      <w:r>
        <w:rPr>
          <w:rFonts w:hint="eastAsia"/>
        </w:rPr>
        <w:t>（增程式混动）</w:t>
      </w:r>
    </w:p>
    <w:p w14:paraId="382DA569">
      <w:pPr>
        <w:rPr>
          <w:rFonts w:hint="eastAsia"/>
        </w:rPr>
      </w:pPr>
      <w:r>
        <w:t>排量：</w:t>
      </w:r>
      <w:r>
        <w:rPr>
          <w:rFonts w:hint="eastAsia"/>
        </w:rPr>
        <w:t>1</w:t>
      </w:r>
      <w:r>
        <w:t>.5T</w:t>
      </w:r>
    </w:p>
    <w:p w14:paraId="00977FAE">
      <w:r>
        <w:rPr>
          <w:rFonts w:hint="eastAsia"/>
        </w:rPr>
        <w:t>车身形式：承载式</w:t>
      </w:r>
    </w:p>
    <w:p w14:paraId="69179B28">
      <w:r>
        <w:rPr>
          <w:rFonts w:hint="eastAsia"/>
        </w:rPr>
        <w:t>长*宽*高（m</w:t>
      </w:r>
      <w:r>
        <w:t>m</w:t>
      </w:r>
      <w:r>
        <w:rPr>
          <w:rFonts w:hint="eastAsia"/>
        </w:rPr>
        <w:t>）：5</w:t>
      </w:r>
      <w:r>
        <w:t>020*1945*1760</w:t>
      </w:r>
    </w:p>
    <w:p w14:paraId="21CB95F3">
      <w:r>
        <w:rPr>
          <w:rFonts w:hint="eastAsia"/>
        </w:rPr>
        <w:t>轴距（m</w:t>
      </w:r>
      <w:r>
        <w:t>m</w:t>
      </w:r>
      <w:r>
        <w:rPr>
          <w:rFonts w:hint="eastAsia"/>
        </w:rPr>
        <w:t>）：2</w:t>
      </w:r>
      <w:r>
        <w:t>820</w:t>
      </w:r>
    </w:p>
    <w:p w14:paraId="377539C9">
      <w:r>
        <w:rPr>
          <w:rFonts w:hint="eastAsia"/>
        </w:rPr>
        <w:t>最小离地间隙（m</w:t>
      </w:r>
      <w:r>
        <w:t>m</w:t>
      </w:r>
      <w:r>
        <w:rPr>
          <w:rFonts w:hint="eastAsia"/>
        </w:rPr>
        <w:t>）：1</w:t>
      </w:r>
      <w:r>
        <w:t>88</w:t>
      </w:r>
      <w:r>
        <w:rPr>
          <w:rFonts w:hint="eastAsia"/>
        </w:rPr>
        <w:t>（整备）/</w:t>
      </w:r>
      <w:r>
        <w:t>150</w:t>
      </w:r>
      <w:r>
        <w:rPr>
          <w:rFonts w:hint="eastAsia"/>
        </w:rPr>
        <w:t>（满载）</w:t>
      </w:r>
    </w:p>
    <w:p w14:paraId="32FF3677">
      <w:r>
        <w:rPr>
          <w:rFonts w:hint="eastAsia"/>
        </w:rPr>
        <w:t>座位个数（个）：5</w:t>
      </w:r>
    </w:p>
    <w:p w14:paraId="5DD977F3">
      <w:r>
        <w:rPr>
          <w:rFonts w:hint="eastAsia"/>
        </w:rPr>
        <w:t>前/后轮尺寸：255/50 R20</w:t>
      </w:r>
    </w:p>
    <w:p w14:paraId="7065B79D">
      <w:r>
        <w:rPr>
          <w:rFonts w:hint="eastAsia"/>
        </w:rPr>
        <w:t>后备箱储物容积（</w:t>
      </w:r>
      <w:r>
        <w:t>L</w:t>
      </w:r>
      <w:r>
        <w:rPr>
          <w:rFonts w:hint="eastAsia"/>
        </w:rPr>
        <w:t>）：6</w:t>
      </w:r>
      <w:r>
        <w:t>86-1619</w:t>
      </w:r>
    </w:p>
    <w:p w14:paraId="2A441BE2">
      <w:r>
        <w:rPr>
          <w:rFonts w:hint="eastAsia"/>
        </w:rPr>
        <w:t>整备质量（k</w:t>
      </w:r>
      <w:r>
        <w:t>g</w:t>
      </w:r>
      <w:r>
        <w:rPr>
          <w:rFonts w:hint="eastAsia"/>
        </w:rPr>
        <w:t>）：2</w:t>
      </w:r>
      <w:r>
        <w:t>370-2460</w:t>
      </w:r>
    </w:p>
    <w:p w14:paraId="671BAA3D">
      <w:r>
        <w:rPr>
          <w:rFonts w:hint="eastAsia"/>
        </w:rPr>
        <w:t>转弯半径（m）：5</w:t>
      </w:r>
      <w:r>
        <w:t>.87</w:t>
      </w:r>
    </w:p>
    <w:p w14:paraId="20FBC987">
      <w:r>
        <w:rPr>
          <w:rFonts w:hint="eastAsia"/>
        </w:rPr>
        <w:t>C</w:t>
      </w:r>
      <w:r>
        <w:t>LTC</w:t>
      </w:r>
      <w:r>
        <w:rPr>
          <w:rFonts w:hint="eastAsia"/>
        </w:rPr>
        <w:t>纯电续航（满电）k</w:t>
      </w:r>
      <w:r>
        <w:t>m</w:t>
      </w:r>
      <w:r>
        <w:rPr>
          <w:rFonts w:hint="eastAsia"/>
        </w:rPr>
        <w:t>：2</w:t>
      </w:r>
      <w:r>
        <w:rPr>
          <w:rFonts w:hint="eastAsia"/>
          <w:lang w:val="en-US" w:eastAsia="zh-CN"/>
        </w:rPr>
        <w:t>3</w:t>
      </w:r>
      <w:r>
        <w:t>0</w:t>
      </w:r>
    </w:p>
    <w:p w14:paraId="102B688E">
      <w:r>
        <w:rPr>
          <w:rFonts w:hint="eastAsia"/>
        </w:rPr>
        <w:t>0</w:t>
      </w:r>
      <w:r>
        <w:t>-100KM/h</w:t>
      </w:r>
      <w:r>
        <w:rPr>
          <w:rFonts w:hint="eastAsia"/>
        </w:rPr>
        <w:t>加速时间：</w:t>
      </w:r>
      <w:r>
        <w:rPr>
          <w:rFonts w:hint="eastAsia"/>
          <w:lang w:val="en-US" w:eastAsia="zh-CN"/>
        </w:rPr>
        <w:t>8.2</w:t>
      </w:r>
      <w:r>
        <w:t>S</w:t>
      </w:r>
    </w:p>
    <w:p w14:paraId="0803F6BD">
      <w:r>
        <w:rPr>
          <w:rFonts w:hint="eastAsia"/>
        </w:rPr>
        <w:t>最高车速k</w:t>
      </w:r>
      <w:r>
        <w:t>m/h</w:t>
      </w:r>
      <w:r>
        <w:rPr>
          <w:rFonts w:hint="eastAsia"/>
        </w:rPr>
        <w:t>：1</w:t>
      </w:r>
      <w:r>
        <w:t>90</w:t>
      </w:r>
    </w:p>
    <w:p w14:paraId="2DD25F38">
      <w:r>
        <w:rPr>
          <w:rFonts w:hint="eastAsia"/>
        </w:rPr>
        <w:t>驱动形式：后单电机两驱</w:t>
      </w:r>
    </w:p>
    <w:p w14:paraId="1A6CBBD8">
      <w:r>
        <w:rPr>
          <w:rFonts w:hint="eastAsia"/>
        </w:rPr>
        <w:t>电动机最大功率（k</w:t>
      </w:r>
      <w:r>
        <w:t>w</w:t>
      </w:r>
      <w:r>
        <w:rPr>
          <w:rFonts w:hint="eastAsia"/>
        </w:rPr>
        <w:t>）:</w:t>
      </w:r>
      <w:r>
        <w:t>200</w:t>
      </w:r>
    </w:p>
    <w:p w14:paraId="4EF2086C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电池容量（l</w:t>
      </w:r>
      <w:r>
        <w:t>wh</w:t>
      </w:r>
      <w:r>
        <w:rPr>
          <w:rFonts w:hint="eastAsia"/>
        </w:rPr>
        <w:t>）：</w:t>
      </w:r>
      <w:r>
        <w:rPr>
          <w:rFonts w:hint="eastAsia"/>
          <w:lang w:val="en-US" w:eastAsia="zh-CN"/>
        </w:rPr>
        <w:t>38.5</w:t>
      </w:r>
    </w:p>
    <w:p w14:paraId="64E861FF">
      <w:r>
        <w:rPr>
          <w:rFonts w:hint="eastAsia"/>
        </w:rPr>
        <w:t>电池类型：</w:t>
      </w:r>
      <w:r>
        <w:rPr>
          <w:rFonts w:hint="eastAsia"/>
          <w:lang w:val="en-US" w:eastAsia="zh-CN"/>
        </w:rPr>
        <w:t>磷酸铁锂</w:t>
      </w:r>
      <w:r>
        <w:rPr>
          <w:rFonts w:hint="eastAsia"/>
        </w:rPr>
        <w:t>电池</w:t>
      </w:r>
    </w:p>
    <w:p w14:paraId="4D9A240C">
      <w:r>
        <w:rPr>
          <w:rFonts w:hint="eastAsia"/>
        </w:rPr>
        <w:t>燃油标号：9</w:t>
      </w:r>
      <w:r>
        <w:t>5#</w:t>
      </w:r>
      <w:r>
        <w:rPr>
          <w:rFonts w:hint="eastAsia"/>
        </w:rPr>
        <w:t>及以上</w:t>
      </w:r>
    </w:p>
    <w:p w14:paraId="0E1419D7">
      <w:r>
        <w:rPr>
          <w:rFonts w:hint="eastAsia"/>
        </w:rPr>
        <w:t>油箱容积（L）：6</w:t>
      </w:r>
      <w:r>
        <w:t>0</w:t>
      </w:r>
    </w:p>
    <w:p w14:paraId="3ADEEBAE">
      <w:r>
        <w:rPr>
          <w:rFonts w:hint="eastAsia"/>
        </w:rPr>
        <w:t>排放标准：国六b</w:t>
      </w:r>
    </w:p>
    <w:p w14:paraId="777F1AC7">
      <w:r>
        <w:rPr>
          <w:rFonts w:hint="eastAsia"/>
        </w:rPr>
        <w:t>前悬架：麦佛逊式独立悬架</w:t>
      </w:r>
    </w:p>
    <w:p w14:paraId="24862926">
      <w:pPr>
        <w:rPr>
          <w:rFonts w:hint="eastAsia"/>
        </w:rPr>
      </w:pPr>
      <w:r>
        <w:rPr>
          <w:rFonts w:hint="eastAsia"/>
        </w:rPr>
        <w:t>后悬架：多连杆独立悬架</w:t>
      </w:r>
    </w:p>
    <w:p w14:paraId="3425A59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辅助驾驶系统：HUAWEI ADS基础版</w:t>
      </w:r>
    </w:p>
    <w:p w14:paraId="29DC3F73">
      <w:r>
        <w:rPr>
          <w:rFonts w:hint="eastAsia"/>
        </w:rPr>
        <w:t>其他配置：</w:t>
      </w:r>
    </w:p>
    <w:p w14:paraId="3379B0CE">
      <w:r>
        <w:rPr>
          <w:rFonts w:hint="eastAsia"/>
        </w:rPr>
        <w:t>A</w:t>
      </w:r>
      <w:r>
        <w:t>CC</w:t>
      </w:r>
      <w:r>
        <w:rPr>
          <w:rFonts w:hint="eastAsia"/>
        </w:rPr>
        <w:t>自适应巡航辅助、</w:t>
      </w:r>
      <w:r>
        <w:t xml:space="preserve">Highway LCC </w:t>
      </w:r>
      <w:r>
        <w:rPr>
          <w:rFonts w:hint="eastAsia"/>
        </w:rPr>
        <w:t>高速车驾领航辅助、自动三温区空调（带P</w:t>
      </w:r>
      <w:r>
        <w:t>M2.5</w:t>
      </w:r>
      <w:r>
        <w:rPr>
          <w:rFonts w:hint="eastAsia"/>
        </w:rPr>
        <w:t>空气净化功能）、</w:t>
      </w:r>
      <w:r>
        <w:rPr>
          <w:rFonts w:hint="eastAsia"/>
          <w:lang w:val="en-US" w:eastAsia="zh-CN"/>
        </w:rPr>
        <w:t>星环散射体、</w:t>
      </w:r>
      <w:r>
        <w:rPr>
          <w:rFonts w:hint="eastAsia"/>
        </w:rPr>
        <w:t>游艇式档把、前排1</w:t>
      </w:r>
      <w:r>
        <w:t>2</w:t>
      </w:r>
      <w:r>
        <w:rPr>
          <w:rFonts w:hint="eastAsia"/>
        </w:rPr>
        <w:t>向电动调节、二排座椅电动调节（2</w:t>
      </w:r>
      <w:r>
        <w:t>7</w:t>
      </w:r>
      <w:r>
        <w:rPr>
          <w:rFonts w:hint="eastAsia"/>
        </w:rPr>
        <w:t>°-</w:t>
      </w:r>
      <w:r>
        <w:t>37</w:t>
      </w:r>
      <w:r>
        <w:rPr>
          <w:rFonts w:hint="eastAsia"/>
        </w:rPr>
        <w:t>°电动可调）、前排+二排（座椅通风+加热+按摩）、魔吸车载接口、手机无线充电（2个5</w:t>
      </w:r>
      <w:r>
        <w:t>0W</w:t>
      </w:r>
      <w:r>
        <w:rPr>
          <w:rFonts w:hint="eastAsia"/>
        </w:rPr>
        <w:t>）、人脸识别</w:t>
      </w:r>
    </w:p>
    <w:p w14:paraId="5D62D97A">
      <w:pPr>
        <w:pStyle w:val="67"/>
      </w:pPr>
    </w:p>
    <w:p w14:paraId="782728A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14FD03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3DF361F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Arial Unicode MS"/>
    <w:panose1 w:val="020B0604020202020204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84135">
    <w:pPr>
      <w:pStyle w:val="3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3CC55">
    <w:pPr>
      <w:pStyle w:val="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A7FEB">
    <w:pPr>
      <w:pStyle w:val="3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CE84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69CF5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95661">
    <w:pPr>
      <w:pStyle w:val="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3F506">
    <w:pPr>
      <w:pStyle w:val="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7A9C8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C0E01AF"/>
    <w:rsid w:val="288E387D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BC9209C"/>
    <w:rsid w:val="4E230FB8"/>
    <w:rsid w:val="4E99569F"/>
    <w:rsid w:val="547A53E2"/>
    <w:rsid w:val="5A9515D1"/>
    <w:rsid w:val="5B8C0E98"/>
    <w:rsid w:val="5BFDB513"/>
    <w:rsid w:val="639635F7"/>
    <w:rsid w:val="65F91B55"/>
    <w:rsid w:val="67B15328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13</Pages>
  <Words>3344</Words>
  <Characters>3626</Characters>
  <Lines>62</Lines>
  <Paragraphs>17</Paragraphs>
  <TotalTime>1</TotalTime>
  <ScaleCrop>false</ScaleCrop>
  <LinksUpToDate>false</LinksUpToDate>
  <CharactersWithSpaces>4223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WPS_1649394358</cp:lastModifiedBy>
  <cp:lastPrinted>2018-08-06T16:28:00Z</cp:lastPrinted>
  <dcterms:modified xsi:type="dcterms:W3CDTF">2025-03-27T08:43:05Z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eyJoZGlkIjoiMzdmNTM5YjU4OGU2N2M3YWE0YWU5MzVjNmVmN2NlNGIiLCJ1c2VySWQiOiIxMzUzMTAwNTEzIn0=</vt:lpwstr>
  </property>
  <property fmtid="{D5CDD505-2E9C-101B-9397-08002B2CF9AE}" pid="4" name="ICV">
    <vt:lpwstr>014721C9080042A4839114543E705B66_12</vt:lpwstr>
  </property>
</Properties>
</file>