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方正小标宋_GBK" w:hAnsi="方正小标宋_GBK" w:eastAsia="方正小标宋_GBK" w:cs="方正小标宋_GBK"/>
          <w:sz w:val="96"/>
          <w:szCs w:val="96"/>
        </w:rPr>
      </w:pPr>
    </w:p>
    <w:p>
      <w:pPr>
        <w:pStyle w:val="5"/>
        <w:spacing w:line="240" w:lineRule="auto"/>
        <w:ind w:left="0" w:leftChars="0" w:firstLine="0" w:firstLineChars="0"/>
        <w:jc w:val="center"/>
        <w:rPr>
          <w:rFonts w:hint="eastAsia" w:ascii="方正小标宋_GBK" w:hAnsi="方正小标宋_GBK" w:eastAsia="方正小标宋_GBK" w:cs="方正小标宋_GBK"/>
          <w:b w:val="0"/>
          <w:kern w:val="2"/>
          <w:sz w:val="72"/>
          <w:szCs w:val="72"/>
          <w:lang w:val="en-US" w:eastAsia="zh-CN" w:bidi="ar-SA"/>
        </w:rPr>
      </w:pPr>
      <w:bookmarkStart w:id="0" w:name="_Toc31370"/>
      <w:bookmarkStart w:id="1" w:name="_Toc19609"/>
      <w:bookmarkStart w:id="2" w:name="_Toc16779"/>
      <w:bookmarkStart w:id="3" w:name="_Toc7408"/>
      <w:bookmarkStart w:id="4" w:name="_Toc17591"/>
      <w:bookmarkStart w:id="5" w:name="_Toc30988"/>
      <w:bookmarkStart w:id="6" w:name="_Toc31917"/>
      <w:bookmarkStart w:id="7" w:name="_Toc30711"/>
      <w:r>
        <w:rPr>
          <w:rFonts w:hint="eastAsia" w:ascii="方正小标宋_GBK" w:hAnsi="方正小标宋_GBK" w:eastAsia="方正小标宋_GBK" w:cs="方正小标宋_GBK"/>
          <w:b w:val="0"/>
          <w:kern w:val="2"/>
          <w:sz w:val="72"/>
          <w:szCs w:val="72"/>
          <w:lang w:val="en-US" w:eastAsia="zh-CN" w:bidi="ar-SA"/>
        </w:rPr>
        <w:t>重庆市政府采购云平台</w:t>
      </w:r>
    </w:p>
    <w:p>
      <w:pPr>
        <w:pStyle w:val="5"/>
        <w:spacing w:line="240" w:lineRule="auto"/>
        <w:ind w:left="0" w:leftChars="0" w:firstLine="0" w:firstLineChars="0"/>
        <w:jc w:val="center"/>
        <w:rPr>
          <w:rFonts w:hint="default"/>
          <w:sz w:val="72"/>
          <w:szCs w:val="72"/>
          <w:lang w:val="en-US"/>
        </w:rPr>
      </w:pPr>
      <w:r>
        <w:rPr>
          <w:rFonts w:hint="eastAsia" w:ascii="方正小标宋_GBK" w:hAnsi="方正小标宋_GBK" w:eastAsia="方正小标宋_GBK" w:cs="方正小标宋_GBK"/>
          <w:b w:val="0"/>
          <w:kern w:val="2"/>
          <w:sz w:val="72"/>
          <w:szCs w:val="72"/>
          <w:lang w:val="en-US" w:eastAsia="zh-CN" w:bidi="ar-SA"/>
        </w:rPr>
        <w:t>网上竞采</w:t>
      </w:r>
      <w:bookmarkEnd w:id="0"/>
      <w:bookmarkEnd w:id="1"/>
      <w:bookmarkEnd w:id="2"/>
      <w:bookmarkEnd w:id="3"/>
      <w:bookmarkEnd w:id="4"/>
      <w:bookmarkEnd w:id="5"/>
      <w:bookmarkEnd w:id="6"/>
      <w:bookmarkEnd w:id="7"/>
    </w:p>
    <w:p>
      <w:pPr>
        <w:spacing w:line="240" w:lineRule="auto"/>
        <w:jc w:val="center"/>
        <w:rPr>
          <w:rFonts w:hint="eastAsia" w:ascii="方正小标宋_GBK" w:hAnsi="方正小标宋_GBK" w:eastAsia="方正小标宋_GBK" w:cs="方正小标宋_GBK"/>
          <w:b w:val="0"/>
          <w:kern w:val="2"/>
          <w:sz w:val="56"/>
          <w:szCs w:val="56"/>
          <w:lang w:val="en-US" w:eastAsia="zh-CN" w:bidi="ar-SA"/>
        </w:rPr>
      </w:pPr>
      <w:r>
        <w:rPr>
          <w:rFonts w:hint="eastAsia" w:ascii="方正小标宋_GBK" w:hAnsi="方正小标宋_GBK" w:eastAsia="方正小标宋_GBK" w:cs="方正小标宋_GBK"/>
          <w:b w:val="0"/>
          <w:kern w:val="2"/>
          <w:sz w:val="56"/>
          <w:szCs w:val="56"/>
          <w:lang w:val="en-US" w:eastAsia="zh-CN" w:bidi="ar-SA"/>
        </w:rPr>
        <w:t>电子反拍文件</w:t>
      </w:r>
    </w:p>
    <w:p>
      <w:pPr>
        <w:spacing w:line="700" w:lineRule="exact"/>
        <w:ind w:left="3435" w:leftChars="557" w:hanging="2265" w:hangingChars="708"/>
        <w:rPr>
          <w:rFonts w:ascii="方正小标宋_GBK" w:hAnsi="方正小标宋_GBK" w:eastAsia="方正小标宋_GBK" w:cs="方正小标宋_GBK"/>
          <w:sz w:val="32"/>
          <w:szCs w:val="32"/>
        </w:rPr>
      </w:pPr>
    </w:p>
    <w:p>
      <w:pPr>
        <w:pStyle w:val="5"/>
        <w:rPr>
          <w:rFonts w:ascii="方正小标宋_GBK" w:hAnsi="方正小标宋_GBK" w:eastAsia="方正小标宋_GBK" w:cs="方正小标宋_GBK"/>
          <w:sz w:val="32"/>
          <w:szCs w:val="32"/>
        </w:rPr>
      </w:pPr>
    </w:p>
    <w:p/>
    <w:p>
      <w:pPr>
        <w:pStyle w:val="20"/>
        <w:numPr>
          <w:ilvl w:val="4"/>
          <w:numId w:val="0"/>
        </w:numPr>
      </w:pPr>
    </w:p>
    <w:p>
      <w:pPr>
        <w:pStyle w:val="21"/>
        <w:rPr>
          <w:rFonts w:ascii="方正小标宋_GBK" w:hAnsi="方正小标宋_GBK" w:eastAsia="方正小标宋_GBK" w:cs="方正小标宋_GBK"/>
          <w:sz w:val="32"/>
          <w:szCs w:val="32"/>
        </w:rPr>
      </w:pPr>
    </w:p>
    <w:p>
      <w:pPr>
        <w:spacing w:line="700" w:lineRule="exact"/>
        <w:rPr>
          <w:rFonts w:ascii="方正小标宋_GBK" w:hAnsi="方正小标宋_GBK" w:eastAsia="方正小标宋_GBK" w:cs="方正小标宋_GBK"/>
          <w:sz w:val="32"/>
          <w:szCs w:val="32"/>
        </w:rPr>
      </w:pPr>
    </w:p>
    <w:p>
      <w:pPr>
        <w:spacing w:line="360" w:lineRule="auto"/>
        <w:ind w:left="638" w:leftChars="304" w:firstLine="0" w:firstLineChars="0"/>
        <w:jc w:val="left"/>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val="en-US" w:eastAsia="zh-CN"/>
        </w:rPr>
        <w:t>2024年继续教育学院第三教学楼3楼阶梯教室改造项目（桌椅）</w:t>
      </w:r>
    </w:p>
    <w:p>
      <w:pPr>
        <w:spacing w:line="360" w:lineRule="auto"/>
        <w:ind w:firstLine="643"/>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项目编号：DC2024A015</w:t>
      </w:r>
    </w:p>
    <w:p>
      <w:pPr>
        <w:spacing w:line="360" w:lineRule="auto"/>
        <w:ind w:firstLine="643"/>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采购单位：</w:t>
      </w:r>
      <w:r>
        <w:rPr>
          <w:rFonts w:hint="eastAsia" w:ascii="仿宋" w:hAnsi="仿宋" w:eastAsia="仿宋" w:cs="仿宋"/>
          <w:b/>
          <w:bCs/>
          <w:color w:val="auto"/>
          <w:sz w:val="30"/>
          <w:szCs w:val="30"/>
          <w:highlight w:val="none"/>
          <w:lang w:val="en-US" w:eastAsia="zh-CN"/>
        </w:rPr>
        <w:t>重庆工业职业技术学院</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月</w:t>
      </w:r>
      <w:r>
        <w:rPr>
          <w:rFonts w:hint="eastAsia" w:ascii="方正小标宋_GBK" w:hAnsi="方正小标宋_GBK" w:eastAsia="方正小标宋_GBK" w:cs="方正小标宋_GBK"/>
          <w:sz w:val="32"/>
          <w:szCs w:val="32"/>
          <w:lang w:val="en-US" w:eastAsia="zh-CN"/>
        </w:rPr>
        <w:t>九日</w:t>
      </w:r>
    </w:p>
    <w:p>
      <w:pPr>
        <w:snapToGrid w:val="0"/>
        <w:spacing w:line="400" w:lineRule="exact"/>
        <w:ind w:firstLine="723" w:firstLineChars="200"/>
        <w:jc w:val="center"/>
        <w:rPr>
          <w:rFonts w:hint="eastAsia" w:ascii="仿宋" w:hAnsi="仿宋" w:eastAsia="仿宋" w:cs="仿宋"/>
          <w:b/>
          <w:bCs/>
          <w:color w:val="auto"/>
          <w:sz w:val="36"/>
          <w:szCs w:val="30"/>
          <w:highlight w:val="none"/>
        </w:rPr>
      </w:pPr>
      <w:bookmarkStart w:id="8" w:name="_Toc12789052"/>
      <w:bookmarkStart w:id="9" w:name="_Toc76462316"/>
      <w:bookmarkStart w:id="10" w:name="_Toc11641050"/>
      <w:bookmarkStart w:id="11" w:name="_Toc106030870"/>
    </w:p>
    <w:p>
      <w:pPr>
        <w:rPr>
          <w:rFonts w:hint="eastAsia" w:ascii="仿宋" w:hAnsi="仿宋" w:eastAsia="仿宋" w:cs="仿宋"/>
          <w:b/>
          <w:bCs/>
          <w:color w:val="auto"/>
          <w:sz w:val="36"/>
          <w:szCs w:val="30"/>
          <w:highlight w:val="none"/>
        </w:rPr>
      </w:pPr>
    </w:p>
    <w:p>
      <w:pPr>
        <w:pStyle w:val="5"/>
        <w:rPr>
          <w:rFonts w:hint="eastAsia"/>
        </w:rPr>
      </w:pPr>
    </w:p>
    <w:p>
      <w:pPr>
        <w:numPr>
          <w:ilvl w:val="0"/>
          <w:numId w:val="2"/>
        </w:numPr>
        <w:snapToGrid w:val="0"/>
        <w:spacing w:line="400" w:lineRule="exact"/>
        <w:jc w:val="center"/>
        <w:rPr>
          <w:rFonts w:hint="eastAsia" w:ascii="仿宋" w:hAnsi="仿宋" w:eastAsia="仿宋" w:cs="仿宋"/>
          <w:b/>
          <w:bCs/>
          <w:color w:val="auto"/>
          <w:sz w:val="36"/>
          <w:szCs w:val="30"/>
          <w:highlight w:val="none"/>
        </w:rPr>
      </w:pPr>
      <w:r>
        <w:rPr>
          <w:rFonts w:hint="eastAsia" w:ascii="仿宋" w:hAnsi="仿宋" w:eastAsia="仿宋" w:cs="仿宋"/>
          <w:b/>
          <w:bCs/>
          <w:color w:val="auto"/>
          <w:sz w:val="36"/>
          <w:szCs w:val="30"/>
          <w:highlight w:val="none"/>
          <w:lang w:val="en-US" w:eastAsia="zh-CN"/>
        </w:rPr>
        <w:t>竞采</w:t>
      </w:r>
      <w:r>
        <w:rPr>
          <w:rFonts w:hint="eastAsia" w:ascii="仿宋" w:hAnsi="仿宋" w:eastAsia="仿宋" w:cs="仿宋"/>
          <w:b/>
          <w:bCs/>
          <w:color w:val="auto"/>
          <w:sz w:val="36"/>
          <w:szCs w:val="30"/>
          <w:highlight w:val="none"/>
        </w:rPr>
        <w:t>邀请书</w:t>
      </w:r>
      <w:bookmarkEnd w:id="8"/>
      <w:bookmarkEnd w:id="9"/>
      <w:bookmarkEnd w:id="10"/>
      <w:bookmarkEnd w:id="11"/>
    </w:p>
    <w:p>
      <w:pPr>
        <w:pStyle w:val="5"/>
        <w:numPr>
          <w:ilvl w:val="0"/>
          <w:numId w:val="0"/>
        </w:numPr>
        <w:rPr>
          <w:rFonts w:hint="eastAsia"/>
        </w:rPr>
      </w:pPr>
    </w:p>
    <w:p>
      <w:pPr>
        <w:pStyle w:val="4"/>
        <w:numPr>
          <w:ilvl w:val="0"/>
          <w:numId w:val="3"/>
        </w:numPr>
        <w:spacing w:before="0" w:after="0" w:line="312" w:lineRule="auto"/>
        <w:rPr>
          <w:rFonts w:hint="eastAsia" w:ascii="仿宋" w:hAnsi="仿宋" w:eastAsia="仿宋" w:cs="仿宋"/>
          <w:i w:val="0"/>
          <w:iCs w:val="0"/>
          <w:color w:val="auto"/>
          <w:sz w:val="24"/>
          <w:szCs w:val="24"/>
          <w:highlight w:val="none"/>
        </w:rPr>
      </w:pPr>
      <w:bookmarkStart w:id="12" w:name="_Toc18881"/>
      <w:bookmarkStart w:id="13" w:name="_Toc7625"/>
      <w:bookmarkStart w:id="14" w:name="_Toc317775175"/>
      <w:bookmarkStart w:id="15" w:name="_Toc313893526"/>
      <w:bookmarkStart w:id="16" w:name="_Toc18159"/>
      <w:bookmarkStart w:id="17" w:name="_Toc12808"/>
      <w:bookmarkStart w:id="18" w:name="_Toc26820"/>
      <w:bookmarkStart w:id="19" w:name="_Toc3463"/>
      <w:bookmarkStart w:id="20" w:name="_Toc25458"/>
      <w:r>
        <w:rPr>
          <w:rFonts w:hint="eastAsia" w:ascii="仿宋" w:hAnsi="仿宋" w:eastAsia="仿宋" w:cs="仿宋"/>
          <w:i w:val="0"/>
          <w:iCs w:val="0"/>
          <w:color w:val="auto"/>
          <w:sz w:val="24"/>
          <w:szCs w:val="24"/>
          <w:highlight w:val="none"/>
          <w:lang w:val="en-US" w:eastAsia="zh-CN"/>
        </w:rPr>
        <w:t>竞采项目</w:t>
      </w:r>
      <w:r>
        <w:rPr>
          <w:rFonts w:hint="eastAsia" w:ascii="仿宋" w:hAnsi="仿宋" w:eastAsia="仿宋" w:cs="仿宋"/>
          <w:i w:val="0"/>
          <w:iCs w:val="0"/>
          <w:color w:val="auto"/>
          <w:sz w:val="24"/>
          <w:szCs w:val="24"/>
          <w:highlight w:val="none"/>
        </w:rPr>
        <w:t>内容</w:t>
      </w:r>
      <w:bookmarkEnd w:id="12"/>
      <w:bookmarkEnd w:id="13"/>
      <w:bookmarkEnd w:id="14"/>
      <w:bookmarkEnd w:id="15"/>
      <w:bookmarkEnd w:id="16"/>
      <w:bookmarkEnd w:id="17"/>
      <w:bookmarkEnd w:id="18"/>
      <w:bookmarkEnd w:id="19"/>
      <w:bookmarkEnd w:id="20"/>
    </w:p>
    <w:p>
      <w:pPr>
        <w:pStyle w:val="4"/>
        <w:spacing w:before="0" w:after="0" w:line="312" w:lineRule="auto"/>
        <w:ind w:firstLine="480" w:firstLineChars="200"/>
        <w:rPr>
          <w:rFonts w:hint="eastAsia"/>
          <w:highlight w:val="none"/>
        </w:rPr>
      </w:pPr>
      <w:r>
        <w:rPr>
          <w:rFonts w:hint="eastAsia" w:ascii="仿宋" w:hAnsi="仿宋" w:eastAsia="仿宋" w:cs="仿宋"/>
          <w:b w:val="0"/>
          <w:bCs/>
          <w:i w:val="0"/>
          <w:iCs w:val="0"/>
          <w:color w:val="auto"/>
          <w:sz w:val="24"/>
          <w:szCs w:val="24"/>
          <w:highlight w:val="none"/>
          <w:lang w:val="en-US" w:eastAsia="zh-CN"/>
        </w:rPr>
        <w:t>重庆工业职业技术学院</w:t>
      </w:r>
      <w:r>
        <w:rPr>
          <w:rFonts w:hint="eastAsia" w:ascii="仿宋" w:hAnsi="仿宋" w:eastAsia="仿宋" w:cs="仿宋"/>
          <w:b w:val="0"/>
          <w:bCs/>
          <w:i w:val="0"/>
          <w:iCs w:val="0"/>
          <w:color w:val="auto"/>
          <w:sz w:val="24"/>
          <w:szCs w:val="24"/>
          <w:highlight w:val="none"/>
        </w:rPr>
        <w:t>对</w:t>
      </w:r>
      <w:r>
        <w:rPr>
          <w:rFonts w:hint="eastAsia" w:ascii="仿宋" w:hAnsi="仿宋" w:eastAsia="仿宋" w:cs="仿宋"/>
          <w:b w:val="0"/>
          <w:bCs/>
          <w:color w:val="auto"/>
          <w:sz w:val="24"/>
          <w:szCs w:val="24"/>
          <w:highlight w:val="none"/>
          <w:lang w:eastAsia="zh-CN"/>
        </w:rPr>
        <w:t>2024年继续教育学院第三教学楼3楼阶梯教室改造项目（桌椅）</w:t>
      </w:r>
      <w:r>
        <w:rPr>
          <w:rFonts w:hint="eastAsia" w:ascii="仿宋" w:hAnsi="仿宋" w:eastAsia="仿宋" w:cs="仿宋"/>
          <w:b w:val="0"/>
          <w:bCs/>
          <w:i w:val="0"/>
          <w:iCs w:val="0"/>
          <w:color w:val="auto"/>
          <w:sz w:val="24"/>
          <w:szCs w:val="24"/>
          <w:highlight w:val="none"/>
        </w:rPr>
        <w:t>进行网上竞采采购。欢迎有资格的供应商前来参与网上竞采。</w:t>
      </w:r>
    </w:p>
    <w:tbl>
      <w:tblPr>
        <w:tblStyle w:val="1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最高限价</w:t>
            </w:r>
          </w:p>
          <w:p>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（元）</w:t>
            </w:r>
          </w:p>
        </w:tc>
        <w:tc>
          <w:tcPr>
            <w:tcW w:w="1903"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成交供应商数量（名）</w:t>
            </w:r>
          </w:p>
        </w:tc>
        <w:tc>
          <w:tcPr>
            <w:tcW w:w="1231"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ordWrap w:val="0"/>
              <w:spacing w:line="360" w:lineRule="auto"/>
              <w:ind w:firstLine="0" w:firstLineChars="0"/>
              <w:jc w:val="center"/>
              <w:rPr>
                <w:rFonts w:hint="eastAsia" w:ascii="仿宋" w:hAnsi="仿宋" w:eastAsia="仿宋" w:cs="仿宋"/>
                <w:i w:val="0"/>
                <w:iCs w:val="0"/>
                <w:color w:val="auto"/>
                <w:kern w:val="0"/>
                <w:sz w:val="24"/>
                <w:szCs w:val="24"/>
                <w:highlight w:val="none"/>
              </w:rPr>
            </w:pPr>
            <w:bookmarkStart w:id="21" w:name="_Hlk344477914"/>
            <w:r>
              <w:rPr>
                <w:rFonts w:hint="eastAsia" w:ascii="仿宋" w:hAnsi="仿宋" w:eastAsia="仿宋" w:cs="仿宋"/>
                <w:color w:val="auto"/>
                <w:sz w:val="24"/>
                <w:szCs w:val="24"/>
                <w:highlight w:val="none"/>
                <w:lang w:eastAsia="zh-CN"/>
              </w:rPr>
              <w:t>2024年继续教育学院第三教学楼3楼阶梯教室改造项目（桌椅）</w:t>
            </w:r>
          </w:p>
        </w:tc>
        <w:tc>
          <w:tcPr>
            <w:tcW w:w="1746" w:type="dxa"/>
            <w:tcBorders>
              <w:top w:val="single" w:color="auto" w:sz="4" w:space="0"/>
              <w:left w:val="single" w:color="auto" w:sz="4" w:space="0"/>
              <w:right w:val="single" w:color="auto" w:sz="4" w:space="0"/>
            </w:tcBorders>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200000</w:t>
            </w:r>
          </w:p>
        </w:tc>
        <w:tc>
          <w:tcPr>
            <w:tcW w:w="1903"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1</w:t>
            </w:r>
          </w:p>
        </w:tc>
        <w:tc>
          <w:tcPr>
            <w:tcW w:w="1231" w:type="dxa"/>
            <w:tcBorders>
              <w:top w:val="single" w:color="auto" w:sz="4" w:space="0"/>
              <w:left w:val="single" w:color="auto" w:sz="4" w:space="0"/>
              <w:right w:val="single" w:color="auto" w:sz="4" w:space="0"/>
            </w:tcBorders>
            <w:vAlign w:val="center"/>
          </w:tcPr>
          <w:p>
            <w:pPr>
              <w:rPr>
                <w:rFonts w:hint="eastAsia" w:ascii="仿宋" w:hAnsi="仿宋" w:eastAsia="仿宋" w:cs="仿宋"/>
                <w:b/>
                <w:i w:val="0"/>
                <w:iCs w:val="0"/>
                <w:color w:val="auto"/>
                <w:sz w:val="24"/>
                <w:szCs w:val="24"/>
                <w:highlight w:val="none"/>
              </w:rPr>
            </w:pPr>
          </w:p>
        </w:tc>
      </w:tr>
      <w:bookmarkEnd w:id="21"/>
    </w:tbl>
    <w:p>
      <w:pPr>
        <w:pStyle w:val="4"/>
        <w:spacing w:before="0" w:after="0" w:line="312"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二、资金来源</w:t>
      </w:r>
    </w:p>
    <w:p>
      <w:pPr>
        <w:pStyle w:val="4"/>
        <w:spacing w:before="0" w:after="0" w:line="312" w:lineRule="auto"/>
        <w:ind w:firstLine="480" w:firstLineChars="200"/>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自筹资金</w:t>
      </w:r>
      <w:r>
        <w:rPr>
          <w:rFonts w:hint="eastAsia" w:ascii="仿宋" w:hAnsi="仿宋" w:eastAsia="仿宋" w:cs="仿宋"/>
          <w:b w:val="0"/>
          <w:bCs/>
          <w:i w:val="0"/>
          <w:iCs w:val="0"/>
          <w:color w:val="auto"/>
          <w:sz w:val="24"/>
          <w:szCs w:val="24"/>
          <w:highlight w:val="none"/>
        </w:rPr>
        <w:t>。</w:t>
      </w:r>
    </w:p>
    <w:p>
      <w:pPr>
        <w:pStyle w:val="4"/>
        <w:spacing w:before="0" w:after="0"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三</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竞采</w:t>
      </w:r>
      <w:r>
        <w:rPr>
          <w:rFonts w:hint="eastAsia" w:ascii="仿宋" w:hAnsi="仿宋" w:eastAsia="仿宋" w:cs="仿宋"/>
          <w:i w:val="0"/>
          <w:iCs w:val="0"/>
          <w:color w:val="auto"/>
          <w:sz w:val="24"/>
          <w:szCs w:val="24"/>
          <w:highlight w:val="none"/>
        </w:rPr>
        <w:t>资格条件</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pPr>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四、竞采有关说明</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一）供应商应通过重庆市政府采购网（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www.ccgp-chongqing.gov.cn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）登记加入“重庆市政府采购供应商库”。</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（二）凡有意参加采购的供应商，请在重庆市政府采购云平台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网上竞采中心（https://xj.ccgp-chongqing.gov.cn/ge/）或重庆工业职业技术学院官网下载本项目网上竞采文件以及</w:t>
      </w:r>
      <w:r>
        <w:rPr>
          <w:rFonts w:hint="eastAsia" w:ascii="仿宋" w:hAnsi="仿宋" w:eastAsia="仿宋" w:cs="仿宋"/>
          <w:color w:val="auto"/>
          <w:sz w:val="24"/>
          <w:szCs w:val="24"/>
          <w:highlight w:val="none"/>
          <w:lang w:val="en-US" w:eastAsia="zh-CN"/>
        </w:rPr>
        <w:t>变更</w:t>
      </w:r>
      <w:r>
        <w:rPr>
          <w:rFonts w:hint="eastAsia" w:ascii="仿宋" w:hAnsi="仿宋" w:eastAsia="仿宋" w:cs="仿宋"/>
          <w:color w:val="auto"/>
          <w:sz w:val="24"/>
          <w:szCs w:val="24"/>
          <w:highlight w:val="none"/>
        </w:rPr>
        <w:t>等采购前公布的所有项目资料，无论供应商下载与否，均视为已知晓所有采购实质性要求内容</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网上竞采中心（https://xj.ccgp-chongqing.gov.cn/ge/）进行网上报价。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bCs/>
          <w:color w:val="auto"/>
          <w:sz w:val="24"/>
          <w:szCs w:val="24"/>
          <w:highlight w:val="none"/>
        </w:rPr>
        <w:t>供应商须在平台上报价并按要求上传响应文件，未按要求提供的为无效供应商。</w:t>
      </w:r>
    </w:p>
    <w:p>
      <w:pPr>
        <w:spacing w:line="400" w:lineRule="exact"/>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五、</w:t>
      </w:r>
      <w:bookmarkStart w:id="22" w:name="_Toc5085"/>
      <w:bookmarkStart w:id="23" w:name="_Toc9654"/>
      <w:bookmarkStart w:id="24" w:name="_Toc11828"/>
      <w:bookmarkStart w:id="25" w:name="_Toc20778"/>
      <w:bookmarkStart w:id="26" w:name="_Toc3475"/>
      <w:bookmarkStart w:id="27" w:name="_Toc25886"/>
      <w:bookmarkStart w:id="28" w:name="_Toc27955"/>
      <w:r>
        <w:rPr>
          <w:rFonts w:hint="eastAsia" w:ascii="仿宋" w:hAnsi="仿宋" w:eastAsia="仿宋" w:cs="仿宋"/>
          <w:b/>
          <w:bCs/>
          <w:i w:val="0"/>
          <w:iCs w:val="0"/>
          <w:color w:val="auto"/>
          <w:sz w:val="24"/>
          <w:szCs w:val="24"/>
          <w:highlight w:val="none"/>
          <w:lang w:val="en-US" w:eastAsia="zh-CN"/>
        </w:rPr>
        <w:t>联系方式</w:t>
      </w:r>
      <w:bookmarkEnd w:id="22"/>
      <w:bookmarkEnd w:id="23"/>
      <w:bookmarkEnd w:id="24"/>
      <w:bookmarkEnd w:id="25"/>
      <w:bookmarkEnd w:id="26"/>
      <w:bookmarkEnd w:id="27"/>
      <w:bookmarkEnd w:id="28"/>
    </w:p>
    <w:p>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重庆工业职业技术学院</w:t>
      </w:r>
      <w:r>
        <w:rPr>
          <w:rFonts w:hint="eastAsia" w:ascii="仿宋" w:hAnsi="仿宋" w:eastAsia="仿宋" w:cs="仿宋"/>
          <w:color w:val="auto"/>
          <w:sz w:val="24"/>
          <w:szCs w:val="24"/>
          <w:highlight w:val="none"/>
          <w:lang w:val="en-US" w:eastAsia="zh-CN"/>
        </w:rPr>
        <w:t>采购与招投标中心</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贺</w:t>
      </w:r>
      <w:r>
        <w:rPr>
          <w:rFonts w:hint="eastAsia" w:ascii="仿宋" w:hAnsi="仿宋" w:eastAsia="仿宋" w:cs="仿宋"/>
          <w:color w:val="auto"/>
          <w:sz w:val="24"/>
          <w:szCs w:val="24"/>
          <w:highlight w:val="none"/>
        </w:rPr>
        <w:t>老师</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话：023-</w:t>
      </w:r>
      <w:r>
        <w:rPr>
          <w:rFonts w:hint="eastAsia" w:ascii="仿宋" w:hAnsi="仿宋" w:eastAsia="仿宋" w:cs="仿宋"/>
          <w:color w:val="auto"/>
          <w:sz w:val="24"/>
          <w:szCs w:val="24"/>
          <w:highlight w:val="none"/>
          <w:lang w:val="en-US" w:eastAsia="zh-CN"/>
        </w:rPr>
        <w:t>61879216</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址：重庆工业职业技术学院（重庆市渝北区空港桃源大道1000号）</w:t>
      </w:r>
    </w:p>
    <w:p>
      <w:pPr>
        <w:spacing w:line="400" w:lineRule="exac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六</w:t>
      </w:r>
      <w:r>
        <w:rPr>
          <w:rFonts w:hint="eastAsia" w:ascii="仿宋" w:hAnsi="仿宋" w:eastAsia="仿宋" w:cs="仿宋"/>
          <w:b/>
          <w:bCs/>
          <w:i w:val="0"/>
          <w:iCs w:val="0"/>
          <w:color w:val="auto"/>
          <w:sz w:val="24"/>
          <w:szCs w:val="24"/>
          <w:highlight w:val="none"/>
        </w:rPr>
        <w:t>、其它有关规定</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w:t>
      </w:r>
      <w:r>
        <w:rPr>
          <w:rFonts w:hint="eastAsia" w:ascii="仿宋" w:hAnsi="仿宋" w:eastAsia="仿宋" w:cs="仿宋"/>
          <w:color w:val="auto"/>
          <w:sz w:val="24"/>
          <w:szCs w:val="24"/>
          <w:highlight w:val="none"/>
          <w:lang w:val="en-US" w:eastAsia="zh-CN"/>
        </w:rPr>
        <w:t>竞</w:t>
      </w:r>
      <w:r>
        <w:rPr>
          <w:rFonts w:hint="eastAsia" w:ascii="仿宋" w:hAnsi="仿宋" w:eastAsia="仿宋" w:cs="仿宋"/>
          <w:color w:val="auto"/>
          <w:sz w:val="24"/>
          <w:szCs w:val="24"/>
          <w:highlight w:val="none"/>
        </w:rPr>
        <w:t>采活动，否则均为无效响应。</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（三）（四）超过响应文件截止时间递交的响应文件，恕不接收。</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（四）竞采费用：无论竞采结果如何，供应商参与本项目竞采的所有</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费用均应由供应商自行承担。</w:t>
      </w:r>
    </w:p>
    <w:p>
      <w:pPr>
        <w:snapToGrid w:val="0"/>
        <w:spacing w:line="400" w:lineRule="exact"/>
        <w:ind w:firstLine="361" w:firstLineChars="15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本项目不接受联合体参与竞采</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p>
    <w:p>
      <w:pPr>
        <w:snapToGrid w:val="0"/>
        <w:spacing w:line="400" w:lineRule="exact"/>
        <w:ind w:firstLine="361" w:firstLineChars="15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本项目不接受合同分包，</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r>
        <w:rPr>
          <w:rFonts w:hint="eastAsia" w:ascii="仿宋" w:hAnsi="仿宋" w:eastAsia="仿宋" w:cs="仿宋"/>
          <w:b/>
          <w:bCs/>
          <w:color w:val="auto"/>
          <w:sz w:val="24"/>
          <w:szCs w:val="24"/>
          <w:highlight w:val="none"/>
          <w:lang w:val="en-US" w:eastAsia="zh-CN"/>
        </w:rPr>
        <w:t>。</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参</w:t>
      </w:r>
      <w:r>
        <w:rPr>
          <w:rFonts w:hint="eastAsia" w:ascii="仿宋" w:hAnsi="仿宋" w:eastAsia="仿宋" w:cs="仿宋"/>
          <w:color w:val="auto"/>
          <w:sz w:val="24"/>
          <w:szCs w:val="24"/>
          <w:highlight w:val="none"/>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b/>
          <w:bCs/>
          <w:color w:val="auto"/>
          <w:sz w:val="24"/>
          <w:szCs w:val="24"/>
          <w:highlight w:val="none"/>
          <w:lang w:val="en-US" w:eastAsia="zh-CN"/>
        </w:rPr>
        <w:t>或违反云平台相关规则、规定的供应商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将拒绝其参与</w:t>
      </w:r>
      <w:r>
        <w:rPr>
          <w:rFonts w:hint="eastAsia" w:ascii="仿宋" w:hAnsi="仿宋" w:eastAsia="仿宋" w:cs="仿宋"/>
          <w:color w:val="auto"/>
          <w:sz w:val="24"/>
          <w:szCs w:val="24"/>
          <w:highlight w:val="none"/>
          <w:lang w:val="en-US" w:eastAsia="zh-CN"/>
        </w:rPr>
        <w:t>网上竞采</w:t>
      </w:r>
      <w:r>
        <w:rPr>
          <w:rFonts w:hint="eastAsia" w:ascii="仿宋" w:hAnsi="仿宋" w:eastAsia="仿宋" w:cs="仿宋"/>
          <w:color w:val="auto"/>
          <w:sz w:val="24"/>
          <w:szCs w:val="24"/>
          <w:highlight w:val="none"/>
        </w:rPr>
        <w:t>活动。</w:t>
      </w:r>
    </w:p>
    <w:p>
      <w:pPr>
        <w:spacing w:line="400" w:lineRule="exact"/>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七、供应商提交响应文件</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供应商线上报名、报价时需上传盖章后的电子文档一份。</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采购人将以平台的线上资料作为评判依据。</w:t>
      </w:r>
    </w:p>
    <w:p>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供应商制作的响应文件电子文档，须按照要求制作，规定签字、盖章的地方必须按其规定签字、盖章，未按要求制作响应文件的</w:t>
      </w:r>
      <w:r>
        <w:rPr>
          <w:rFonts w:hint="eastAsia" w:ascii="仿宋" w:hAnsi="仿宋" w:eastAsia="仿宋" w:cs="仿宋"/>
          <w:color w:val="auto"/>
          <w:sz w:val="24"/>
          <w:szCs w:val="24"/>
          <w:highlight w:val="none"/>
          <w:lang w:val="en-US" w:eastAsia="zh-CN"/>
        </w:rPr>
        <w:t>按无效处理</w:t>
      </w:r>
      <w:r>
        <w:rPr>
          <w:rFonts w:hint="eastAsia" w:ascii="仿宋" w:hAnsi="仿宋" w:eastAsia="仿宋" w:cs="仿宋"/>
          <w:color w:val="auto"/>
          <w:sz w:val="24"/>
          <w:szCs w:val="24"/>
          <w:highlight w:val="none"/>
        </w:rPr>
        <w:t>。</w:t>
      </w:r>
    </w:p>
    <w:p>
      <w:pPr>
        <w:snapToGrid w:val="0"/>
        <w:spacing w:line="400" w:lineRule="exact"/>
        <w:ind w:firstLine="360" w:firstLineChars="150"/>
        <w:rPr>
          <w:rFonts w:hint="eastAsia" w:ascii="仿宋" w:hAnsi="仿宋" w:eastAsia="仿宋" w:cs="仿宋"/>
          <w:color w:val="auto"/>
          <w:sz w:val="24"/>
          <w:szCs w:val="24"/>
          <w:highlight w:val="none"/>
        </w:rPr>
      </w:pPr>
    </w:p>
    <w:p>
      <w:pPr>
        <w:pStyle w:val="5"/>
        <w:ind w:left="0" w:leftChars="0" w:firstLine="0" w:firstLineChars="0"/>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ind w:left="0" w:leftChars="0" w:firstLine="0" w:firstLineChars="0"/>
        <w:rPr>
          <w:rFonts w:hint="eastAsia"/>
        </w:rPr>
      </w:pPr>
    </w:p>
    <w:p>
      <w:pPr>
        <w:rPr>
          <w:rFonts w:hint="eastAsia"/>
        </w:rPr>
      </w:pPr>
    </w:p>
    <w:p>
      <w:pPr>
        <w:pStyle w:val="2"/>
        <w:rPr>
          <w:rFonts w:hint="eastAsia"/>
        </w:rPr>
      </w:pPr>
    </w:p>
    <w:p>
      <w:pPr>
        <w:rPr>
          <w:rFonts w:hint="eastAsia"/>
        </w:rPr>
      </w:pPr>
    </w:p>
    <w:p>
      <w:pPr>
        <w:numPr>
          <w:ilvl w:val="0"/>
          <w:numId w:val="4"/>
        </w:numPr>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项目</w:t>
      </w:r>
      <w:r>
        <w:rPr>
          <w:rFonts w:hint="eastAsia" w:ascii="仿宋" w:hAnsi="仿宋" w:eastAsia="仿宋" w:cs="仿宋"/>
          <w:b/>
          <w:bCs/>
          <w:i w:val="0"/>
          <w:iCs w:val="0"/>
          <w:color w:val="auto"/>
          <w:sz w:val="36"/>
          <w:szCs w:val="36"/>
          <w:highlight w:val="none"/>
          <w:lang w:val="en-US" w:eastAsia="zh-CN"/>
        </w:rPr>
        <w:t>技术</w:t>
      </w:r>
      <w:r>
        <w:rPr>
          <w:rFonts w:hint="eastAsia" w:ascii="仿宋" w:hAnsi="仿宋" w:eastAsia="仿宋" w:cs="仿宋"/>
          <w:b/>
          <w:bCs/>
          <w:i w:val="0"/>
          <w:iCs w:val="0"/>
          <w:color w:val="auto"/>
          <w:sz w:val="36"/>
          <w:szCs w:val="36"/>
          <w:highlight w:val="none"/>
        </w:rPr>
        <w:t>需求</w:t>
      </w:r>
    </w:p>
    <w:p>
      <w:pPr>
        <w:pStyle w:val="5"/>
        <w:bidi w:val="0"/>
        <w:jc w:val="left"/>
        <w:rPr>
          <w:rFonts w:hint="default"/>
          <w:lang w:val="en-US"/>
        </w:rPr>
      </w:pPr>
    </w:p>
    <w:tbl>
      <w:tblPr>
        <w:tblStyle w:val="15"/>
        <w:tblW w:w="10406" w:type="dxa"/>
        <w:jc w:val="center"/>
        <w:tblLayout w:type="fixed"/>
        <w:tblCellMar>
          <w:top w:w="0" w:type="dxa"/>
          <w:left w:w="108" w:type="dxa"/>
          <w:bottom w:w="0" w:type="dxa"/>
          <w:right w:w="108" w:type="dxa"/>
        </w:tblCellMar>
      </w:tblPr>
      <w:tblGrid>
        <w:gridCol w:w="505"/>
        <w:gridCol w:w="870"/>
        <w:gridCol w:w="4350"/>
        <w:gridCol w:w="3462"/>
        <w:gridCol w:w="604"/>
        <w:gridCol w:w="615"/>
      </w:tblGrid>
      <w:tr>
        <w:tblPrEx>
          <w:tblCellMar>
            <w:top w:w="0" w:type="dxa"/>
            <w:left w:w="108" w:type="dxa"/>
            <w:bottom w:w="0" w:type="dxa"/>
            <w:right w:w="108" w:type="dxa"/>
          </w:tblCellMar>
        </w:tblPrEx>
        <w:trPr>
          <w:cantSplit/>
          <w:trHeight w:val="1645" w:hRule="atLeast"/>
          <w:jc w:val="center"/>
        </w:trPr>
        <w:tc>
          <w:tcPr>
            <w:tcW w:w="5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序号</w:t>
            </w:r>
          </w:p>
        </w:tc>
        <w:tc>
          <w:tcPr>
            <w:tcW w:w="87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设备名称</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/品牌/型号</w:t>
            </w:r>
          </w:p>
        </w:tc>
        <w:tc>
          <w:tcPr>
            <w:tcW w:w="4350" w:type="dxa"/>
            <w:tcBorders>
              <w:top w:val="single" w:color="000000" w:sz="6" w:space="0"/>
              <w:left w:val="single" w:color="000000" w:sz="4" w:space="0"/>
              <w:bottom w:val="single" w:color="000000"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产品规格与性能参数</w:t>
            </w:r>
          </w:p>
        </w:tc>
        <w:tc>
          <w:tcPr>
            <w:tcW w:w="34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参考图片</w:t>
            </w:r>
          </w:p>
        </w:tc>
        <w:tc>
          <w:tcPr>
            <w:tcW w:w="6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单位</w:t>
            </w:r>
          </w:p>
        </w:tc>
        <w:tc>
          <w:tcPr>
            <w:tcW w:w="6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数量</w:t>
            </w:r>
          </w:p>
        </w:tc>
      </w:tr>
      <w:tr>
        <w:tblPrEx>
          <w:tblCellMar>
            <w:top w:w="0" w:type="dxa"/>
            <w:left w:w="108" w:type="dxa"/>
            <w:bottom w:w="0" w:type="dxa"/>
            <w:right w:w="108" w:type="dxa"/>
          </w:tblCellMar>
        </w:tblPrEx>
        <w:trPr>
          <w:cantSplit/>
          <w:trHeight w:val="579" w:hRule="atLeast"/>
          <w:jc w:val="center"/>
        </w:trPr>
        <w:tc>
          <w:tcPr>
            <w:tcW w:w="5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87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z w:val="21"/>
                <w:szCs w:val="21"/>
                <w:lang w:val="en-US" w:eastAsia="zh-CN"/>
              </w:rPr>
            </w:pPr>
            <w:r>
              <w:rPr>
                <w:rFonts w:hint="eastAsia" w:ascii="仿宋" w:hAnsi="仿宋" w:eastAsia="仿宋" w:cs="仿宋"/>
                <w:sz w:val="21"/>
                <w:szCs w:val="21"/>
              </w:rPr>
              <w:t>礼堂椅</w:t>
            </w:r>
          </w:p>
        </w:tc>
        <w:tc>
          <w:tcPr>
            <w:tcW w:w="435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座椅扶手中心距≥580mm，背高≥1000mm，座高≥450mm，座深≥440mm。</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1.背海棉：采用高密度冷发泡PU定型海棉。背海棉长度≥720mm，宽度≥480mm，头顶厚度≥90mm，海棉密度≥50KG/M3。</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2、座海棉：采用高密度冷发泡PU定型海棉。座海棉长度≥510mm，宽度≥460mm，厚度≥140mm，海棉密度≥55KG/M3。</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3、面料采用耐磨耐脏的高档麻绒布，颜色可选。木饰面油漆部分采用环保净味油漆。</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4、写字板：后置弯刀折叠写字板，铝合金封边。后带杯桶。</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5、背内板：采用优质夹板经模具压弯成型。外型成弧型，美观大方具有曲线美。尺寸规格：长度≥690 mm，宽度≥425mm，厚度≥10mm。</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6、背外板：背板材料七层硬木成型板，经高周波，高压制成，承托力强，耐冲击，抗变形，尺寸规格：长度≥765 mm，宽度≥500 mm，厚度≥15mm。椅座：七层硬木成型板，经高温周波，高压制成，承托力强，耐冲击，抗变形，附独特蜂窝式吸音气孔，整体吸音率0.5，全场能在0.1秒内消除回音，保证座椅的良好透气性能和整个会场无噪音，尺寸规格：长度≥460mm，宽度≥430 mm，厚度≥15mm。</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7、脚架上扶手框采用不低于1.5mm厚度的冷轧钢，尺寸：高≥355mm，长≥405mm，宽≥80mm，扶手面两合页距离≥163mm，内插侧板，防脱落，外观平整。不同于市场上的外挂侧板，容易脱落。铝合金下站脚为尺寸不低于380*230*100mm的渐粗式椭圆柱，椭圆柱上端尺寸不低于120* 60mm，下端尺寸不低于275*100mm，下端椭圆柱与底脚相切，底脚尺寸不低于380*100*30mm的椭圆柱，侧面传统中式图案浮雕，富含古风韵味，线条丝滑流畅。</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8、膨胀螺丝长度不低于6CM，配套膨胀管，使座椅与地面牢固紧锁。</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9、采用不低于9圈的直径为220mm的弹力弹簧。</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 xml:space="preserve">10、座位内置铁框，回位挡铁归位出加静音密封胶圈，使的座包回到终点位置时，没有撞击声音。无杂音，零故障。                            </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bCs/>
                <w:sz w:val="21"/>
                <w:szCs w:val="21"/>
              </w:rPr>
            </w:pPr>
            <w:r>
              <w:rPr>
                <w:rFonts w:hint="eastAsia" w:ascii="仿宋" w:hAnsi="仿宋" w:eastAsia="仿宋" w:cs="仿宋"/>
                <w:b w:val="0"/>
                <w:bCs/>
                <w:sz w:val="21"/>
                <w:szCs w:val="21"/>
                <w:lang w:val="en-US" w:eastAsia="zh-CN"/>
              </w:rPr>
              <w:t xml:space="preserve">11、采用内藏阻尼器慢自动回复装置，使椅座能自动复位。 </w:t>
            </w:r>
          </w:p>
        </w:tc>
        <w:tc>
          <w:tcPr>
            <w:tcW w:w="34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r>
              <w:rPr>
                <w:rFonts w:hint="eastAsia" w:ascii="宋体" w:hAnsi="宋体" w:eastAsia="宋体" w:cs="宋体"/>
                <w:i w:val="0"/>
                <w:iCs w:val="0"/>
                <w:color w:val="000000"/>
                <w:kern w:val="2"/>
                <w:sz w:val="20"/>
                <w:szCs w:val="20"/>
                <w:u w:val="none"/>
                <w:lang w:val="en-US" w:eastAsia="zh-CN" w:bidi="ar-SA"/>
              </w:rPr>
              <w:drawing>
                <wp:anchor distT="0" distB="0" distL="114300" distR="114300" simplePos="0" relativeHeight="251659264" behindDoc="1" locked="0" layoutInCell="1" allowOverlap="1">
                  <wp:simplePos x="0" y="0"/>
                  <wp:positionH relativeFrom="column">
                    <wp:posOffset>-31115</wp:posOffset>
                  </wp:positionH>
                  <wp:positionV relativeFrom="paragraph">
                    <wp:posOffset>2657475</wp:posOffset>
                  </wp:positionV>
                  <wp:extent cx="2060575" cy="2320290"/>
                  <wp:effectExtent l="0" t="0" r="15875" b="3810"/>
                  <wp:wrapNone/>
                  <wp:docPr id="1" name="图片 1" descr="7e809c1559c1c311063eb2542fc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e809c1559c1c311063eb2542fc0817"/>
                          <pic:cNvPicPr>
                            <a:picLocks noChangeAspect="1"/>
                          </pic:cNvPicPr>
                        </pic:nvPicPr>
                        <pic:blipFill>
                          <a:blip r:embed="rId8"/>
                          <a:srcRect t="10490" b="5058"/>
                          <a:stretch>
                            <a:fillRect/>
                          </a:stretch>
                        </pic:blipFill>
                        <pic:spPr>
                          <a:xfrm>
                            <a:off x="0" y="0"/>
                            <a:ext cx="2060575" cy="2320290"/>
                          </a:xfrm>
                          <a:prstGeom prst="rect">
                            <a:avLst/>
                          </a:prstGeom>
                        </pic:spPr>
                      </pic:pic>
                    </a:graphicData>
                  </a:graphic>
                </wp:anchor>
              </w:drawing>
            </w:r>
          </w:p>
        </w:tc>
        <w:tc>
          <w:tcPr>
            <w:tcW w:w="6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套</w:t>
            </w:r>
          </w:p>
        </w:tc>
        <w:tc>
          <w:tcPr>
            <w:tcW w:w="6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304</w:t>
            </w:r>
          </w:p>
        </w:tc>
      </w:tr>
      <w:tr>
        <w:tblPrEx>
          <w:tblCellMar>
            <w:top w:w="0" w:type="dxa"/>
            <w:left w:w="108" w:type="dxa"/>
            <w:bottom w:w="0" w:type="dxa"/>
            <w:right w:w="108" w:type="dxa"/>
          </w:tblCellMar>
        </w:tblPrEx>
        <w:trPr>
          <w:cantSplit/>
          <w:trHeight w:val="4599" w:hRule="atLeast"/>
          <w:jc w:val="center"/>
        </w:trPr>
        <w:tc>
          <w:tcPr>
            <w:tcW w:w="5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70"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1"/>
                <w:szCs w:val="21"/>
              </w:rPr>
              <w:t>实木桌</w:t>
            </w:r>
          </w:p>
        </w:tc>
        <w:tc>
          <w:tcPr>
            <w:tcW w:w="4350" w:type="dxa"/>
            <w:tcBorders>
              <w:top w:val="single" w:color="000000" w:sz="4" w:space="0"/>
              <w:left w:val="single" w:color="000000" w:sz="4" w:space="0"/>
              <w:bottom w:val="single" w:color="000000" w:sz="4" w:space="0"/>
              <w:right w:val="single" w:color="auto" w:sz="4" w:space="0"/>
            </w:tcBorders>
            <w:noWrap w:val="0"/>
            <w:vAlign w:val="center"/>
          </w:tcPr>
          <w:p>
            <w:pPr>
              <w:pStyle w:val="2"/>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用料：颗粒板免漆装饰面板。</w:t>
            </w:r>
          </w:p>
          <w:p>
            <w:pPr>
              <w:pStyle w:val="2"/>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尺寸：长≥1200mm，高≥700mm，宽≥400mm。</w:t>
            </w:r>
          </w:p>
          <w:p>
            <w:pPr>
              <w:pStyle w:val="2"/>
              <w:spacing w:line="240" w:lineRule="auto"/>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厚度：不低于30mm。</w:t>
            </w:r>
          </w:p>
          <w:p>
            <w:pPr>
              <w:pStyle w:val="2"/>
              <w:spacing w:line="240" w:lineRule="auto"/>
              <w:jc w:val="left"/>
              <w:rPr>
                <w:rFonts w:hint="default"/>
                <w:lang w:val="en-US" w:eastAsia="zh-CN"/>
              </w:rPr>
            </w:pPr>
            <w:r>
              <w:rPr>
                <w:rFonts w:hint="eastAsia" w:ascii="仿宋" w:hAnsi="仿宋" w:eastAsia="仿宋" w:cs="仿宋"/>
                <w:b w:val="0"/>
                <w:bCs/>
                <w:sz w:val="21"/>
                <w:szCs w:val="21"/>
                <w:lang w:val="en-US" w:eastAsia="zh-CN"/>
              </w:rPr>
              <w:t>颜色：红胡桃色。</w:t>
            </w:r>
          </w:p>
        </w:tc>
        <w:tc>
          <w:tcPr>
            <w:tcW w:w="34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Cs/>
                <w:sz w:val="21"/>
                <w:szCs w:val="21"/>
                <w:lang w:val="en-US" w:eastAsia="zh-CN"/>
              </w:rPr>
            </w:pPr>
            <w:r>
              <w:rPr>
                <w:rFonts w:hint="eastAsia" w:ascii="宋体" w:hAnsi="宋体" w:cs="宋体"/>
                <w:i w:val="0"/>
                <w:iCs w:val="0"/>
                <w:color w:val="000000"/>
                <w:kern w:val="2"/>
                <w:sz w:val="20"/>
                <w:szCs w:val="20"/>
                <w:u w:val="none"/>
                <w:lang w:val="en-US" w:eastAsia="zh-CN" w:bidi="ar-SA"/>
              </w:rPr>
              <w:drawing>
                <wp:anchor distT="0" distB="0" distL="114300" distR="114300" simplePos="0" relativeHeight="251660288" behindDoc="1" locked="0" layoutInCell="1" allowOverlap="1">
                  <wp:simplePos x="0" y="0"/>
                  <wp:positionH relativeFrom="column">
                    <wp:posOffset>-47625</wp:posOffset>
                  </wp:positionH>
                  <wp:positionV relativeFrom="paragraph">
                    <wp:posOffset>438785</wp:posOffset>
                  </wp:positionV>
                  <wp:extent cx="2167890" cy="1864995"/>
                  <wp:effectExtent l="0" t="0" r="3810" b="1905"/>
                  <wp:wrapNone/>
                  <wp:docPr id="2" name="图片 2" descr="9267f0504df655b61f07d3f660e9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67f0504df655b61f07d3f660e9efa"/>
                          <pic:cNvPicPr>
                            <a:picLocks noChangeAspect="1"/>
                          </pic:cNvPicPr>
                        </pic:nvPicPr>
                        <pic:blipFill>
                          <a:blip r:embed="rId9"/>
                          <a:srcRect l="3612" t="12491" r="2632" b="7961"/>
                          <a:stretch>
                            <a:fillRect/>
                          </a:stretch>
                        </pic:blipFill>
                        <pic:spPr>
                          <a:xfrm>
                            <a:off x="0" y="0"/>
                            <a:ext cx="2167890" cy="1864995"/>
                          </a:xfrm>
                          <a:prstGeom prst="rect">
                            <a:avLst/>
                          </a:prstGeom>
                        </pic:spPr>
                      </pic:pic>
                    </a:graphicData>
                  </a:graphic>
                </wp:anchor>
              </w:drawing>
            </w:r>
          </w:p>
        </w:tc>
        <w:tc>
          <w:tcPr>
            <w:tcW w:w="6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Cs/>
                <w:sz w:val="24"/>
                <w:szCs w:val="24"/>
                <w:lang w:val="en-US" w:eastAsia="zh-CN"/>
              </w:rPr>
            </w:pPr>
            <w:r>
              <w:rPr>
                <w:rFonts w:hint="eastAsia" w:ascii="仿宋" w:hAnsi="仿宋" w:eastAsia="仿宋" w:cs="仿宋"/>
                <w:bCs/>
                <w:sz w:val="21"/>
                <w:szCs w:val="21"/>
                <w:lang w:val="en-US" w:eastAsia="zh-CN"/>
              </w:rPr>
              <w:t>张</w:t>
            </w:r>
          </w:p>
        </w:tc>
        <w:tc>
          <w:tcPr>
            <w:tcW w:w="61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r>
    </w:tbl>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pStyle w:val="21"/>
        <w:rPr>
          <w:rFonts w:hint="default"/>
          <w:lang w:val="en-US"/>
        </w:rPr>
      </w:pPr>
    </w:p>
    <w:p>
      <w:pPr>
        <w:numPr>
          <w:ilvl w:val="0"/>
          <w:numId w:val="4"/>
        </w:numPr>
        <w:jc w:val="center"/>
        <w:rPr>
          <w:rFonts w:hint="eastAsia" w:ascii="仿宋" w:hAnsi="仿宋" w:eastAsia="仿宋" w:cs="仿宋"/>
          <w:b/>
          <w:bCs/>
          <w:i w:val="0"/>
          <w:iCs w:val="0"/>
          <w:color w:val="auto"/>
          <w:sz w:val="36"/>
          <w:szCs w:val="36"/>
          <w:highlight w:val="none"/>
          <w:lang w:val="en-US" w:eastAsia="zh-CN"/>
        </w:rPr>
      </w:pPr>
      <w:r>
        <w:rPr>
          <w:rFonts w:hint="eastAsia" w:ascii="仿宋" w:hAnsi="仿宋" w:eastAsia="仿宋" w:cs="仿宋"/>
          <w:b/>
          <w:bCs/>
          <w:i w:val="0"/>
          <w:iCs w:val="0"/>
          <w:color w:val="auto"/>
          <w:sz w:val="36"/>
          <w:szCs w:val="36"/>
          <w:highlight w:val="none"/>
          <w:lang w:val="en-US" w:eastAsia="zh-CN"/>
        </w:rPr>
        <w:t>商务需求部分</w:t>
      </w:r>
    </w:p>
    <w:p>
      <w:pPr>
        <w:pStyle w:val="5"/>
        <w:rPr>
          <w:rFonts w:hint="eastAsia"/>
          <w:lang w:val="en-US" w:eastAsia="zh-CN"/>
        </w:rPr>
      </w:pPr>
    </w:p>
    <w:p>
      <w:pPr>
        <w:spacing w:line="400" w:lineRule="exact"/>
        <w:rPr>
          <w:rFonts w:hint="eastAsia" w:ascii="仿宋" w:hAnsi="仿宋" w:eastAsia="仿宋" w:cs="仿宋"/>
          <w:b/>
          <w:bCs/>
          <w:color w:val="auto"/>
          <w:sz w:val="24"/>
          <w:szCs w:val="24"/>
          <w:highlight w:val="none"/>
        </w:rPr>
      </w:pPr>
      <w:bookmarkStart w:id="29" w:name="_Toc76462328"/>
      <w:bookmarkStart w:id="30" w:name="_Toc344475120"/>
      <w:bookmarkStart w:id="31" w:name="_Toc106030883"/>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交货</w:t>
      </w:r>
      <w:r>
        <w:rPr>
          <w:rFonts w:hint="eastAsia" w:ascii="仿宋" w:hAnsi="仿宋" w:eastAsia="仿宋" w:cs="仿宋"/>
          <w:b/>
          <w:bCs/>
          <w:color w:val="auto"/>
          <w:sz w:val="24"/>
          <w:szCs w:val="24"/>
          <w:highlight w:val="none"/>
        </w:rPr>
        <w:t>期、地点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质量保证</w:t>
      </w:r>
      <w:r>
        <w:rPr>
          <w:rFonts w:hint="eastAsia" w:ascii="仿宋" w:hAnsi="仿宋" w:eastAsia="仿宋" w:cs="仿宋"/>
          <w:b/>
          <w:bCs/>
          <w:color w:val="auto"/>
          <w:sz w:val="24"/>
          <w:szCs w:val="24"/>
          <w:highlight w:val="none"/>
        </w:rPr>
        <w:t>及验收方式</w:t>
      </w:r>
      <w:bookmarkEnd w:id="29"/>
      <w:bookmarkEnd w:id="30"/>
      <w:bookmarkEnd w:id="31"/>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（一）交货期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供应商应在采购合同签订</w:t>
      </w:r>
      <w:r>
        <w:rPr>
          <w:rFonts w:hint="eastAsia" w:ascii="仿宋" w:hAnsi="仿宋" w:eastAsia="仿宋" w:cs="仿宋"/>
          <w:color w:val="auto"/>
          <w:sz w:val="24"/>
          <w:szCs w:val="24"/>
          <w:highlight w:val="none"/>
          <w:lang w:val="en-US" w:eastAsia="zh-CN"/>
        </w:rPr>
        <w:t>起15</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val="en-US" w:eastAsia="zh-CN"/>
        </w:rPr>
        <w:t>工作日</w:t>
      </w:r>
      <w:r>
        <w:rPr>
          <w:rFonts w:hint="eastAsia" w:ascii="仿宋" w:hAnsi="仿宋" w:eastAsia="仿宋" w:cs="仿宋"/>
          <w:color w:val="auto"/>
          <w:sz w:val="24"/>
          <w:szCs w:val="24"/>
          <w:highlight w:val="none"/>
        </w:rPr>
        <w:t>内交货并完成安装。供货方必须按照约定时间如期完成项目，超过约定期限1天，每天应按合同总价款的千分之</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计算支付赔偿金给采购方，同时每逾期完成1天，项目款支付顺延十五天，以此类推，但供货方安装调试验收延期时间不超过15个工作日；超过15个工作日（含），甲方有权解除合同及与合同有关文件（包括但不限于网上竞采文件、技术和服务要求、承诺书等）。</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（二）交货地点</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交货地点：重庆工业职业技术学院（重庆市渝北区空港桃源大道1000号）第三教学楼三楼301阶梯教室</w:t>
      </w:r>
    </w:p>
    <w:p>
      <w:pPr>
        <w:pStyle w:val="5"/>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联系人：杨</w:t>
      </w:r>
      <w:r>
        <w:rPr>
          <w:rFonts w:hint="default" w:ascii="仿宋" w:hAnsi="仿宋" w:eastAsia="仿宋" w:cs="仿宋"/>
          <w:b w:val="0"/>
          <w:color w:val="auto"/>
          <w:kern w:val="2"/>
          <w:sz w:val="24"/>
          <w:szCs w:val="24"/>
          <w:highlight w:val="none"/>
          <w:lang w:val="en-US" w:eastAsia="zh-CN" w:bidi="ar-SA"/>
        </w:rPr>
        <w:t>老师，17774980361</w:t>
      </w:r>
    </w:p>
    <w:p>
      <w:pPr>
        <w:pStyle w:val="5"/>
        <w:numPr>
          <w:ilvl w:val="0"/>
          <w:numId w:val="5"/>
        </w:num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质量保证</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整体投标产品免费质量保证期不低于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年（包括人工费、材料费、需更换的所有配件在整体质保期内均不收取任何费用）。货物在使用过程中，若出现货物达不到验收标准的，供应商须无条件换货，并承担一切损失。</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供应商所供货物必须是全新的原装正品</w:t>
      </w:r>
      <w:r>
        <w:rPr>
          <w:rFonts w:hint="eastAsia" w:ascii="仿宋" w:hAnsi="仿宋" w:eastAsia="仿宋" w:cs="仿宋"/>
          <w:color w:val="auto"/>
          <w:sz w:val="24"/>
          <w:szCs w:val="24"/>
          <w:highlight w:val="none"/>
          <w:lang w:val="en-US" w:eastAsia="zh-CN"/>
        </w:rPr>
        <w:t>且为最近半年内生产全新产品</w:t>
      </w:r>
      <w:r>
        <w:rPr>
          <w:rFonts w:hint="eastAsia" w:ascii="仿宋" w:hAnsi="仿宋" w:eastAsia="仿宋" w:cs="仿宋"/>
          <w:color w:val="auto"/>
          <w:sz w:val="24"/>
          <w:szCs w:val="24"/>
          <w:highlight w:val="none"/>
        </w:rPr>
        <w:t>，完全符合国家最新有关技术安全标准，产品包装上必须有完好的生产厂家、规格型号、出厂号等有效信息，且不得开封，否则采购方有权将其视为“三无”产品或旧品而拒收；供应商所供货物的数量、型号、规格、生产厂家等必须与合同相符，否则采购方有权拒收。</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投标人的质量保证期承诺优于国家“三包”规定的，按投标人实际承诺执行。</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备品备件及易损件中标人和制造商售后服务中，维修使用的备品备件及易损件应为原厂配件，未经采购人同意不得使用非原厂配件。</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售后服务内容</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投标人和制造商在质量保证期内应当为采购人提供以下技术支持和服务：</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（1）电话咨询</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中标人和制造商应当为采购人提供技术援助电话，解答采购人在使用中遇到的问题，及时为采购人提出解决问题的建议。</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（2）现场响应</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采购人遇到使用及技术问题，电话咨询不能解决的，中标人和制造商应在2小内到达现场进行处理，确保产品正常工作；主要部件无法在4小时内解决的，应在8小时内提供备用产品，使采购人能够正常使用。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（3）技术升级</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在质保期内，如果中标人和制造商的产品技术升级，供应商应及时通知采购人，如采购人有相应要求，中标人和制造商应对采购人购买的产品进行升级服务。</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质保期外服务要求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（1）质量保证期过后，供应商和制造商应同样提供免费电话咨询服务，并应承诺提供产品上门维护服务。</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（2）质量保证期过后，采购人需要继续由原供应商和制造商提供售后服务的，该供应商和制造商应以优惠价格提供售后服务。</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验收方式</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货物到达现场后，中标人应在使用单位人员在场情况下当面开箱，共同清点检查外观，检查完毕后方可进入下一步验收程序，不满足网上竞采文件技术参数要求不予验收并要求中标人在3个日历日内更换至符合技术参数要求的产品。具备验收条件后由供应商向采购人提出验收申请并填写验收申请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2.供应商应保证货物到达用户所在地完好无损，如有缺漏、损坏，由供应商负责调换、补齐或赔偿。</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3.供应商应提供完备的技术资料、装箱单和合格证等，并派遣专业技术人员进行现场安装调试。验收合格条件如下：</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（1）设备品种、规格、数量、技术参数以及商品品牌、生产厂家等与采购合同一致，性能指标达到规定的标准。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（2）货物技术资料、装箱单、合格证等资料齐全。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（3）在规定时间内完成交货并验收，并经采购人确认。</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4.产品在安装调试并试运行符合要求。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5.供应商提供的货物未达到网上采购规定要求，且对采购人造成损失的，由供应商承担一切责任，并赔偿所造成的损失。</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中标人提供的货物必要时需接受国家认可的质量检测机构</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不合格的，采购人有权终止合同。</w:t>
      </w:r>
    </w:p>
    <w:p>
      <w:pPr>
        <w:pStyle w:val="5"/>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color w:val="auto"/>
          <w:kern w:val="2"/>
          <w:sz w:val="24"/>
          <w:szCs w:val="24"/>
          <w:highlight w:val="none"/>
          <w:lang w:val="en-US" w:eastAsia="zh-CN" w:bidi="ar-SA"/>
        </w:rPr>
        <w:t>本项目需整体达到验收合格，若仅完成部分内容，不给予验收合格认定。</w:t>
      </w:r>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二、报价要求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本次竞采报价共分为两轮，供应商必须要参与第一轮报价方可参与第二轮报价。每轮报价开始时间、报价截止时间、有效报价家数均以公告内容为准。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本项目为“交钥匙”</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以人民币报价，报价包括完成本项目所需的设备或货物购买（制造）费、辅材费、运输费、人工费、装卸费、安装调试费、培训费、验收费、包装物清除费及各种应纳的税费等全部费用。因成交供应商自身原因造成漏报、少报皆由其自行承担责任，采购人不再补偿。只能在采购预算限价范围内报价，且只能有一个有效报价，不得提交选择性报价及方案。</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竞价供应商须明确商品的品牌、满足技术参数要求、购置数量、单价和总价，并按要求上传相关证明材料。</w:t>
      </w:r>
      <w:bookmarkStart w:id="32" w:name="_Toc76462330"/>
      <w:bookmarkStart w:id="33" w:name="_Toc344475122"/>
      <w:bookmarkStart w:id="34" w:name="_Toc106030885"/>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三、付款方式</w:t>
      </w:r>
      <w:bookmarkEnd w:id="32"/>
      <w:bookmarkEnd w:id="33"/>
      <w:bookmarkEnd w:id="34"/>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完成和相关单位验收合格后，成交供应商向采购人开具合同金额的全额发票，采购人在5个工作日内以转账方式支付合同金额的100%（如遇采购人正常放假，支付时间顺延至采购人正常上班后起算支付时间）。</w:t>
      </w:r>
      <w:bookmarkStart w:id="35" w:name="_Toc344475124"/>
      <w:bookmarkStart w:id="36" w:name="_Toc106030886"/>
      <w:bookmarkStart w:id="37" w:name="_Toc76462331"/>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bookmarkEnd w:id="35"/>
      <w:bookmarkStart w:id="38" w:name="_Toc344475125"/>
      <w:r>
        <w:rPr>
          <w:rFonts w:hint="eastAsia" w:ascii="仿宋" w:hAnsi="仿宋" w:eastAsia="仿宋" w:cs="仿宋"/>
          <w:b/>
          <w:bCs/>
          <w:color w:val="auto"/>
          <w:sz w:val="24"/>
          <w:szCs w:val="24"/>
          <w:highlight w:val="none"/>
        </w:rPr>
        <w:t>其他</w:t>
      </w:r>
      <w:bookmarkEnd w:id="36"/>
      <w:bookmarkEnd w:id="37"/>
    </w:p>
    <w:bookmarkEnd w:id="38"/>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rPr>
      </w:pPr>
    </w:p>
    <w:p>
      <w:pPr>
        <w:pStyle w:val="5"/>
        <w:ind w:left="0" w:leftChars="0" w:firstLine="0" w:firstLineChars="0"/>
        <w:rPr>
          <w:rFonts w:hint="eastAsia"/>
        </w:rPr>
      </w:pPr>
    </w:p>
    <w:p>
      <w:pPr>
        <w:rPr>
          <w:rFonts w:hint="eastAsia" w:ascii="仿宋" w:hAnsi="仿宋" w:eastAsia="仿宋" w:cs="仿宋"/>
          <w:color w:val="auto"/>
          <w:sz w:val="24"/>
          <w:szCs w:val="24"/>
          <w:highlight w:val="none"/>
        </w:rPr>
      </w:pPr>
    </w:p>
    <w:p>
      <w:pPr>
        <w:numPr>
          <w:ilvl w:val="0"/>
          <w:numId w:val="4"/>
        </w:numPr>
        <w:ind w:left="0" w:leftChars="0" w:firstLine="0" w:firstLineChars="0"/>
        <w:jc w:val="center"/>
        <w:rPr>
          <w:rFonts w:hint="eastAsia" w:ascii="仿宋" w:hAnsi="仿宋" w:eastAsia="仿宋" w:cs="仿宋"/>
          <w:b/>
          <w:bCs/>
          <w:i w:val="0"/>
          <w:iCs w:val="0"/>
          <w:color w:val="auto"/>
          <w:sz w:val="36"/>
          <w:szCs w:val="36"/>
          <w:highlight w:val="none"/>
          <w:lang w:val="en-US" w:eastAsia="zh-CN"/>
        </w:rPr>
      </w:pPr>
      <w:bookmarkStart w:id="39" w:name="_Toc109836389"/>
      <w:r>
        <w:rPr>
          <w:rFonts w:hint="eastAsia" w:ascii="仿宋" w:hAnsi="仿宋" w:eastAsia="仿宋" w:cs="仿宋"/>
          <w:b/>
          <w:bCs/>
          <w:i w:val="0"/>
          <w:iCs w:val="0"/>
          <w:color w:val="auto"/>
          <w:sz w:val="36"/>
          <w:szCs w:val="36"/>
          <w:highlight w:val="none"/>
          <w:lang w:val="en-US" w:eastAsia="zh-CN"/>
        </w:rPr>
        <w:t>竞采程序、</w:t>
      </w:r>
      <w:r>
        <w:rPr>
          <w:rFonts w:hint="eastAsia" w:ascii="仿宋" w:hAnsi="仿宋" w:eastAsia="仿宋" w:cs="仿宋"/>
          <w:b/>
          <w:bCs/>
          <w:i w:val="0"/>
          <w:iCs w:val="0"/>
          <w:color w:val="auto"/>
          <w:sz w:val="36"/>
          <w:szCs w:val="36"/>
          <w:highlight w:val="none"/>
        </w:rPr>
        <w:t>评标办法</w:t>
      </w:r>
      <w:bookmarkEnd w:id="39"/>
      <w:r>
        <w:rPr>
          <w:rFonts w:hint="eastAsia" w:ascii="仿宋" w:hAnsi="仿宋" w:eastAsia="仿宋" w:cs="仿宋"/>
          <w:b/>
          <w:bCs/>
          <w:i w:val="0"/>
          <w:iCs w:val="0"/>
          <w:color w:val="auto"/>
          <w:sz w:val="36"/>
          <w:szCs w:val="36"/>
          <w:highlight w:val="none"/>
          <w:lang w:eastAsia="zh-CN"/>
        </w:rPr>
        <w:t>、</w:t>
      </w:r>
      <w:r>
        <w:rPr>
          <w:rFonts w:hint="eastAsia" w:ascii="仿宋" w:hAnsi="仿宋" w:eastAsia="仿宋" w:cs="仿宋"/>
          <w:b/>
          <w:bCs/>
          <w:i w:val="0"/>
          <w:iCs w:val="0"/>
          <w:color w:val="auto"/>
          <w:sz w:val="36"/>
          <w:szCs w:val="36"/>
          <w:highlight w:val="none"/>
          <w:lang w:val="en-US" w:eastAsia="zh-CN"/>
        </w:rPr>
        <w:t>无效响应及采购终止</w:t>
      </w:r>
    </w:p>
    <w:p>
      <w:pPr>
        <w:jc w:val="left"/>
        <w:rPr>
          <w:rFonts w:hint="eastAsia" w:ascii="仿宋" w:hAnsi="仿宋" w:eastAsia="仿宋" w:cs="仿宋"/>
          <w:b/>
          <w:bCs/>
          <w:i w:val="0"/>
          <w:iCs w:val="0"/>
          <w:color w:val="auto"/>
          <w:sz w:val="24"/>
          <w:szCs w:val="24"/>
          <w:highlight w:val="none"/>
        </w:rPr>
      </w:pPr>
      <w:bookmarkStart w:id="40" w:name="_Toc10124"/>
    </w:p>
    <w:p>
      <w:pPr>
        <w:spacing w:line="4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一、</w:t>
      </w:r>
      <w:bookmarkEnd w:id="40"/>
      <w:bookmarkStart w:id="41" w:name="_Toc75793518"/>
      <w:r>
        <w:rPr>
          <w:rFonts w:hint="eastAsia" w:ascii="仿宋" w:hAnsi="仿宋" w:eastAsia="仿宋" w:cs="仿宋"/>
          <w:b/>
          <w:bCs/>
          <w:color w:val="auto"/>
          <w:sz w:val="24"/>
          <w:szCs w:val="24"/>
          <w:highlight w:val="none"/>
          <w:lang w:val="en-US" w:eastAsia="zh-CN"/>
        </w:rPr>
        <w:t>网上竞采程序</w:t>
      </w:r>
      <w:bookmarkEnd w:id="41"/>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（一）报价截止后评审小组对各供应商的资格条件、响应文件的有效性、完整性和响应程度进行审查。各供应商只有在完全符合要求的前提下，才能参与正式采购。</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资格性检查。</w:t>
      </w:r>
      <w:r>
        <w:rPr>
          <w:rFonts w:hint="eastAsia" w:ascii="仿宋" w:hAnsi="仿宋" w:eastAsia="仿宋" w:cs="仿宋"/>
          <w:color w:val="auto"/>
          <w:sz w:val="24"/>
          <w:szCs w:val="24"/>
          <w:highlight w:val="none"/>
        </w:rPr>
        <w:t>依据法律法规和采购采购文件的规定，对响应文件中的资格证明等进行审查，以确定供应商是否具备采购资格。资格性检查资料表如下：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pPr>
              <w:spacing w:line="360" w:lineRule="auto"/>
              <w:ind w:firstLine="0" w:firstLineChars="0"/>
              <w:jc w:val="both"/>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689" w:type="dxa"/>
            <w:gridSpan w:val="2"/>
            <w:noWrap w:val="0"/>
            <w:vAlign w:val="center"/>
          </w:tcPr>
          <w:p>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241" w:type="dxa"/>
            <w:noWrap w:val="0"/>
            <w:vAlign w:val="center"/>
          </w:tcPr>
          <w:p>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1</w:t>
            </w:r>
          </w:p>
        </w:tc>
        <w:tc>
          <w:tcPr>
            <w:tcW w:w="709" w:type="dxa"/>
            <w:vMerge w:val="restart"/>
            <w:noWrap w:val="0"/>
            <w:vAlign w:val="center"/>
          </w:tcPr>
          <w:p>
            <w:pPr>
              <w:rPr>
                <w:rFonts w:hint="eastAsia" w:ascii="仿宋" w:hAnsi="仿宋" w:eastAsia="仿宋" w:cs="仿宋"/>
                <w:sz w:val="21"/>
                <w:szCs w:val="21"/>
                <w:lang w:val="zh-CN"/>
              </w:rPr>
            </w:pPr>
            <w:r>
              <w:rPr>
                <w:rFonts w:hint="eastAsia" w:ascii="仿宋" w:hAnsi="仿宋" w:eastAsia="仿宋" w:cs="仿宋"/>
                <w:sz w:val="21"/>
                <w:szCs w:val="21"/>
              </w:rPr>
              <w:t>供应商</w:t>
            </w:r>
            <w:r>
              <w:rPr>
                <w:rFonts w:hint="eastAsia" w:ascii="仿宋" w:hAnsi="仿宋" w:eastAsia="仿宋" w:cs="仿宋"/>
                <w:sz w:val="21"/>
                <w:szCs w:val="21"/>
                <w:lang w:val="zh-CN"/>
              </w:rPr>
              <w:t>应符合的基本资格条件</w:t>
            </w:r>
          </w:p>
        </w:tc>
        <w:tc>
          <w:tcPr>
            <w:tcW w:w="3980"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42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 xml:space="preserve">供应商法人营业执照（副本）或事业单位法人证书（副本）或个体工商户营业执照或有效的自然人身份证明、组织机构代码证复印件； </w:t>
            </w:r>
          </w:p>
          <w:p>
            <w:pPr>
              <w:rPr>
                <w:rFonts w:hint="eastAsia" w:ascii="仿宋" w:hAnsi="仿宋" w:eastAsia="仿宋" w:cs="仿宋"/>
                <w:sz w:val="21"/>
                <w:szCs w:val="21"/>
              </w:rPr>
            </w:pPr>
            <w:r>
              <w:rPr>
                <w:rFonts w:hint="eastAsia" w:ascii="仿宋" w:hAnsi="仿宋" w:eastAsia="仿宋" w:cs="仿宋"/>
                <w:sz w:val="21"/>
                <w:szCs w:val="21"/>
              </w:rPr>
              <w:t>供应商法定代表人身份证明和法定代表人授权代表委托书。不具有独立法人的分公司、办事处等分支机构不能参加</w:t>
            </w:r>
            <w:r>
              <w:rPr>
                <w:rFonts w:hint="eastAsia" w:ascii="仿宋" w:hAnsi="仿宋" w:eastAsia="仿宋" w:cs="仿宋"/>
                <w:sz w:val="21"/>
                <w:szCs w:val="21"/>
                <w:lang w:val="en-US" w:eastAsia="zh-CN"/>
              </w:rPr>
              <w:t>开标</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4241"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4241" w:type="dxa"/>
            <w:vMerge w:val="continue"/>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4241" w:type="dxa"/>
            <w:vMerge w:val="continue"/>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w:t>
            </w:r>
          </w:p>
        </w:tc>
        <w:tc>
          <w:tcPr>
            <w:tcW w:w="4241" w:type="dxa"/>
            <w:vMerge w:val="continue"/>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76" w:type="dxa"/>
            <w:vMerge w:val="continue"/>
            <w:noWrap w:val="0"/>
            <w:vAlign w:val="center"/>
          </w:tcPr>
          <w:p>
            <w:pPr>
              <w:rPr>
                <w:rFonts w:hint="eastAsia" w:ascii="仿宋" w:hAnsi="仿宋" w:eastAsia="仿宋" w:cs="仿宋"/>
                <w:sz w:val="21"/>
                <w:szCs w:val="21"/>
              </w:rPr>
            </w:pPr>
          </w:p>
        </w:tc>
        <w:tc>
          <w:tcPr>
            <w:tcW w:w="709" w:type="dxa"/>
            <w:vMerge w:val="continue"/>
            <w:noWrap w:val="0"/>
            <w:vAlign w:val="center"/>
          </w:tcPr>
          <w:p>
            <w:pPr>
              <w:rPr>
                <w:rFonts w:hint="eastAsia" w:ascii="仿宋" w:hAnsi="仿宋" w:eastAsia="仿宋" w:cs="仿宋"/>
                <w:sz w:val="21"/>
                <w:szCs w:val="21"/>
                <w:lang w:val="zh-CN"/>
              </w:rPr>
            </w:pPr>
          </w:p>
        </w:tc>
        <w:tc>
          <w:tcPr>
            <w:tcW w:w="3980"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4241"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2</w:t>
            </w:r>
          </w:p>
        </w:tc>
        <w:tc>
          <w:tcPr>
            <w:tcW w:w="4689"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特定资格条件</w:t>
            </w:r>
          </w:p>
        </w:tc>
        <w:tc>
          <w:tcPr>
            <w:tcW w:w="4241"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按</w:t>
            </w:r>
            <w:r>
              <w:rPr>
                <w:rFonts w:hint="eastAsia" w:ascii="仿宋" w:hAnsi="仿宋" w:eastAsia="仿宋" w:cs="仿宋"/>
                <w:sz w:val="21"/>
                <w:szCs w:val="21"/>
                <w:lang w:val="en-US" w:eastAsia="zh-CN"/>
              </w:rPr>
              <w:t>第一篇</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竞采</w:t>
            </w:r>
            <w:r>
              <w:rPr>
                <w:rFonts w:hint="eastAsia" w:ascii="仿宋" w:hAnsi="仿宋" w:eastAsia="仿宋" w:cs="仿宋"/>
                <w:sz w:val="21"/>
                <w:szCs w:val="21"/>
              </w:rPr>
              <w:t>邀请书</w:t>
            </w:r>
            <w:r>
              <w:rPr>
                <w:rFonts w:hint="eastAsia" w:ascii="仿宋" w:hAnsi="仿宋" w:eastAsia="仿宋" w:cs="仿宋"/>
                <w:sz w:val="21"/>
                <w:szCs w:val="21"/>
                <w:lang w:val="en-US" w:eastAsia="zh-CN"/>
              </w:rPr>
              <w:t>三、竞采</w:t>
            </w:r>
            <w:r>
              <w:rPr>
                <w:rFonts w:hint="eastAsia" w:ascii="仿宋" w:hAnsi="仿宋" w:eastAsia="仿宋" w:cs="仿宋"/>
                <w:sz w:val="21"/>
                <w:szCs w:val="21"/>
              </w:rPr>
              <w:t xml:space="preserve">资格条件“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特定资格条件</w:t>
            </w:r>
            <w:r>
              <w:rPr>
                <w:rFonts w:hint="eastAsia" w:ascii="仿宋" w:hAnsi="仿宋" w:eastAsia="仿宋" w:cs="仿宋"/>
                <w:sz w:val="21"/>
                <w:szCs w:val="21"/>
              </w:rPr>
              <w:t>”的要求提交（如果有）。</w:t>
            </w:r>
          </w:p>
        </w:tc>
      </w:tr>
    </w:tbl>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numPr>
          <w:ilvl w:val="0"/>
          <w:numId w:val="6"/>
        </w:numPr>
        <w:spacing w:line="400" w:lineRule="exact"/>
        <w:ind w:firstLine="482" w:firstLineChars="200"/>
        <w:rPr>
          <w:rFonts w:hint="eastAsia"/>
        </w:rPr>
      </w:pPr>
      <w:r>
        <w:rPr>
          <w:rFonts w:hint="eastAsia" w:ascii="仿宋" w:hAnsi="仿宋" w:eastAsia="仿宋" w:cs="仿宋"/>
          <w:b/>
          <w:bCs/>
          <w:color w:val="auto"/>
          <w:sz w:val="24"/>
          <w:szCs w:val="24"/>
          <w:highlight w:val="none"/>
        </w:rPr>
        <w:t>符合性检查。</w:t>
      </w:r>
      <w:r>
        <w:rPr>
          <w:rFonts w:hint="eastAsia" w:ascii="仿宋" w:hAnsi="仿宋" w:eastAsia="仿宋" w:cs="仿宋"/>
          <w:color w:val="auto"/>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44" w:type="dxa"/>
            <w:gridSpan w:val="2"/>
            <w:vAlign w:val="center"/>
          </w:tcPr>
          <w:p>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1</w:t>
            </w:r>
          </w:p>
        </w:tc>
        <w:tc>
          <w:tcPr>
            <w:tcW w:w="156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有效性审查</w:t>
            </w: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响应文件签署</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网上电子文档及响应文件上法定代表人或其授权代表人的签字齐全。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hint="eastAsia" w:ascii="仿宋" w:hAnsi="仿宋" w:eastAsia="仿宋" w:cs="仿宋"/>
                <w:sz w:val="21"/>
                <w:szCs w:val="21"/>
              </w:rPr>
            </w:pPr>
          </w:p>
        </w:tc>
        <w:tc>
          <w:tcPr>
            <w:tcW w:w="1560" w:type="dxa"/>
            <w:vMerge w:val="continue"/>
            <w:vAlign w:val="center"/>
          </w:tcPr>
          <w:p>
            <w:pPr>
              <w:rPr>
                <w:rFonts w:hint="eastAsia" w:ascii="仿宋" w:hAnsi="仿宋" w:eastAsia="仿宋" w:cs="仿宋"/>
                <w:sz w:val="21"/>
                <w:szCs w:val="21"/>
              </w:rPr>
            </w:pP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hint="eastAsia" w:ascii="仿宋" w:hAnsi="仿宋" w:eastAsia="仿宋" w:cs="仿宋"/>
                <w:sz w:val="21"/>
                <w:szCs w:val="21"/>
              </w:rPr>
            </w:pPr>
          </w:p>
        </w:tc>
        <w:tc>
          <w:tcPr>
            <w:tcW w:w="1560" w:type="dxa"/>
            <w:vMerge w:val="continue"/>
            <w:vAlign w:val="center"/>
          </w:tcPr>
          <w:p>
            <w:pPr>
              <w:rPr>
                <w:rFonts w:hint="eastAsia" w:ascii="仿宋" w:hAnsi="仿宋" w:eastAsia="仿宋" w:cs="仿宋"/>
                <w:sz w:val="21"/>
                <w:szCs w:val="21"/>
              </w:rPr>
            </w:pPr>
          </w:p>
        </w:tc>
        <w:tc>
          <w:tcPr>
            <w:tcW w:w="1984" w:type="dxa"/>
            <w:vAlign w:val="center"/>
          </w:tcPr>
          <w:p>
            <w:pPr>
              <w:rPr>
                <w:rFonts w:hint="eastAsia"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lang w:val="zh-CN"/>
              </w:rPr>
              <w:t>每个分包只能有一个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rPr>
                <w:rFonts w:hint="eastAsia" w:ascii="仿宋" w:hAnsi="仿宋" w:eastAsia="仿宋" w:cs="仿宋"/>
                <w:sz w:val="21"/>
                <w:szCs w:val="21"/>
              </w:rPr>
            </w:pPr>
          </w:p>
        </w:tc>
        <w:tc>
          <w:tcPr>
            <w:tcW w:w="1560" w:type="dxa"/>
            <w:vMerge w:val="continue"/>
            <w:vAlign w:val="center"/>
          </w:tcPr>
          <w:p>
            <w:pPr>
              <w:rPr>
                <w:rFonts w:hint="eastAsia" w:ascii="仿宋" w:hAnsi="仿宋" w:eastAsia="仿宋" w:cs="仿宋"/>
                <w:sz w:val="21"/>
                <w:szCs w:val="21"/>
              </w:rPr>
            </w:pPr>
          </w:p>
        </w:tc>
        <w:tc>
          <w:tcPr>
            <w:tcW w:w="1984" w:type="dxa"/>
            <w:vAlign w:val="center"/>
          </w:tcPr>
          <w:p>
            <w:pPr>
              <w:rPr>
                <w:rFonts w:hint="eastAsia"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lang w:val="zh-CN"/>
              </w:rPr>
              <w:t>只能在</w:t>
            </w:r>
            <w:r>
              <w:rPr>
                <w:rFonts w:hint="eastAsia" w:ascii="仿宋" w:hAnsi="仿宋" w:eastAsia="仿宋" w:cs="仿宋"/>
                <w:sz w:val="21"/>
                <w:szCs w:val="21"/>
                <w:lang w:val="en-US" w:eastAsia="zh-CN"/>
              </w:rPr>
              <w:t>最高限价</w:t>
            </w:r>
            <w:r>
              <w:rPr>
                <w:rFonts w:hint="eastAsia" w:ascii="仿宋" w:hAnsi="仿宋" w:eastAsia="仿宋" w:cs="仿宋"/>
                <w:sz w:val="21"/>
                <w:szCs w:val="21"/>
                <w:lang w:val="zh-CN"/>
              </w:rPr>
              <w:t>范围内报价，</w:t>
            </w:r>
            <w:r>
              <w:rPr>
                <w:rFonts w:hint="eastAsia" w:ascii="仿宋" w:hAnsi="仿宋" w:eastAsia="仿宋" w:cs="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rPr>
                <w:rFonts w:hint="eastAsia" w:ascii="仿宋" w:hAnsi="仿宋" w:eastAsia="仿宋" w:cs="仿宋"/>
                <w:sz w:val="21"/>
                <w:szCs w:val="21"/>
              </w:rPr>
            </w:pPr>
            <w:r>
              <w:rPr>
                <w:rFonts w:hint="eastAsia" w:ascii="仿宋" w:hAnsi="仿宋" w:eastAsia="仿宋" w:cs="仿宋"/>
                <w:sz w:val="21"/>
                <w:szCs w:val="21"/>
              </w:rPr>
              <w:t>2</w:t>
            </w:r>
          </w:p>
        </w:tc>
        <w:tc>
          <w:tcPr>
            <w:tcW w:w="1560" w:type="dxa"/>
            <w:vAlign w:val="center"/>
          </w:tcPr>
          <w:p>
            <w:pPr>
              <w:rPr>
                <w:rFonts w:hint="eastAsia" w:ascii="仿宋" w:hAnsi="仿宋" w:eastAsia="仿宋" w:cs="仿宋"/>
                <w:sz w:val="21"/>
                <w:szCs w:val="21"/>
              </w:rPr>
            </w:pPr>
            <w:r>
              <w:rPr>
                <w:rFonts w:hint="eastAsia" w:ascii="仿宋" w:hAnsi="仿宋" w:eastAsia="仿宋" w:cs="仿宋"/>
                <w:sz w:val="21"/>
                <w:szCs w:val="21"/>
              </w:rPr>
              <w:t>完整性审查</w:t>
            </w: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w:t>
            </w:r>
            <w:r>
              <w:rPr>
                <w:rFonts w:hint="eastAsia" w:ascii="仿宋" w:hAnsi="仿宋" w:eastAsia="仿宋" w:cs="仿宋"/>
                <w:sz w:val="21"/>
                <w:szCs w:val="21"/>
              </w:rPr>
              <w:t>上传要求</w:t>
            </w:r>
            <w:r>
              <w:rPr>
                <w:rFonts w:hint="eastAsia" w:ascii="仿宋" w:hAnsi="仿宋" w:eastAsia="仿宋" w:cs="仿宋"/>
                <w:sz w:val="21"/>
                <w:szCs w:val="21"/>
                <w:lang w:val="zh-CN"/>
              </w:rPr>
              <w:t>符合</w:t>
            </w:r>
            <w:r>
              <w:rPr>
                <w:rFonts w:hint="eastAsia" w:ascii="仿宋" w:hAnsi="仿宋" w:eastAsia="仿宋" w:cs="仿宋"/>
                <w:sz w:val="21"/>
                <w:szCs w:val="21"/>
              </w:rPr>
              <w:t>网上竞采</w:t>
            </w:r>
            <w:r>
              <w:rPr>
                <w:rFonts w:hint="eastAsia" w:ascii="仿宋" w:hAnsi="仿宋" w:eastAsia="仿宋" w:cs="仿宋"/>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3</w:t>
            </w:r>
          </w:p>
        </w:tc>
        <w:tc>
          <w:tcPr>
            <w:tcW w:w="1560" w:type="dxa"/>
            <w:vMerge w:val="restart"/>
            <w:vAlign w:val="center"/>
          </w:tcPr>
          <w:p>
            <w:pPr>
              <w:rPr>
                <w:rFonts w:hint="eastAsia" w:ascii="仿宋" w:hAnsi="仿宋" w:eastAsia="仿宋" w:cs="仿宋"/>
                <w:sz w:val="21"/>
                <w:szCs w:val="21"/>
                <w:lang w:val="zh-CN"/>
              </w:rPr>
            </w:pPr>
            <w:r>
              <w:rPr>
                <w:rFonts w:hint="eastAsia" w:ascii="仿宋" w:hAnsi="仿宋" w:eastAsia="仿宋" w:cs="仿宋"/>
                <w:sz w:val="21"/>
                <w:szCs w:val="21"/>
              </w:rPr>
              <w:t>网上竞采文件的响应程度审查</w:t>
            </w: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响应文件内容</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hint="eastAsia" w:ascii="仿宋" w:hAnsi="仿宋" w:eastAsia="仿宋" w:cs="仿宋"/>
                <w:sz w:val="21"/>
                <w:szCs w:val="21"/>
              </w:rPr>
            </w:pPr>
          </w:p>
        </w:tc>
        <w:tc>
          <w:tcPr>
            <w:tcW w:w="1560" w:type="dxa"/>
            <w:vMerge w:val="continue"/>
            <w:vAlign w:val="center"/>
          </w:tcPr>
          <w:p>
            <w:pPr>
              <w:rPr>
                <w:rFonts w:hint="eastAsia" w:ascii="仿宋" w:hAnsi="仿宋" w:eastAsia="仿宋" w:cs="仿宋"/>
                <w:sz w:val="21"/>
                <w:szCs w:val="21"/>
                <w:lang w:val="zh-CN"/>
              </w:rPr>
            </w:pPr>
          </w:p>
        </w:tc>
        <w:tc>
          <w:tcPr>
            <w:tcW w:w="1984" w:type="dxa"/>
            <w:vAlign w:val="center"/>
          </w:tcPr>
          <w:p>
            <w:pPr>
              <w:rPr>
                <w:rFonts w:hint="eastAsia" w:ascii="仿宋" w:hAnsi="仿宋" w:eastAsia="仿宋" w:cs="仿宋"/>
                <w:sz w:val="21"/>
                <w:szCs w:val="21"/>
              </w:rPr>
            </w:pPr>
            <w:r>
              <w:rPr>
                <w:rFonts w:hint="eastAsia" w:ascii="仿宋" w:hAnsi="仿宋" w:eastAsia="仿宋" w:cs="仿宋"/>
                <w:sz w:val="21"/>
                <w:szCs w:val="21"/>
              </w:rPr>
              <w:t>网上竞采有效期</w:t>
            </w:r>
          </w:p>
        </w:tc>
        <w:tc>
          <w:tcPr>
            <w:tcW w:w="5409" w:type="dxa"/>
            <w:vAlign w:val="center"/>
          </w:tcPr>
          <w:p>
            <w:pPr>
              <w:rPr>
                <w:rFonts w:hint="eastAsia" w:ascii="仿宋" w:hAnsi="仿宋" w:eastAsia="仿宋" w:cs="仿宋"/>
                <w:sz w:val="21"/>
                <w:szCs w:val="21"/>
              </w:rPr>
            </w:pPr>
            <w:r>
              <w:rPr>
                <w:rFonts w:hint="eastAsia" w:ascii="仿宋" w:hAnsi="仿宋" w:eastAsia="仿宋" w:cs="仿宋"/>
                <w:sz w:val="21"/>
                <w:szCs w:val="21"/>
              </w:rPr>
              <w:t>满足网上竞采文件</w:t>
            </w:r>
            <w:r>
              <w:rPr>
                <w:rFonts w:hint="eastAsia" w:ascii="仿宋" w:hAnsi="仿宋" w:eastAsia="仿宋" w:cs="仿宋"/>
                <w:sz w:val="21"/>
                <w:szCs w:val="21"/>
                <w:lang w:val="zh-CN"/>
              </w:rPr>
              <w:t>规定。</w:t>
            </w:r>
          </w:p>
        </w:tc>
      </w:tr>
    </w:tbl>
    <w:p>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pPr>
        <w:numPr>
          <w:ilvl w:val="0"/>
          <w:numId w:val="0"/>
        </w:numPr>
        <w:spacing w:line="400" w:lineRule="exact"/>
        <w:ind w:left="719" w:leftChars="228"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pPr>
        <w:numPr>
          <w:ilvl w:val="0"/>
          <w:numId w:val="0"/>
        </w:numPr>
        <w:spacing w:line="400" w:lineRule="exac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b/>
          <w:bCs/>
          <w:color w:val="auto"/>
          <w:sz w:val="24"/>
          <w:szCs w:val="24"/>
          <w:highlight w:val="none"/>
          <w:u w:val="none"/>
          <w:lang w:val="en-US" w:eastAsia="zh-CN"/>
        </w:rPr>
        <w:t>评选方法</w:t>
      </w:r>
    </w:p>
    <w:p>
      <w:pPr>
        <w:snapToGrid w:val="0"/>
        <w:spacing w:line="400" w:lineRule="exact"/>
        <w:ind w:firstLine="560"/>
        <w:jc w:val="both"/>
        <w:textAlignment w:val="baseline"/>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rPr>
        <w:t>最低评标价法</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供应商须按照电子反拍文件的格式要求制作响应文件，并完全满足电子反拍文件中资格、技术、商务的要求，在满足条件的供应商中选择报价最低的成为成交供应商。</w:t>
      </w:r>
    </w:p>
    <w:p>
      <w:pPr>
        <w:pStyle w:val="3"/>
        <w:adjustRightInd w:val="0"/>
        <w:snapToGrid w:val="0"/>
        <w:spacing w:before="0" w:after="0" w:line="40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、无效</w:t>
      </w:r>
      <w:r>
        <w:rPr>
          <w:rFonts w:hint="eastAsia" w:ascii="仿宋" w:hAnsi="仿宋" w:eastAsia="仿宋" w:cs="仿宋"/>
          <w:b/>
          <w:bCs w:val="0"/>
          <w:color w:val="auto"/>
          <w:sz w:val="24"/>
          <w:szCs w:val="24"/>
          <w:highlight w:val="none"/>
          <w:lang w:val="en-US" w:eastAsia="zh-CN"/>
        </w:rPr>
        <w:t>响应</w:t>
      </w:r>
    </w:p>
    <w:p>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供应商发生以下条款情况之一者，视为无效报价：</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（一）供应商不符合规定的资格条件的；</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（二）供应商未通过实质性响应审查的；</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）供应商所提交的响应文件未按“第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篇响应文件格式要求”要求签署或盖章的；</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）供应商的</w:t>
      </w:r>
      <w:r>
        <w:rPr>
          <w:rFonts w:hint="eastAsia" w:ascii="仿宋" w:hAnsi="仿宋" w:eastAsia="仿宋" w:cs="仿宋"/>
          <w:b w:val="0"/>
          <w:bCs/>
          <w:color w:val="auto"/>
          <w:sz w:val="24"/>
          <w:szCs w:val="24"/>
          <w:highlight w:val="none"/>
          <w:lang w:val="en-US" w:eastAsia="zh-CN"/>
        </w:rPr>
        <w:t>总</w:t>
      </w:r>
      <w:r>
        <w:rPr>
          <w:rFonts w:hint="eastAsia" w:ascii="仿宋" w:hAnsi="仿宋" w:eastAsia="仿宋" w:cs="仿宋"/>
          <w:b w:val="0"/>
          <w:bCs/>
          <w:color w:val="auto"/>
          <w:sz w:val="24"/>
          <w:szCs w:val="24"/>
          <w:highlight w:val="none"/>
        </w:rPr>
        <w:t>报价超过最高限价</w:t>
      </w:r>
      <w:r>
        <w:rPr>
          <w:rFonts w:hint="eastAsia" w:ascii="仿宋" w:hAnsi="仿宋" w:eastAsia="仿宋" w:cs="仿宋"/>
          <w:b w:val="0"/>
          <w:bCs/>
          <w:color w:val="auto"/>
          <w:sz w:val="24"/>
          <w:szCs w:val="24"/>
          <w:highlight w:val="none"/>
          <w:lang w:val="en-US" w:eastAsia="zh-CN"/>
        </w:rPr>
        <w:t>或单项报价超过单项最高限价</w:t>
      </w:r>
      <w:r>
        <w:rPr>
          <w:rFonts w:hint="eastAsia" w:ascii="仿宋" w:hAnsi="仿宋" w:eastAsia="仿宋" w:cs="仿宋"/>
          <w:b w:val="0"/>
          <w:bCs/>
          <w:color w:val="auto"/>
          <w:sz w:val="24"/>
          <w:szCs w:val="24"/>
          <w:highlight w:val="none"/>
        </w:rPr>
        <w:t>的；</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）单位负责人为同一人或者存在直接控股、管理关系的不同供应商，参加同一合同项（包）报价的；</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）为采购项目提供整体设计、规范编制或者项目管理、监理、检测等服务的供应商再参加该采购项目的其他采购活动的；</w:t>
      </w:r>
    </w:p>
    <w:p>
      <w:pPr>
        <w:pStyle w:val="11"/>
        <w:spacing w:line="4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七</w:t>
      </w:r>
      <w:r>
        <w:rPr>
          <w:rFonts w:hint="eastAsia" w:ascii="仿宋" w:hAnsi="仿宋" w:eastAsia="仿宋" w:cs="仿宋"/>
          <w:b w:val="0"/>
          <w:bCs/>
          <w:color w:val="auto"/>
          <w:sz w:val="24"/>
          <w:szCs w:val="24"/>
          <w:highlight w:val="none"/>
        </w:rPr>
        <w:t>）法律、法规和</w:t>
      </w:r>
      <w:r>
        <w:rPr>
          <w:rFonts w:hint="eastAsia" w:ascii="仿宋" w:hAnsi="仿宋" w:eastAsia="仿宋" w:cs="仿宋"/>
          <w:b w:val="0"/>
          <w:bCs/>
          <w:color w:val="auto"/>
          <w:sz w:val="24"/>
          <w:szCs w:val="24"/>
          <w:highlight w:val="none"/>
          <w:lang w:val="en-US" w:eastAsia="zh-CN"/>
        </w:rPr>
        <w:t>竞采邀请书</w:t>
      </w:r>
      <w:r>
        <w:rPr>
          <w:rFonts w:hint="eastAsia" w:ascii="仿宋" w:hAnsi="仿宋" w:eastAsia="仿宋" w:cs="仿宋"/>
          <w:b w:val="0"/>
          <w:bCs/>
          <w:color w:val="auto"/>
          <w:sz w:val="24"/>
          <w:szCs w:val="24"/>
          <w:highlight w:val="none"/>
        </w:rPr>
        <w:t>规定的其他无效情形。</w:t>
      </w:r>
    </w:p>
    <w:p>
      <w:pPr>
        <w:pStyle w:val="11"/>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四、采购终止</w:t>
      </w:r>
    </w:p>
    <w:p>
      <w:pPr>
        <w:pStyle w:val="11"/>
        <w:spacing w:line="400" w:lineRule="exact"/>
        <w:ind w:left="0" w:leftChars="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出现下列情形之一的，采购人或者采购代理机构应当终止采购活动，发布项目终止公告并说明原因，重新开展采购活动：</w:t>
      </w:r>
    </w:p>
    <w:p>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（一）因情况变化，不再符合规定的采购方式适用情形的；</w:t>
      </w:r>
    </w:p>
    <w:p>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（二）出现影响采购公正的违法、违规行为的；</w:t>
      </w:r>
    </w:p>
    <w:p>
      <w:pPr>
        <w:snapToGrid w:val="0"/>
        <w:spacing w:line="400" w:lineRule="exact"/>
        <w:ind w:firstLine="480"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val="0"/>
          <w:bCs/>
          <w:color w:val="auto"/>
          <w:sz w:val="24"/>
          <w:szCs w:val="24"/>
          <w:highlight w:val="none"/>
        </w:rPr>
        <w:t>（三）在采购过程中符合竞争要求的供应商或者报价未超过</w:t>
      </w: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rPr>
        <w:t>的供应商</w:t>
      </w:r>
      <w:r>
        <w:rPr>
          <w:rFonts w:hint="eastAsia" w:ascii="仿宋" w:hAnsi="仿宋" w:eastAsia="仿宋" w:cs="仿宋"/>
          <w:b/>
          <w:bCs w:val="0"/>
          <w:color w:val="auto"/>
          <w:sz w:val="24"/>
          <w:szCs w:val="24"/>
          <w:highlight w:val="none"/>
          <w:u w:val="single"/>
        </w:rPr>
        <w:t>不足</w:t>
      </w:r>
      <w:r>
        <w:rPr>
          <w:rFonts w:hint="eastAsia" w:ascii="仿宋" w:hAnsi="仿宋" w:eastAsia="仿宋" w:cs="仿宋"/>
          <w:b/>
          <w:bCs w:val="0"/>
          <w:color w:val="auto"/>
          <w:sz w:val="24"/>
          <w:szCs w:val="24"/>
          <w:highlight w:val="none"/>
          <w:u w:val="single"/>
          <w:lang w:val="en-US" w:eastAsia="zh-CN"/>
        </w:rPr>
        <w:t>3家</w:t>
      </w:r>
      <w:r>
        <w:rPr>
          <w:rFonts w:hint="eastAsia" w:ascii="仿宋" w:hAnsi="仿宋" w:eastAsia="仿宋" w:cs="仿宋"/>
          <w:b/>
          <w:bCs w:val="0"/>
          <w:color w:val="auto"/>
          <w:sz w:val="24"/>
          <w:szCs w:val="24"/>
          <w:highlight w:val="none"/>
          <w:u w:val="single"/>
        </w:rPr>
        <w:t>的。</w:t>
      </w:r>
    </w:p>
    <w:p>
      <w:pPr>
        <w:pStyle w:val="6"/>
        <w:ind w:left="0" w:leftChars="0"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项目出现其他实质性影响，可能导致项目无法正常开展的情形。</w:t>
      </w: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ascii="仿宋" w:hAnsi="仿宋" w:eastAsia="仿宋" w:cs="仿宋"/>
          <w:b/>
          <w:bCs w:val="0"/>
          <w:color w:val="auto"/>
          <w:sz w:val="24"/>
          <w:szCs w:val="24"/>
          <w:highlight w:val="none"/>
          <w:lang w:val="en-US" w:eastAsia="zh-CN"/>
        </w:rPr>
      </w:pPr>
    </w:p>
    <w:p>
      <w:pPr>
        <w:rPr>
          <w:rFonts w:hint="eastAsia" w:ascii="仿宋" w:hAnsi="仿宋" w:eastAsia="仿宋" w:cs="仿宋"/>
          <w:b/>
          <w:bCs w:val="0"/>
          <w:color w:val="auto"/>
          <w:sz w:val="24"/>
          <w:szCs w:val="24"/>
          <w:highlight w:val="none"/>
          <w:lang w:val="en-US" w:eastAsia="zh-CN"/>
        </w:rPr>
      </w:pPr>
    </w:p>
    <w:p>
      <w:pPr>
        <w:pStyle w:val="5"/>
        <w:rPr>
          <w:rFonts w:hint="eastAsia"/>
          <w:lang w:val="en-US" w:eastAsia="zh-CN"/>
        </w:rPr>
      </w:pPr>
    </w:p>
    <w:p>
      <w:pPr>
        <w:rPr>
          <w:rFonts w:hint="eastAsia" w:ascii="仿宋" w:hAnsi="仿宋" w:eastAsia="仿宋" w:cs="仿宋"/>
          <w:b/>
          <w:bCs w:val="0"/>
          <w:color w:val="auto"/>
          <w:sz w:val="24"/>
          <w:szCs w:val="24"/>
          <w:highlight w:val="none"/>
          <w:lang w:val="en-US" w:eastAsia="zh-CN"/>
        </w:rPr>
      </w:pPr>
    </w:p>
    <w:p>
      <w:pPr>
        <w:pStyle w:val="5"/>
        <w:ind w:left="0" w:leftChars="0" w:firstLine="0" w:firstLineChars="0"/>
        <w:jc w:val="center"/>
        <w:rPr>
          <w:rFonts w:hint="eastAsia"/>
          <w:lang w:val="en-US" w:eastAsia="zh-CN"/>
        </w:rPr>
      </w:pPr>
      <w:r>
        <w:rPr>
          <w:rFonts w:hint="eastAsia" w:ascii="仿宋" w:hAnsi="仿宋" w:eastAsia="仿宋" w:cs="仿宋"/>
          <w:b/>
          <w:bCs/>
          <w:color w:val="auto"/>
          <w:sz w:val="36"/>
          <w:szCs w:val="36"/>
          <w:highlight w:val="none"/>
        </w:rPr>
        <w:t>第五篇  供应商须知</w:t>
      </w:r>
    </w:p>
    <w:p>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42" w:name="_Toc76462339"/>
      <w:bookmarkStart w:id="43" w:name="_Toc342913391"/>
      <w:bookmarkStart w:id="44" w:name="_Toc106030894"/>
      <w:r>
        <w:rPr>
          <w:rFonts w:hint="eastAsia" w:ascii="仿宋" w:hAnsi="仿宋" w:eastAsia="仿宋" w:cs="仿宋"/>
          <w:b/>
          <w:bCs w:val="0"/>
          <w:color w:val="auto"/>
          <w:sz w:val="24"/>
          <w:szCs w:val="24"/>
          <w:highlight w:val="none"/>
          <w:lang w:val="en-US" w:eastAsia="zh-CN"/>
        </w:rPr>
        <w:t>一</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竞采</w:t>
      </w:r>
      <w:r>
        <w:rPr>
          <w:rFonts w:hint="eastAsia" w:ascii="仿宋" w:hAnsi="仿宋" w:eastAsia="仿宋" w:cs="仿宋"/>
          <w:b/>
          <w:bCs w:val="0"/>
          <w:color w:val="auto"/>
          <w:sz w:val="24"/>
          <w:szCs w:val="24"/>
          <w:highlight w:val="none"/>
        </w:rPr>
        <w:t>文件</w:t>
      </w:r>
      <w:bookmarkEnd w:id="42"/>
      <w:bookmarkEnd w:id="43"/>
      <w:bookmarkEnd w:id="44"/>
    </w:p>
    <w:p>
      <w:pPr>
        <w:pStyle w:val="11"/>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（一）</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文件由采购邀请书、项目</w:t>
      </w:r>
      <w:r>
        <w:rPr>
          <w:rFonts w:hint="eastAsia" w:ascii="仿宋" w:hAnsi="仿宋" w:eastAsia="仿宋" w:cs="仿宋"/>
          <w:b w:val="0"/>
          <w:bCs/>
          <w:color w:val="auto"/>
          <w:sz w:val="24"/>
          <w:szCs w:val="24"/>
          <w:highlight w:val="none"/>
          <w:lang w:val="en-US" w:eastAsia="zh-CN"/>
        </w:rPr>
        <w:t>技术</w:t>
      </w:r>
      <w:r>
        <w:rPr>
          <w:rFonts w:hint="eastAsia" w:ascii="仿宋" w:hAnsi="仿宋" w:eastAsia="仿宋" w:cs="仿宋"/>
          <w:b w:val="0"/>
          <w:bCs/>
          <w:color w:val="auto"/>
          <w:sz w:val="24"/>
          <w:szCs w:val="24"/>
          <w:highlight w:val="none"/>
        </w:rPr>
        <w:t>需求、项目商务需求、</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程序</w:t>
      </w:r>
      <w:r>
        <w:rPr>
          <w:rFonts w:hint="eastAsia" w:ascii="仿宋" w:hAnsi="仿宋" w:eastAsia="仿宋" w:cs="仿宋"/>
          <w:b w:val="0"/>
          <w:bCs/>
          <w:color w:val="auto"/>
          <w:sz w:val="24"/>
          <w:szCs w:val="24"/>
          <w:highlight w:val="none"/>
          <w:lang w:val="en-US" w:eastAsia="zh-CN"/>
        </w:rPr>
        <w:t>及</w:t>
      </w:r>
      <w:r>
        <w:rPr>
          <w:rFonts w:hint="eastAsia" w:ascii="仿宋" w:hAnsi="仿宋" w:eastAsia="仿宋" w:cs="仿宋"/>
          <w:b w:val="0"/>
          <w:bCs/>
          <w:color w:val="auto"/>
          <w:sz w:val="24"/>
          <w:szCs w:val="24"/>
          <w:highlight w:val="none"/>
        </w:rPr>
        <w:t>评审标准、供应商须知</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响应文件编制要求</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部分组成。</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（二）采购人所作的一切有效的书面通知、修改及补充，都是</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文件不可分割的部分。</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文件的解释</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供应商如对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文件有疑问，必须以书面形式在提交响应文件截止时间</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个工作日前向采购人要求澄清，采购人可视具体情况做出处理或答复。如供应商未提出疑问，视为完全理解并同意本</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文件。一经进入</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程序，即视为供应商已详细阅读全部文件资料，完全理解</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文件所有条款内容并同意放弃对这方面有不明白及误解的权利。</w:t>
      </w:r>
      <w:bookmarkStart w:id="45" w:name="_Toc318166429"/>
      <w:bookmarkStart w:id="46" w:name="_Toc318159160"/>
      <w:bookmarkStart w:id="47" w:name="_Toc318159780"/>
      <w:bookmarkStart w:id="48" w:name="_Toc318159349"/>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）评审的依据为</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文件和响应文件（含有效的书面承诺）。</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小组判断响应文件对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文件的响应，仅基于响应文件本身而不靠外部证据。</w:t>
      </w:r>
    </w:p>
    <w:bookmarkEnd w:id="45"/>
    <w:bookmarkEnd w:id="46"/>
    <w:bookmarkEnd w:id="47"/>
    <w:bookmarkEnd w:id="48"/>
    <w:p>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49" w:name="_Toc179714297"/>
      <w:bookmarkStart w:id="50" w:name="_Toc102227318"/>
      <w:bookmarkStart w:id="51" w:name="_Toc76462340"/>
      <w:bookmarkStart w:id="52" w:name="_Toc106030895"/>
      <w:bookmarkStart w:id="53" w:name="_Toc342913392"/>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竞采</w:t>
      </w:r>
      <w:r>
        <w:rPr>
          <w:rFonts w:hint="eastAsia" w:ascii="仿宋" w:hAnsi="仿宋" w:eastAsia="仿宋" w:cs="仿宋"/>
          <w:b/>
          <w:bCs w:val="0"/>
          <w:color w:val="auto"/>
          <w:sz w:val="24"/>
          <w:szCs w:val="24"/>
          <w:highlight w:val="none"/>
        </w:rPr>
        <w:t>要求</w:t>
      </w:r>
      <w:bookmarkEnd w:id="49"/>
      <w:bookmarkEnd w:id="50"/>
      <w:bookmarkEnd w:id="51"/>
      <w:bookmarkEnd w:id="52"/>
      <w:bookmarkEnd w:id="53"/>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（一）响应文件</w:t>
      </w:r>
    </w:p>
    <w:p>
      <w:pPr>
        <w:pStyle w:val="11"/>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1.供应商应当按照</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文件的要求编制响应文件，并对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文件提出的要求和条件作出实质性响应。</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rPr>
        <w:t>）响应文件由“第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篇响应文件编制要求”规定的部分，</w:t>
      </w:r>
      <w:r>
        <w:rPr>
          <w:rFonts w:hint="eastAsia" w:ascii="仿宋" w:hAnsi="仿宋" w:eastAsia="仿宋" w:cs="仿宋"/>
          <w:b w:val="0"/>
          <w:bCs/>
          <w:color w:val="auto"/>
          <w:sz w:val="24"/>
          <w:szCs w:val="24"/>
          <w:highlight w:val="none"/>
          <w:lang w:val="en-US" w:eastAsia="zh-CN"/>
        </w:rPr>
        <w:t>供应商制作的响应文件电子文档，须按照要求制作，规定签字、盖章的地方必须按规定签字、盖章，上传的文件需字迹清晰，未按要求制作响应文件的作废标处理。</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有效期：响应文件及有关承诺文件有效期为提交响应文件截止时间起90天。</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）供应商在系统中的报价与响应文件中的报价不一致时，采购人将以系统中供应商的报价作为评判依据。</w:t>
      </w:r>
    </w:p>
    <w:p>
      <w:pPr>
        <w:pStyle w:val="11"/>
        <w:spacing w:line="40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若供应商所递交的响应文件或最后报价中的价格出现大写金额和小写金额不一致的错误，以</w:t>
      </w:r>
      <w:r>
        <w:rPr>
          <w:rFonts w:hint="eastAsia" w:ascii="仿宋" w:hAnsi="仿宋" w:eastAsia="仿宋" w:cs="仿宋"/>
          <w:b w:val="0"/>
          <w:bCs/>
          <w:color w:val="auto"/>
          <w:sz w:val="24"/>
          <w:szCs w:val="24"/>
          <w:highlight w:val="none"/>
          <w:u w:val="single"/>
          <w:lang w:val="en-US" w:eastAsia="zh-CN"/>
        </w:rPr>
        <w:t>大写金额</w:t>
      </w:r>
      <w:r>
        <w:rPr>
          <w:rFonts w:hint="eastAsia" w:ascii="仿宋" w:hAnsi="仿宋" w:eastAsia="仿宋" w:cs="仿宋"/>
          <w:b w:val="0"/>
          <w:bCs/>
          <w:color w:val="auto"/>
          <w:sz w:val="24"/>
          <w:szCs w:val="24"/>
          <w:highlight w:val="none"/>
          <w:lang w:val="en-US" w:eastAsia="zh-CN"/>
        </w:rPr>
        <w:t>为准。</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）提交响应文件的份数和签署</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1.响应文件电子文档一份。</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2.响应文件按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篇响应文件编制要求”要求签署或盖章。</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）响应文件的递交</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响应文件的电子文档应</w:t>
      </w:r>
      <w:r>
        <w:rPr>
          <w:rFonts w:hint="eastAsia" w:ascii="仿宋" w:hAnsi="仿宋" w:eastAsia="仿宋" w:cs="仿宋"/>
          <w:b w:val="0"/>
          <w:bCs/>
          <w:color w:val="auto"/>
          <w:sz w:val="24"/>
          <w:szCs w:val="24"/>
          <w:highlight w:val="none"/>
          <w:lang w:val="en-US" w:eastAsia="zh-CN"/>
        </w:rPr>
        <w:t>在有效报名时间段内，通过竞采系统在线提交</w:t>
      </w:r>
      <w:r>
        <w:rPr>
          <w:rFonts w:hint="eastAsia" w:ascii="仿宋" w:hAnsi="仿宋" w:eastAsia="仿宋" w:cs="仿宋"/>
          <w:b w:val="0"/>
          <w:bCs/>
          <w:color w:val="auto"/>
          <w:sz w:val="24"/>
          <w:szCs w:val="24"/>
          <w:highlight w:val="none"/>
        </w:rPr>
        <w:t>。</w:t>
      </w:r>
    </w:p>
    <w:p>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54" w:name="_Toc106030896"/>
      <w:bookmarkStart w:id="55" w:name="_Toc76462341"/>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成交供应商的确认</w:t>
      </w:r>
      <w:bookmarkEnd w:id="54"/>
      <w:bookmarkEnd w:id="55"/>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（一）成交供应商的确认</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应当在5个工作日内，从评审报告提出的成交候选供应商中，按照排序由高到低的原则确定成交供应商，也可以授权</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小组直接确定成交供应商。</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（二）成交供</w:t>
      </w:r>
      <w:bookmarkStart w:id="122" w:name="_GoBack"/>
      <w:bookmarkEnd w:id="122"/>
      <w:r>
        <w:rPr>
          <w:rFonts w:hint="eastAsia" w:ascii="仿宋" w:hAnsi="仿宋" w:eastAsia="仿宋" w:cs="仿宋"/>
          <w:b w:val="0"/>
          <w:bCs/>
          <w:color w:val="auto"/>
          <w:sz w:val="24"/>
          <w:szCs w:val="24"/>
          <w:highlight w:val="none"/>
        </w:rPr>
        <w:t>应商的变更</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活动。</w:t>
      </w:r>
    </w:p>
    <w:p>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56" w:name="_Toc102227321"/>
      <w:bookmarkStart w:id="57" w:name="_Toc342913395"/>
      <w:bookmarkStart w:id="58" w:name="_Toc76462342"/>
      <w:bookmarkStart w:id="59" w:name="_Toc106030897"/>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rPr>
        <w:t>、成交通知</w:t>
      </w:r>
      <w:bookmarkEnd w:id="56"/>
      <w:bookmarkEnd w:id="57"/>
      <w:bookmarkEnd w:id="58"/>
      <w:bookmarkEnd w:id="59"/>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成交供应商确定后，</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将在</w:t>
      </w:r>
      <w:r>
        <w:rPr>
          <w:rFonts w:hint="eastAsia" w:ascii="仿宋" w:hAnsi="仿宋" w:eastAsia="仿宋" w:cs="仿宋"/>
          <w:b w:val="0"/>
          <w:bCs/>
          <w:color w:val="auto"/>
          <w:sz w:val="24"/>
          <w:szCs w:val="24"/>
          <w:highlight w:val="none"/>
          <w:lang w:val="en-US" w:eastAsia="zh-CN"/>
        </w:rPr>
        <w:t>重庆市政府采购云平台·网上竞采板块</w:t>
      </w:r>
      <w:r>
        <w:rPr>
          <w:rFonts w:hint="eastAsia" w:ascii="仿宋" w:hAnsi="仿宋" w:eastAsia="仿宋" w:cs="仿宋"/>
          <w:b w:val="0"/>
          <w:bCs/>
          <w:color w:val="auto"/>
          <w:sz w:val="24"/>
          <w:szCs w:val="24"/>
          <w:highlight w:val="none"/>
        </w:rPr>
        <w:t>（https://xj.ccgp-chongqing.gov.cn/ge/）</w:t>
      </w:r>
      <w:r>
        <w:rPr>
          <w:rFonts w:hint="eastAsia" w:ascii="仿宋" w:hAnsi="仿宋" w:eastAsia="仿宋" w:cs="仿宋"/>
          <w:b w:val="0"/>
          <w:bCs/>
          <w:color w:val="auto"/>
          <w:sz w:val="24"/>
          <w:szCs w:val="24"/>
          <w:highlight w:val="none"/>
          <w:lang w:val="en-US" w:eastAsia="zh-CN"/>
        </w:rPr>
        <w:t>以及重庆工业职业技术学院官网</w:t>
      </w:r>
      <w:r>
        <w:rPr>
          <w:rFonts w:hint="eastAsia" w:ascii="仿宋" w:hAnsi="仿宋" w:eastAsia="仿宋" w:cs="仿宋"/>
          <w:b w:val="0"/>
          <w:bCs/>
          <w:color w:val="auto"/>
          <w:sz w:val="24"/>
          <w:szCs w:val="24"/>
          <w:highlight w:val="none"/>
        </w:rPr>
        <w:t>上发布成交结果公告。</w:t>
      </w:r>
    </w:p>
    <w:p>
      <w:pPr>
        <w:pStyle w:val="11"/>
        <w:spacing w:line="400" w:lineRule="exact"/>
        <w:ind w:left="0" w:leftChars="0" w:firstLine="0" w:firstLineChars="0"/>
        <w:rPr>
          <w:rFonts w:hint="eastAsia" w:ascii="仿宋" w:hAnsi="仿宋" w:eastAsia="仿宋" w:cs="仿宋"/>
          <w:b/>
          <w:bCs w:val="0"/>
          <w:color w:val="auto"/>
          <w:sz w:val="24"/>
          <w:szCs w:val="24"/>
          <w:highlight w:val="none"/>
          <w:lang w:eastAsia="zh-CN"/>
        </w:rPr>
      </w:pPr>
      <w:bookmarkStart w:id="60" w:name="_Toc76462343"/>
      <w:bookmarkStart w:id="61" w:name="_Toc106030898"/>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、关于质疑和投诉</w:t>
      </w:r>
      <w:bookmarkEnd w:id="60"/>
      <w:bookmarkEnd w:id="61"/>
    </w:p>
    <w:p>
      <w:pPr>
        <w:pStyle w:val="11"/>
        <w:spacing w:line="400" w:lineRule="exact"/>
        <w:ind w:firstLine="480" w:firstLineChars="200"/>
        <w:rPr>
          <w:rFonts w:hint="eastAsia" w:ascii="仿宋" w:hAnsi="仿宋" w:eastAsia="仿宋" w:cs="仿宋"/>
          <w:b w:val="0"/>
          <w:bCs/>
          <w:color w:val="auto"/>
          <w:sz w:val="24"/>
          <w:szCs w:val="24"/>
          <w:highlight w:val="none"/>
          <w:lang w:val="en-US" w:eastAsia="zh-CN"/>
        </w:rPr>
      </w:pPr>
      <w:bookmarkStart w:id="62" w:name="_Toc102227322"/>
      <w:bookmarkStart w:id="63" w:name="_Toc342913396"/>
      <w:bookmarkStart w:id="64" w:name="_Toc76462346"/>
      <w:bookmarkStart w:id="65" w:name="_Toc106030901"/>
      <w:r>
        <w:rPr>
          <w:rFonts w:hint="eastAsia" w:ascii="仿宋" w:hAnsi="仿宋" w:eastAsia="仿宋" w:cs="仿宋"/>
          <w:b w:val="0"/>
          <w:bCs/>
          <w:color w:val="auto"/>
          <w:sz w:val="24"/>
          <w:szCs w:val="24"/>
          <w:highlight w:val="none"/>
          <w:lang w:val="en-US" w:eastAsia="zh-CN"/>
        </w:rPr>
        <w:t>投标人对网上竞采文件或中标结果有质疑，请投标人在规定的时间内按政府采购法规定的书面格式提交质疑函，工作时间内现场提交到采购人处（行政楼4楼414），不接受邮件和电话质疑。</w:t>
      </w:r>
    </w:p>
    <w:p>
      <w:pPr>
        <w:pStyle w:val="11"/>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、签订</w:t>
      </w:r>
      <w:bookmarkEnd w:id="62"/>
      <w:r>
        <w:rPr>
          <w:rFonts w:hint="eastAsia" w:ascii="仿宋" w:hAnsi="仿宋" w:eastAsia="仿宋" w:cs="仿宋"/>
          <w:b/>
          <w:bCs w:val="0"/>
          <w:color w:val="auto"/>
          <w:sz w:val="24"/>
          <w:szCs w:val="24"/>
          <w:highlight w:val="none"/>
        </w:rPr>
        <w:t>合同</w:t>
      </w:r>
      <w:bookmarkEnd w:id="63"/>
      <w:bookmarkEnd w:id="64"/>
      <w:bookmarkEnd w:id="65"/>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（一）采购人原则上应在</w:t>
      </w:r>
      <w:r>
        <w:rPr>
          <w:rFonts w:hint="eastAsia" w:ascii="仿宋" w:hAnsi="仿宋" w:eastAsia="仿宋" w:cs="仿宋"/>
          <w:b w:val="0"/>
          <w:bCs/>
          <w:color w:val="auto"/>
          <w:sz w:val="24"/>
          <w:szCs w:val="24"/>
          <w:highlight w:val="none"/>
          <w:lang w:val="en-US" w:eastAsia="zh-CN"/>
        </w:rPr>
        <w:t>结果公告</w:t>
      </w:r>
      <w:r>
        <w:rPr>
          <w:rFonts w:hint="eastAsia" w:ascii="仿宋" w:hAnsi="仿宋" w:eastAsia="仿宋" w:cs="仿宋"/>
          <w:b w:val="0"/>
          <w:bCs/>
          <w:color w:val="auto"/>
          <w:sz w:val="24"/>
          <w:szCs w:val="24"/>
          <w:highlight w:val="none"/>
        </w:rPr>
        <w:t>发出之日起</w:t>
      </w:r>
      <w:r>
        <w:rPr>
          <w:rFonts w:hint="eastAsia" w:ascii="仿宋" w:hAnsi="仿宋" w:eastAsia="仿宋" w:cs="仿宋"/>
          <w:b w:val="0"/>
          <w:bCs/>
          <w:color w:val="auto"/>
          <w:sz w:val="24"/>
          <w:szCs w:val="24"/>
          <w:highlight w:val="none"/>
          <w:lang w:val="en-US" w:eastAsia="zh-CN"/>
        </w:rPr>
        <w:t>20个日历</w:t>
      </w:r>
      <w:r>
        <w:rPr>
          <w:rFonts w:hint="eastAsia" w:ascii="仿宋" w:hAnsi="仿宋" w:eastAsia="仿宋" w:cs="仿宋"/>
          <w:b w:val="0"/>
          <w:bCs/>
          <w:color w:val="auto"/>
          <w:sz w:val="24"/>
          <w:szCs w:val="24"/>
          <w:highlight w:val="none"/>
        </w:rPr>
        <w:t>日内和成交供应商签订采购合同，无正当理由不得拒绝或拖延合同签订。所签订的合同不得对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文件和供应商的响应文件作实质性修改。其他未尽事宜由采购人和成交供应商在采购合同中详细约定。</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文件、供应商的响应文件及澄清文件等，均为签订采购合同的依据。</w:t>
      </w:r>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）合同生效条款由供需双方约定，法律、行政法规规定应当办理批准、登记等手续后生效的合同，依照其规定。</w:t>
      </w:r>
    </w:p>
    <w:p>
      <w:pPr>
        <w:pStyle w:val="11"/>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bCs w:val="0"/>
          <w:color w:val="auto"/>
          <w:sz w:val="24"/>
          <w:szCs w:val="24"/>
          <w:highlight w:val="none"/>
          <w:lang w:eastAsia="zh-CN"/>
        </w:rPr>
        <w:t>合同签约地点</w:t>
      </w:r>
      <w:r>
        <w:rPr>
          <w:rFonts w:hint="eastAsia" w:ascii="仿宋" w:hAnsi="仿宋" w:eastAsia="仿宋" w:cs="仿宋"/>
          <w:b w:val="0"/>
          <w:bCs/>
          <w:color w:val="auto"/>
          <w:sz w:val="24"/>
          <w:szCs w:val="24"/>
          <w:highlight w:val="none"/>
          <w:lang w:eastAsia="zh-CN"/>
        </w:rPr>
        <w:t>为重庆工业职业技术学院（重庆市渝北区空港桃源大道1000号）。</w:t>
      </w:r>
    </w:p>
    <w:p>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66" w:name="_Toc106030902"/>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、项目验收</w:t>
      </w:r>
      <w:bookmarkEnd w:id="66"/>
    </w:p>
    <w:p>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合同执行完毕，采购人原则上应在</w:t>
      </w: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个工作日内组织履约情况验收，不得无故拖延或附加额外条件。</w:t>
      </w:r>
    </w:p>
    <w:p>
      <w:pPr>
        <w:numPr>
          <w:ilvl w:val="0"/>
          <w:numId w:val="0"/>
        </w:numPr>
        <w:spacing w:line="400" w:lineRule="exact"/>
        <w:ind w:firstLine="480" w:firstLineChars="200"/>
        <w:rPr>
          <w:rFonts w:hint="eastAsia" w:ascii="仿宋" w:hAnsi="仿宋" w:eastAsia="仿宋" w:cs="仿宋"/>
          <w:color w:val="auto"/>
          <w:sz w:val="24"/>
          <w:szCs w:val="24"/>
          <w:highlight w:val="none"/>
        </w:rPr>
      </w:pPr>
    </w:p>
    <w:p>
      <w:pPr>
        <w:pStyle w:val="5"/>
        <w:rPr>
          <w:rFonts w:hint="eastAsia"/>
        </w:rPr>
      </w:pPr>
    </w:p>
    <w:p>
      <w:pPr>
        <w:pStyle w:val="3"/>
        <w:spacing w:before="0" w:after="0" w:line="360" w:lineRule="auto"/>
        <w:jc w:val="both"/>
        <w:rPr>
          <w:rFonts w:hint="eastAsia" w:ascii="仿宋" w:hAnsi="仿宋" w:eastAsia="仿宋" w:cs="仿宋"/>
          <w:bCs/>
          <w:color w:val="auto"/>
          <w:sz w:val="36"/>
          <w:szCs w:val="30"/>
          <w:highlight w:val="none"/>
        </w:rPr>
      </w:pPr>
    </w:p>
    <w:p>
      <w:pPr>
        <w:rPr>
          <w:rFonts w:hint="eastAsia" w:ascii="仿宋" w:hAnsi="仿宋" w:eastAsia="仿宋" w:cs="仿宋"/>
          <w:bCs/>
          <w:color w:val="auto"/>
          <w:sz w:val="36"/>
          <w:szCs w:val="30"/>
          <w:highlight w:val="none"/>
        </w:rPr>
      </w:pPr>
    </w:p>
    <w:p>
      <w:pPr>
        <w:pStyle w:val="5"/>
        <w:rPr>
          <w:rFonts w:hint="eastAsia" w:ascii="仿宋" w:hAnsi="仿宋" w:eastAsia="仿宋" w:cs="仿宋"/>
          <w:bCs/>
          <w:color w:val="auto"/>
          <w:sz w:val="36"/>
          <w:szCs w:val="30"/>
          <w:highlight w:val="none"/>
        </w:rPr>
      </w:pPr>
    </w:p>
    <w:p>
      <w:pPr>
        <w:rPr>
          <w:rFonts w:hint="eastAsia" w:ascii="仿宋" w:hAnsi="仿宋" w:eastAsia="仿宋" w:cs="仿宋"/>
          <w:bCs/>
          <w:color w:val="auto"/>
          <w:sz w:val="36"/>
          <w:szCs w:val="30"/>
          <w:highlight w:val="none"/>
        </w:rPr>
      </w:pPr>
    </w:p>
    <w:p>
      <w:pPr>
        <w:pStyle w:val="5"/>
        <w:rPr>
          <w:rFonts w:hint="eastAsia" w:ascii="仿宋" w:hAnsi="仿宋" w:eastAsia="仿宋" w:cs="仿宋"/>
          <w:bCs/>
          <w:color w:val="auto"/>
          <w:sz w:val="36"/>
          <w:szCs w:val="30"/>
          <w:highlight w:val="none"/>
        </w:rPr>
      </w:pPr>
    </w:p>
    <w:p>
      <w:pPr>
        <w:rPr>
          <w:rFonts w:hint="eastAsia" w:ascii="仿宋" w:hAnsi="仿宋" w:eastAsia="仿宋" w:cs="仿宋"/>
          <w:bCs/>
          <w:color w:val="auto"/>
          <w:sz w:val="36"/>
          <w:szCs w:val="30"/>
          <w:highlight w:val="none"/>
        </w:rPr>
      </w:pPr>
    </w:p>
    <w:p>
      <w:pPr>
        <w:pStyle w:val="5"/>
        <w:rPr>
          <w:rFonts w:hint="eastAsia" w:ascii="仿宋" w:hAnsi="仿宋" w:eastAsia="仿宋" w:cs="仿宋"/>
          <w:bCs/>
          <w:color w:val="auto"/>
          <w:sz w:val="36"/>
          <w:szCs w:val="30"/>
          <w:highlight w:val="none"/>
        </w:rPr>
      </w:pPr>
    </w:p>
    <w:p>
      <w:pPr>
        <w:pStyle w:val="5"/>
        <w:ind w:left="0" w:leftChars="0" w:firstLine="0" w:firstLineChars="0"/>
        <w:rPr>
          <w:rFonts w:hint="eastAsia"/>
        </w:rPr>
      </w:pPr>
    </w:p>
    <w:p>
      <w:pPr>
        <w:rPr>
          <w:rFonts w:hint="eastAsia"/>
        </w:rPr>
      </w:pPr>
    </w:p>
    <w:p>
      <w:pPr>
        <w:pStyle w:val="5"/>
        <w:ind w:left="0" w:leftChars="0" w:firstLine="0" w:firstLineChars="0"/>
        <w:rPr>
          <w:rFonts w:hint="eastAsia"/>
        </w:rPr>
      </w:pPr>
    </w:p>
    <w:p>
      <w:pPr>
        <w:rPr>
          <w:rFonts w:hint="eastAsia"/>
        </w:rPr>
      </w:pPr>
    </w:p>
    <w:p>
      <w:pPr>
        <w:pStyle w:val="3"/>
        <w:numPr>
          <w:ilvl w:val="0"/>
          <w:numId w:val="0"/>
        </w:numPr>
        <w:spacing w:before="0" w:after="0" w:line="360" w:lineRule="auto"/>
        <w:ind w:leftChars="0"/>
        <w:jc w:val="center"/>
        <w:rPr>
          <w:rFonts w:hint="eastAsia"/>
        </w:rPr>
      </w:pPr>
      <w:bookmarkStart w:id="67" w:name="_Toc10837"/>
      <w:r>
        <w:rPr>
          <w:rFonts w:hint="eastAsia" w:ascii="仿宋" w:hAnsi="仿宋" w:eastAsia="仿宋" w:cs="仿宋"/>
          <w:b/>
          <w:bCs/>
          <w:color w:val="auto"/>
          <w:sz w:val="36"/>
          <w:szCs w:val="30"/>
          <w:highlight w:val="none"/>
          <w:lang w:val="en-US" w:eastAsia="zh-CN"/>
        </w:rPr>
        <w:t xml:space="preserve">第六篇 </w:t>
      </w:r>
      <w:r>
        <w:rPr>
          <w:rFonts w:hint="eastAsia" w:ascii="仿宋" w:hAnsi="仿宋" w:eastAsia="仿宋" w:cs="仿宋"/>
          <w:b/>
          <w:bCs/>
          <w:color w:val="auto"/>
          <w:sz w:val="36"/>
          <w:szCs w:val="30"/>
          <w:highlight w:val="none"/>
        </w:rPr>
        <w:t>响应文件编制要求</w:t>
      </w:r>
      <w:bookmarkEnd w:id="67"/>
    </w:p>
    <w:p>
      <w:pPr>
        <w:rPr>
          <w:rFonts w:hint="eastAsia"/>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二、技术部分</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四、资格条件及其他</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rPr>
      </w:pPr>
    </w:p>
    <w:p>
      <w:pPr>
        <w:spacing w:line="360" w:lineRule="auto"/>
        <w:ind w:firstLine="0" w:firstLineChars="0"/>
        <w:jc w:val="center"/>
        <w:rPr>
          <w:rFonts w:hint="eastAsia" w:ascii="仿宋" w:hAnsi="仿宋" w:eastAsia="仿宋" w:cs="仿宋"/>
          <w:b/>
          <w:bCs/>
          <w:color w:val="auto"/>
          <w:sz w:val="32"/>
          <w:szCs w:val="28"/>
          <w:highlight w:val="none"/>
          <w:lang w:val="en-US" w:eastAsia="zh-CN"/>
        </w:rPr>
      </w:pPr>
    </w:p>
    <w:p>
      <w:pPr>
        <w:pStyle w:val="7"/>
        <w:ind w:firstLine="723"/>
        <w:rPr>
          <w:rStyle w:val="17"/>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0"/>
          <w:szCs w:val="30"/>
          <w:highlight w:val="none"/>
          <w:lang w:val="en-US" w:eastAsia="zh-CN"/>
        </w:rPr>
        <w:t>2024年继续教育学院第三教学楼3楼阶梯教室改造项目（桌椅）</w:t>
      </w:r>
    </w:p>
    <w:p>
      <w:pPr>
        <w:ind w:firstLine="723"/>
        <w:rPr>
          <w:rStyle w:val="17"/>
          <w:rFonts w:hint="eastAsia" w:ascii="仿宋" w:hAnsi="仿宋" w:eastAsia="仿宋" w:cs="仿宋"/>
          <w:color w:val="auto"/>
          <w:sz w:val="36"/>
          <w:szCs w:val="36"/>
          <w:highlight w:val="none"/>
        </w:rPr>
      </w:pPr>
    </w:p>
    <w:p>
      <w:pPr>
        <w:pStyle w:val="7"/>
        <w:ind w:firstLine="723"/>
        <w:rPr>
          <w:rStyle w:val="17"/>
          <w:rFonts w:hint="eastAsia" w:ascii="仿宋" w:hAnsi="仿宋" w:eastAsia="仿宋" w:cs="仿宋"/>
          <w:color w:val="auto"/>
          <w:sz w:val="36"/>
          <w:szCs w:val="36"/>
          <w:highlight w:val="none"/>
          <w:lang w:eastAsia="zh-CN"/>
        </w:rPr>
      </w:pPr>
    </w:p>
    <w:p>
      <w:pPr>
        <w:ind w:firstLine="480"/>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ind w:firstLine="723"/>
        <w:rPr>
          <w:rStyle w:val="17"/>
          <w:rFonts w:hint="eastAsia" w:ascii="仿宋" w:hAnsi="仿宋" w:eastAsia="仿宋" w:cs="仿宋"/>
          <w:color w:val="auto"/>
          <w:sz w:val="36"/>
          <w:szCs w:val="36"/>
          <w:highlight w:val="none"/>
        </w:rPr>
      </w:pPr>
    </w:p>
    <w:p>
      <w:pPr>
        <w:pStyle w:val="7"/>
        <w:ind w:firstLine="723"/>
        <w:rPr>
          <w:rStyle w:val="17"/>
          <w:rFonts w:hint="eastAsia" w:ascii="仿宋" w:hAnsi="仿宋" w:eastAsia="仿宋" w:cs="仿宋"/>
          <w:color w:val="auto"/>
          <w:sz w:val="36"/>
          <w:szCs w:val="36"/>
          <w:highlight w:val="none"/>
          <w:lang w:eastAsia="zh-CN"/>
        </w:rPr>
      </w:pPr>
    </w:p>
    <w:p>
      <w:pPr>
        <w:ind w:firstLine="480"/>
        <w:rPr>
          <w:rFonts w:hint="eastAsia" w:ascii="仿宋" w:hAnsi="仿宋" w:eastAsia="仿宋" w:cs="仿宋"/>
          <w:color w:val="auto"/>
          <w:highlight w:val="none"/>
        </w:rPr>
      </w:pPr>
    </w:p>
    <w:p>
      <w:pPr>
        <w:spacing w:line="360" w:lineRule="auto"/>
        <w:ind w:firstLine="723"/>
        <w:jc w:val="center"/>
        <w:rPr>
          <w:rStyle w:val="17"/>
          <w:rFonts w:hint="eastAsia" w:ascii="仿宋" w:hAnsi="仿宋" w:eastAsia="仿宋" w:cs="仿宋"/>
          <w:color w:val="auto"/>
          <w:sz w:val="36"/>
          <w:szCs w:val="36"/>
          <w:highlight w:val="none"/>
        </w:rPr>
      </w:pPr>
    </w:p>
    <w:p>
      <w:pPr>
        <w:spacing w:line="360" w:lineRule="auto"/>
        <w:ind w:firstLine="0" w:firstLineChars="0"/>
        <w:jc w:val="center"/>
        <w:rPr>
          <w:rStyle w:val="17"/>
          <w:rFonts w:hint="eastAsia" w:ascii="仿宋" w:hAnsi="仿宋" w:eastAsia="仿宋" w:cs="仿宋"/>
          <w:color w:val="auto"/>
          <w:sz w:val="72"/>
          <w:szCs w:val="72"/>
          <w:highlight w:val="none"/>
        </w:rPr>
      </w:pPr>
      <w:r>
        <w:rPr>
          <w:rStyle w:val="17"/>
          <w:rFonts w:hint="eastAsia" w:ascii="仿宋" w:hAnsi="仿宋" w:eastAsia="仿宋" w:cs="仿宋"/>
          <w:color w:val="auto"/>
          <w:sz w:val="72"/>
          <w:szCs w:val="72"/>
          <w:highlight w:val="none"/>
        </w:rPr>
        <w:t>响 应 文 件</w:t>
      </w: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pStyle w:val="24"/>
        <w:spacing w:line="360" w:lineRule="auto"/>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360"/>
        <w:jc w:val="center"/>
        <w:rPr>
          <w:rFonts w:hint="eastAsia" w:ascii="仿宋" w:hAnsi="仿宋" w:eastAsia="仿宋" w:cs="仿宋"/>
          <w:color w:val="auto"/>
          <w:sz w:val="18"/>
          <w:szCs w:val="18"/>
          <w:highlight w:val="none"/>
        </w:rPr>
      </w:pPr>
    </w:p>
    <w:p>
      <w:pPr>
        <w:spacing w:line="360" w:lineRule="auto"/>
        <w:ind w:firstLine="480"/>
        <w:jc w:val="center"/>
        <w:rPr>
          <w:rFonts w:hint="eastAsia" w:ascii="仿宋" w:hAnsi="仿宋" w:eastAsia="仿宋" w:cs="仿宋"/>
          <w:color w:val="auto"/>
          <w:szCs w:val="28"/>
          <w:highlight w:val="none"/>
        </w:rPr>
      </w:pPr>
    </w:p>
    <w:p>
      <w:pPr>
        <w:spacing w:line="360" w:lineRule="auto"/>
        <w:ind w:firstLine="48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供应商名称：</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(盖单位法人章)</w:t>
      </w:r>
    </w:p>
    <w:p>
      <w:pPr>
        <w:spacing w:line="360" w:lineRule="auto"/>
        <w:ind w:firstLine="480"/>
        <w:jc w:val="center"/>
        <w:rPr>
          <w:rFonts w:hint="eastAsia" w:ascii="仿宋" w:hAnsi="仿宋" w:eastAsia="仿宋" w:cs="仿宋"/>
          <w:color w:val="auto"/>
          <w:sz w:val="25"/>
          <w:szCs w:val="25"/>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(签字)</w:t>
      </w:r>
    </w:p>
    <w:p>
      <w:pPr>
        <w:pStyle w:val="7"/>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日</w:t>
      </w:r>
    </w:p>
    <w:p>
      <w:pP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br w:type="page"/>
      </w:r>
    </w:p>
    <w:p>
      <w:pPr>
        <w:pStyle w:val="2"/>
        <w:rPr>
          <w:rFonts w:hint="eastAsia" w:ascii="仿宋" w:hAnsi="仿宋" w:eastAsia="仿宋" w:cs="仿宋"/>
          <w:color w:val="auto"/>
          <w:highlight w:val="none"/>
        </w:rPr>
      </w:pPr>
    </w:p>
    <w:p>
      <w:pPr>
        <w:numPr>
          <w:ilvl w:val="0"/>
          <w:numId w:val="7"/>
        </w:numPr>
        <w:spacing w:line="312" w:lineRule="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经济部分</w:t>
      </w:r>
    </w:p>
    <w:p>
      <w:pPr>
        <w:tabs>
          <w:tab w:val="left" w:pos="6300"/>
        </w:tabs>
        <w:snapToGrid w:val="0"/>
        <w:spacing w:line="312"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（一）报价函</w:t>
      </w:r>
    </w:p>
    <w:p>
      <w:pPr>
        <w:tabs>
          <w:tab w:val="left" w:pos="6300"/>
        </w:tabs>
        <w:snapToGrid w:val="0"/>
        <w:spacing w:line="360" w:lineRule="auto"/>
        <w:jc w:val="center"/>
        <w:outlineLvl w:val="0"/>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报价函</w:t>
      </w:r>
    </w:p>
    <w:p>
      <w:pPr>
        <w:tabs>
          <w:tab w:val="left" w:pos="6300"/>
        </w:tabs>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采购人</w:t>
      </w:r>
      <w:r>
        <w:rPr>
          <w:rFonts w:hint="eastAsia" w:ascii="仿宋" w:hAnsi="仿宋" w:eastAsia="仿宋" w:cs="仿宋"/>
          <w:i w:val="0"/>
          <w:iCs w:val="0"/>
          <w:color w:val="auto"/>
          <w:sz w:val="24"/>
          <w:szCs w:val="24"/>
          <w:highlight w:val="none"/>
          <w:u w:val="single"/>
        </w:rPr>
        <w:t>名称）</w:t>
      </w:r>
      <w:r>
        <w:rPr>
          <w:rFonts w:hint="eastAsia" w:ascii="仿宋" w:hAnsi="仿宋" w:eastAsia="仿宋" w:cs="仿宋"/>
          <w:i w:val="0"/>
          <w:iCs w:val="0"/>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我方收到____________________________（项目名称）的</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文件，经详细研究，决定参加该项目的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w:t>
      </w:r>
    </w:p>
    <w:p>
      <w:pPr>
        <w:tabs>
          <w:tab w:val="left" w:pos="6300"/>
        </w:tabs>
        <w:snapToGrid w:val="0"/>
        <w:spacing w:line="360" w:lineRule="auto"/>
        <w:ind w:left="10" w:leftChars="5" w:firstLine="458" w:firstLineChars="191"/>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1、愿意按照</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文件中的一切要求，提供本项目的技术服务，报价为人民币</w:t>
      </w:r>
      <w:r>
        <w:rPr>
          <w:rFonts w:hint="eastAsia" w:ascii="仿宋" w:hAnsi="仿宋" w:eastAsia="仿宋" w:cs="仿宋"/>
          <w:i w:val="0"/>
          <w:iCs w:val="0"/>
          <w:color w:val="auto"/>
          <w:sz w:val="24"/>
          <w:szCs w:val="24"/>
          <w:highlight w:val="none"/>
          <w:u w:val="single"/>
        </w:rPr>
        <w:t>大写：     元整</w:t>
      </w:r>
      <w:r>
        <w:rPr>
          <w:rFonts w:hint="eastAsia" w:ascii="仿宋" w:hAnsi="仿宋" w:eastAsia="仿宋" w:cs="仿宋"/>
          <w:i w:val="0"/>
          <w:iCs w:val="0"/>
          <w:color w:val="auto"/>
          <w:sz w:val="24"/>
          <w:szCs w:val="24"/>
          <w:highlight w:val="none"/>
        </w:rPr>
        <w:t>；人民币</w:t>
      </w:r>
      <w:r>
        <w:rPr>
          <w:rFonts w:hint="eastAsia" w:ascii="仿宋" w:hAnsi="仿宋" w:eastAsia="仿宋" w:cs="仿宋"/>
          <w:i w:val="0"/>
          <w:iCs w:val="0"/>
          <w:color w:val="auto"/>
          <w:sz w:val="24"/>
          <w:szCs w:val="24"/>
          <w:highlight w:val="none"/>
          <w:u w:val="single"/>
        </w:rPr>
        <w:t>小写：    元</w:t>
      </w:r>
      <w:r>
        <w:rPr>
          <w:rFonts w:hint="eastAsia" w:ascii="仿宋" w:hAnsi="仿宋" w:eastAsia="仿宋" w:cs="仿宋"/>
          <w:i w:val="0"/>
          <w:iCs w:val="0"/>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2、我方现提交的响应文件为：响应文件电子文档壹份。</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3、我方承诺：本次</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的有效期为90天。</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4、我方完全理解和接受贵方</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文件的一切规定和要求及评审办法。</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5、在整个</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采购过程中，我方若有违规行为，接受按照重庆市政府采购云平台规定给予惩罚。</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6、我方若中选，将按照</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7、我方理解，最低报价不是成交的唯一条件。</w:t>
      </w: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pPr>
        <w:snapToGrid w:val="0"/>
        <w:spacing w:line="360" w:lineRule="auto"/>
        <w:ind w:firstLine="480" w:firstLineChars="200"/>
        <w:rPr>
          <w:rFonts w:hint="eastAsia" w:ascii="仿宋" w:hAnsi="仿宋" w:eastAsia="仿宋" w:cs="仿宋"/>
          <w:i w:val="0"/>
          <w:iCs w:val="0"/>
          <w:color w:val="auto"/>
          <w:sz w:val="24"/>
          <w:szCs w:val="24"/>
          <w:highlight w:val="none"/>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rPr>
        <w:t xml:space="preserve">                                                  年   月   日</w:t>
      </w:r>
    </w:p>
    <w:p>
      <w:pPr>
        <w:tabs>
          <w:tab w:val="left" w:pos="2895"/>
        </w:tabs>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（二）明细报价表</w:t>
      </w: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项目名称：                                        单位：元</w:t>
      </w:r>
    </w:p>
    <w:tbl>
      <w:tblPr>
        <w:tblStyle w:val="15"/>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98"/>
        <w:gridCol w:w="2792"/>
        <w:gridCol w:w="1414"/>
        <w:gridCol w:w="1103"/>
        <w:gridCol w:w="1202"/>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63"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1598" w:type="dxa"/>
            <w:noWrap w:val="0"/>
            <w:vAlign w:val="center"/>
          </w:tcPr>
          <w:p>
            <w:pPr>
              <w:ind w:firstLine="422"/>
              <w:jc w:val="both"/>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名称</w:t>
            </w:r>
          </w:p>
        </w:tc>
        <w:tc>
          <w:tcPr>
            <w:tcW w:w="2792"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品牌型号</w:t>
            </w:r>
          </w:p>
        </w:tc>
        <w:tc>
          <w:tcPr>
            <w:tcW w:w="1414"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制造商</w:t>
            </w:r>
          </w:p>
        </w:tc>
        <w:tc>
          <w:tcPr>
            <w:tcW w:w="1103"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数量</w:t>
            </w:r>
          </w:p>
        </w:tc>
        <w:tc>
          <w:tcPr>
            <w:tcW w:w="1202"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单价</w:t>
            </w:r>
          </w:p>
        </w:tc>
        <w:tc>
          <w:tcPr>
            <w:tcW w:w="806" w:type="dxa"/>
            <w:noWrap w:val="0"/>
            <w:vAlign w:val="center"/>
          </w:tcPr>
          <w:p>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68" w:name="_Toc9762"/>
            <w:bookmarkStart w:id="69" w:name="_Toc5592"/>
            <w:bookmarkStart w:id="70" w:name="_Toc32357"/>
            <w:bookmarkStart w:id="71" w:name="_Toc5470"/>
            <w:bookmarkStart w:id="72" w:name="_Toc1781"/>
            <w:bookmarkStart w:id="73" w:name="_Toc15519"/>
            <w:r>
              <w:rPr>
                <w:rFonts w:hint="eastAsia" w:ascii="方正仿宋_GBK" w:hAnsi="方正仿宋_GBK" w:eastAsia="方正仿宋_GBK" w:cs="方正仿宋_GBK"/>
                <w:color w:val="auto"/>
                <w:sz w:val="21"/>
                <w:szCs w:val="21"/>
              </w:rPr>
              <w:t>1</w:t>
            </w:r>
            <w:bookmarkEnd w:id="68"/>
            <w:bookmarkEnd w:id="69"/>
            <w:bookmarkEnd w:id="70"/>
            <w:bookmarkEnd w:id="71"/>
            <w:bookmarkEnd w:id="72"/>
            <w:bookmarkEnd w:id="73"/>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74" w:name="_Toc21550"/>
            <w:bookmarkStart w:id="75" w:name="_Toc21857"/>
            <w:bookmarkStart w:id="76" w:name="_Toc1949"/>
            <w:bookmarkStart w:id="77" w:name="_Toc1308"/>
            <w:bookmarkStart w:id="78" w:name="_Toc16501"/>
            <w:bookmarkStart w:id="79" w:name="_Toc24610"/>
            <w:r>
              <w:rPr>
                <w:rFonts w:hint="eastAsia" w:ascii="方正仿宋_GBK" w:hAnsi="方正仿宋_GBK" w:eastAsia="方正仿宋_GBK" w:cs="方正仿宋_GBK"/>
                <w:color w:val="auto"/>
                <w:sz w:val="21"/>
                <w:szCs w:val="21"/>
              </w:rPr>
              <w:t>2</w:t>
            </w:r>
            <w:bookmarkEnd w:id="74"/>
            <w:bookmarkEnd w:id="75"/>
            <w:bookmarkEnd w:id="76"/>
            <w:bookmarkEnd w:id="77"/>
            <w:bookmarkEnd w:id="78"/>
            <w:bookmarkEnd w:id="79"/>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0" w:name="_Toc22356"/>
            <w:bookmarkStart w:id="81" w:name="_Toc5914"/>
            <w:bookmarkStart w:id="82" w:name="_Toc16284"/>
            <w:bookmarkStart w:id="83" w:name="_Toc20202"/>
            <w:bookmarkStart w:id="84" w:name="_Toc15951"/>
            <w:bookmarkStart w:id="85" w:name="_Toc32204"/>
            <w:r>
              <w:rPr>
                <w:rFonts w:hint="eastAsia" w:ascii="方正仿宋_GBK" w:hAnsi="方正仿宋_GBK" w:eastAsia="方正仿宋_GBK" w:cs="方正仿宋_GBK"/>
                <w:color w:val="auto"/>
                <w:sz w:val="21"/>
                <w:szCs w:val="21"/>
              </w:rPr>
              <w:t>3</w:t>
            </w:r>
            <w:bookmarkEnd w:id="80"/>
            <w:bookmarkEnd w:id="81"/>
            <w:bookmarkEnd w:id="82"/>
            <w:bookmarkEnd w:id="83"/>
            <w:bookmarkEnd w:id="84"/>
            <w:bookmarkEnd w:id="85"/>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6" w:name="_Toc15241"/>
            <w:bookmarkStart w:id="87" w:name="_Toc22507"/>
            <w:bookmarkStart w:id="88" w:name="_Toc19863"/>
            <w:bookmarkStart w:id="89" w:name="_Toc24997"/>
            <w:bookmarkStart w:id="90" w:name="_Toc32432"/>
            <w:bookmarkStart w:id="91" w:name="_Toc12273"/>
            <w:r>
              <w:rPr>
                <w:rFonts w:hint="eastAsia" w:ascii="方正仿宋_GBK" w:hAnsi="方正仿宋_GBK" w:eastAsia="方正仿宋_GBK" w:cs="方正仿宋_GBK"/>
                <w:color w:val="auto"/>
                <w:sz w:val="21"/>
                <w:szCs w:val="21"/>
              </w:rPr>
              <w:t>4</w:t>
            </w:r>
            <w:bookmarkEnd w:id="86"/>
            <w:bookmarkEnd w:id="87"/>
            <w:bookmarkEnd w:id="88"/>
            <w:bookmarkEnd w:id="89"/>
            <w:bookmarkEnd w:id="90"/>
            <w:bookmarkEnd w:id="91"/>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92" w:name="_Toc30142"/>
            <w:bookmarkStart w:id="93" w:name="_Toc6205"/>
            <w:bookmarkStart w:id="94" w:name="_Toc17321"/>
            <w:bookmarkStart w:id="95" w:name="_Toc31993"/>
            <w:bookmarkStart w:id="96" w:name="_Toc13544"/>
            <w:bookmarkStart w:id="97" w:name="_Toc30829"/>
            <w:r>
              <w:rPr>
                <w:rFonts w:hint="eastAsia" w:ascii="方正仿宋_GBK" w:hAnsi="方正仿宋_GBK" w:eastAsia="方正仿宋_GBK" w:cs="方正仿宋_GBK"/>
                <w:color w:val="auto"/>
                <w:sz w:val="21"/>
                <w:szCs w:val="21"/>
              </w:rPr>
              <w:t>5</w:t>
            </w:r>
            <w:bookmarkEnd w:id="92"/>
            <w:bookmarkEnd w:id="93"/>
            <w:bookmarkEnd w:id="94"/>
            <w:bookmarkEnd w:id="95"/>
            <w:bookmarkEnd w:id="96"/>
            <w:bookmarkEnd w:id="97"/>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98" w:name="_Toc7724"/>
            <w:bookmarkStart w:id="99" w:name="_Toc29210"/>
            <w:bookmarkStart w:id="100" w:name="_Toc30520"/>
            <w:bookmarkStart w:id="101" w:name="_Toc9371"/>
            <w:bookmarkStart w:id="102" w:name="_Toc9562"/>
            <w:bookmarkStart w:id="103" w:name="_Toc196"/>
            <w:r>
              <w:rPr>
                <w:rFonts w:hint="eastAsia" w:ascii="方正仿宋_GBK" w:hAnsi="方正仿宋_GBK" w:eastAsia="方正仿宋_GBK" w:cs="方正仿宋_GBK"/>
                <w:color w:val="auto"/>
                <w:sz w:val="21"/>
                <w:szCs w:val="21"/>
              </w:rPr>
              <w:t>6</w:t>
            </w:r>
            <w:bookmarkEnd w:id="98"/>
            <w:bookmarkEnd w:id="99"/>
            <w:bookmarkEnd w:id="100"/>
            <w:bookmarkEnd w:id="101"/>
            <w:bookmarkEnd w:id="102"/>
            <w:bookmarkEnd w:id="103"/>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04" w:name="_Toc10220"/>
            <w:bookmarkStart w:id="105" w:name="_Toc14433"/>
            <w:bookmarkStart w:id="106" w:name="_Toc306"/>
            <w:bookmarkStart w:id="107" w:name="_Toc18111"/>
            <w:bookmarkStart w:id="108" w:name="_Toc19848"/>
            <w:bookmarkStart w:id="109" w:name="_Toc27558"/>
            <w:r>
              <w:rPr>
                <w:rFonts w:hint="eastAsia" w:ascii="方正仿宋_GBK" w:hAnsi="方正仿宋_GBK" w:eastAsia="方正仿宋_GBK" w:cs="方正仿宋_GBK"/>
                <w:color w:val="auto"/>
                <w:sz w:val="21"/>
                <w:szCs w:val="21"/>
              </w:rPr>
              <w:t>7</w:t>
            </w:r>
            <w:bookmarkEnd w:id="104"/>
            <w:bookmarkEnd w:id="105"/>
            <w:bookmarkEnd w:id="106"/>
            <w:bookmarkEnd w:id="107"/>
            <w:bookmarkEnd w:id="108"/>
            <w:bookmarkEnd w:id="109"/>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p>
        </w:tc>
        <w:tc>
          <w:tcPr>
            <w:tcW w:w="1598" w:type="dxa"/>
            <w:noWrap w:val="0"/>
            <w:vAlign w:val="center"/>
          </w:tcPr>
          <w:p>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279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1103"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pPr>
              <w:ind w:firstLine="420"/>
              <w:jc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63" w:type="dxa"/>
            <w:noWrap w:val="0"/>
            <w:vAlign w:val="center"/>
          </w:tcPr>
          <w:p>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10" w:name="_Toc18740"/>
            <w:bookmarkStart w:id="111" w:name="_Toc5071"/>
            <w:bookmarkStart w:id="112" w:name="_Toc1393"/>
            <w:bookmarkStart w:id="113" w:name="_Toc9215"/>
            <w:bookmarkStart w:id="114" w:name="_Toc21942"/>
            <w:bookmarkStart w:id="115" w:name="_Toc30687"/>
            <w:r>
              <w:rPr>
                <w:rFonts w:hint="eastAsia" w:ascii="方正仿宋_GBK" w:hAnsi="方正仿宋_GBK" w:eastAsia="方正仿宋_GBK" w:cs="方正仿宋_GBK"/>
                <w:color w:val="auto"/>
                <w:sz w:val="21"/>
                <w:szCs w:val="21"/>
              </w:rPr>
              <w:t>1</w:t>
            </w:r>
            <w:bookmarkEnd w:id="110"/>
            <w:bookmarkEnd w:id="111"/>
            <w:bookmarkEnd w:id="112"/>
            <w:bookmarkEnd w:id="113"/>
            <w:bookmarkEnd w:id="114"/>
            <w:bookmarkEnd w:id="115"/>
          </w:p>
        </w:tc>
        <w:tc>
          <w:tcPr>
            <w:tcW w:w="1598" w:type="dxa"/>
            <w:noWrap w:val="0"/>
            <w:vAlign w:val="center"/>
          </w:tcPr>
          <w:p>
            <w:pPr>
              <w:ind w:firstLine="42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总计</w:t>
            </w:r>
          </w:p>
        </w:tc>
        <w:tc>
          <w:tcPr>
            <w:tcW w:w="6511" w:type="dxa"/>
            <w:gridSpan w:val="4"/>
            <w:noWrap w:val="0"/>
            <w:vAlign w:val="top"/>
          </w:tcPr>
          <w:p>
            <w:pPr>
              <w:ind w:firstLine="420"/>
              <w:rPr>
                <w:rFonts w:hint="eastAsia" w:ascii="方正仿宋_GBK" w:hAnsi="方正仿宋_GBK" w:eastAsia="方正仿宋_GBK" w:cs="方正仿宋_GBK"/>
                <w:color w:val="auto"/>
                <w:sz w:val="21"/>
                <w:szCs w:val="21"/>
              </w:rPr>
            </w:pPr>
          </w:p>
        </w:tc>
        <w:tc>
          <w:tcPr>
            <w:tcW w:w="806" w:type="dxa"/>
            <w:noWrap w:val="0"/>
            <w:vAlign w:val="top"/>
          </w:tcPr>
          <w:p>
            <w:pPr>
              <w:ind w:firstLine="420"/>
              <w:rPr>
                <w:rFonts w:hint="eastAsia" w:ascii="方正仿宋_GBK" w:hAnsi="方正仿宋_GBK" w:eastAsia="方正仿宋_GBK" w:cs="方正仿宋_GBK"/>
                <w:color w:val="auto"/>
                <w:sz w:val="21"/>
                <w:szCs w:val="21"/>
              </w:rPr>
            </w:pPr>
          </w:p>
        </w:tc>
      </w:tr>
    </w:tbl>
    <w:p>
      <w:pPr>
        <w:snapToGrid w:val="0"/>
        <w:spacing w:line="312" w:lineRule="auto"/>
        <w:ind w:firstLine="480" w:firstLineChars="200"/>
        <w:rPr>
          <w:rFonts w:hint="eastAsia" w:ascii="仿宋" w:hAnsi="仿宋" w:eastAsia="仿宋" w:cs="仿宋"/>
          <w:i w:val="0"/>
          <w:iCs w:val="0"/>
          <w:color w:val="auto"/>
          <w:sz w:val="24"/>
          <w:szCs w:val="24"/>
          <w:highlight w:val="none"/>
        </w:rPr>
      </w:pPr>
    </w:p>
    <w:p>
      <w:pPr>
        <w:snapToGrid w:val="0"/>
        <w:spacing w:line="312" w:lineRule="auto"/>
        <w:ind w:firstLine="480" w:firstLineChars="200"/>
        <w:rPr>
          <w:rFonts w:hint="eastAsia" w:ascii="仿宋" w:hAnsi="仿宋" w:eastAsia="仿宋" w:cs="仿宋"/>
          <w:i w:val="0"/>
          <w:iCs w:val="0"/>
          <w:color w:val="auto"/>
          <w:sz w:val="24"/>
          <w:szCs w:val="24"/>
          <w:highlight w:val="none"/>
        </w:rPr>
      </w:pP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完整填写本表；</w:t>
      </w:r>
    </w:p>
    <w:p>
      <w:pPr>
        <w:snapToGrid w:val="0"/>
        <w:spacing w:line="288"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2.该表可扩展，并逐页签字或盖章</w:t>
      </w:r>
      <w:r>
        <w:rPr>
          <w:rFonts w:hint="eastAsia" w:ascii="仿宋" w:hAnsi="仿宋" w:eastAsia="仿宋" w:cs="仿宋"/>
          <w:color w:val="auto"/>
          <w:sz w:val="24"/>
          <w:szCs w:val="24"/>
          <w:highlight w:val="none"/>
          <w:lang w:eastAsia="zh-CN"/>
        </w:rPr>
        <w:t>；</w:t>
      </w:r>
    </w:p>
    <w:p>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3.格式自拟</w:t>
      </w:r>
      <w:r>
        <w:rPr>
          <w:rFonts w:hint="eastAsia" w:ascii="仿宋" w:hAnsi="仿宋" w:eastAsia="仿宋" w:cs="仿宋"/>
          <w:color w:val="auto"/>
          <w:sz w:val="24"/>
          <w:szCs w:val="24"/>
          <w:highlight w:val="none"/>
        </w:rPr>
        <w:t>。</w:t>
      </w:r>
    </w:p>
    <w:p>
      <w:pPr>
        <w:snapToGrid w:val="0"/>
        <w:spacing w:line="312" w:lineRule="auto"/>
        <w:rPr>
          <w:rFonts w:hint="eastAsia" w:ascii="仿宋" w:hAnsi="仿宋" w:eastAsia="仿宋" w:cs="仿宋"/>
          <w:i w:val="0"/>
          <w:iCs w:val="0"/>
          <w:color w:val="auto"/>
          <w:sz w:val="24"/>
          <w:szCs w:val="24"/>
          <w:highlight w:val="none"/>
        </w:rPr>
      </w:pPr>
    </w:p>
    <w:p>
      <w:pPr>
        <w:pStyle w:val="2"/>
        <w:spacing w:line="312" w:lineRule="auto"/>
        <w:ind w:firstLine="480"/>
        <w:rPr>
          <w:rFonts w:hint="eastAsia" w:ascii="仿宋" w:hAnsi="仿宋" w:eastAsia="仿宋" w:cs="仿宋"/>
          <w:i w:val="0"/>
          <w:iCs w:val="0"/>
          <w:color w:val="auto"/>
          <w:sz w:val="24"/>
          <w:szCs w:val="24"/>
          <w:highlight w:val="none"/>
        </w:rPr>
      </w:pPr>
    </w:p>
    <w:p>
      <w:pPr>
        <w:pStyle w:val="2"/>
        <w:spacing w:line="312" w:lineRule="auto"/>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spacing w:line="312" w:lineRule="auto"/>
        <w:rPr>
          <w:rFonts w:hint="eastAsia" w:ascii="仿宋" w:hAnsi="仿宋" w:eastAsia="仿宋" w:cs="仿宋"/>
          <w:i w:val="0"/>
          <w:iCs w:val="0"/>
          <w:color w:val="auto"/>
          <w:sz w:val="24"/>
          <w:szCs w:val="24"/>
          <w:highlight w:val="none"/>
        </w:rPr>
      </w:pPr>
    </w:p>
    <w:p>
      <w:pPr>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pPr>
        <w:snapToGrid w:val="0"/>
        <w:spacing w:line="360" w:lineRule="auto"/>
        <w:ind w:firstLine="480" w:firstLineChars="200"/>
        <w:jc w:val="center"/>
        <w:rPr>
          <w:rFonts w:hint="eastAsia" w:ascii="仿宋" w:hAnsi="仿宋" w:eastAsia="仿宋" w:cs="仿宋"/>
          <w:color w:val="auto"/>
          <w:sz w:val="24"/>
          <w:szCs w:val="24"/>
          <w:highlight w:val="none"/>
          <w:bdr w:val="single" w:color="auto" w:sz="4" w:space="0"/>
        </w:rPr>
        <w:sectPr>
          <w:headerReference r:id="rId5"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年     月  </w:t>
      </w:r>
      <w:r>
        <w:rPr>
          <w:rFonts w:hint="eastAsia" w:ascii="仿宋" w:hAnsi="仿宋" w:eastAsia="仿宋" w:cs="仿宋"/>
          <w:i w:val="0"/>
          <w:iCs w:val="0"/>
          <w:color w:val="auto"/>
          <w:sz w:val="24"/>
          <w:szCs w:val="24"/>
          <w:highlight w:val="none"/>
          <w:lang w:val="en-US" w:eastAsia="zh-CN"/>
        </w:rPr>
        <w:t xml:space="preserve"> 日</w:t>
      </w:r>
      <w:r>
        <w:rPr>
          <w:rFonts w:hint="eastAsia" w:ascii="仿宋" w:hAnsi="仿宋" w:eastAsia="仿宋" w:cs="仿宋"/>
          <w:i w:val="0"/>
          <w:iCs w:val="0"/>
          <w:color w:val="auto"/>
          <w:sz w:val="24"/>
          <w:szCs w:val="24"/>
          <w:highlight w:val="none"/>
        </w:rPr>
        <w:t xml:space="preserve">  </w:t>
      </w:r>
    </w:p>
    <w:p>
      <w:pPr>
        <w:pStyle w:val="4"/>
        <w:spacing w:before="0" w:after="0" w:line="360" w:lineRule="auto"/>
        <w:rPr>
          <w:rFonts w:hint="eastAsia" w:ascii="仿宋" w:hAnsi="仿宋" w:eastAsia="仿宋" w:cs="仿宋"/>
          <w:color w:val="auto"/>
          <w:sz w:val="24"/>
          <w:szCs w:val="24"/>
          <w:highlight w:val="none"/>
        </w:rPr>
      </w:pPr>
      <w:bookmarkStart w:id="116" w:name="_Toc9090"/>
      <w:bookmarkStart w:id="117" w:name="_Toc486585241"/>
      <w:bookmarkStart w:id="118" w:name="_Toc487204798"/>
      <w:bookmarkStart w:id="119" w:name="_Toc3192"/>
      <w:bookmarkStart w:id="120" w:name="_Toc486608278"/>
      <w:r>
        <w:rPr>
          <w:rFonts w:hint="eastAsia" w:ascii="仿宋" w:hAnsi="仿宋" w:eastAsia="仿宋" w:cs="仿宋"/>
          <w:color w:val="auto"/>
          <w:sz w:val="24"/>
          <w:szCs w:val="24"/>
          <w:highlight w:val="none"/>
        </w:rPr>
        <w:t>二、技术部分</w:t>
      </w:r>
      <w:bookmarkEnd w:id="116"/>
      <w:bookmarkEnd w:id="117"/>
      <w:bookmarkEnd w:id="118"/>
      <w:bookmarkEnd w:id="119"/>
      <w:bookmarkEnd w:id="120"/>
    </w:p>
    <w:p>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采购项目名称：</w:t>
      </w:r>
    </w:p>
    <w:tbl>
      <w:tblPr>
        <w:tblStyle w:val="1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采购技术要求</w:t>
            </w: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响应技术应答</w:t>
            </w: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正负偏离情况</w:t>
            </w: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bl>
    <w:p>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pPr>
        <w:spacing w:line="500" w:lineRule="exact"/>
        <w:rPr>
          <w:rFonts w:hint="eastAsia" w:ascii="仿宋" w:hAnsi="仿宋" w:eastAsia="仿宋" w:cs="仿宋"/>
          <w:color w:val="auto"/>
          <w:sz w:val="24"/>
          <w:highlight w:val="none"/>
        </w:rPr>
      </w:pPr>
    </w:p>
    <w:p>
      <w:pPr>
        <w:spacing w:line="5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pStyle w:val="25"/>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第二篇  </w:t>
      </w:r>
      <w:r>
        <w:rPr>
          <w:rFonts w:hint="eastAsia" w:ascii="仿宋" w:hAnsi="仿宋" w:eastAsia="仿宋" w:cs="仿宋"/>
          <w:color w:val="auto"/>
          <w:sz w:val="24"/>
          <w:szCs w:val="24"/>
          <w:highlight w:val="none"/>
        </w:rPr>
        <w:t>项目技术</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求”所列技术要求进行比较和响应；</w:t>
      </w:r>
    </w:p>
    <w:p>
      <w:pPr>
        <w:pStyle w:val="26"/>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2、该表必须按照</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文件要求如实填写，根据</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情况在“正负偏离情况”项填写“无差异”、“正偏离”或“负偏离”，在“差异说明”项填写“无差异”或正负偏离说明；</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5、若“响应情况”栏中仅填写“无偏离”或“有偏离”等内容而未作实质性参数描述，视为不满足对应条款。</w:t>
      </w:r>
      <w:r>
        <w:rPr>
          <w:rFonts w:hint="eastAsia" w:ascii="仿宋" w:hAnsi="仿宋" w:eastAsia="仿宋" w:cs="仿宋"/>
          <w:color w:val="auto"/>
          <w:sz w:val="24"/>
          <w:szCs w:val="24"/>
          <w:highlight w:val="none"/>
        </w:rPr>
        <w:br w:type="page"/>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bl>
      <w:tblPr>
        <w:tblStyle w:val="15"/>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采购商务要求</w:t>
            </w: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响应商务应答</w:t>
            </w:r>
          </w:p>
        </w:tc>
        <w:tc>
          <w:tcPr>
            <w:tcW w:w="168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正负偏离情况</w:t>
            </w:r>
          </w:p>
        </w:tc>
        <w:tc>
          <w:tcPr>
            <w:tcW w:w="1680" w:type="dxa"/>
            <w:noWrap w:val="0"/>
            <w:vAlign w:val="center"/>
          </w:tcPr>
          <w:p>
            <w:pPr>
              <w:widowControl w:val="0"/>
              <w:tabs>
                <w:tab w:val="left" w:pos="6300"/>
              </w:tabs>
              <w:spacing w:line="360" w:lineRule="auto"/>
              <w:ind w:firstLine="21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r>
    </w:tbl>
    <w:p>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法定代表人或授权代表： </w:t>
      </w:r>
    </w:p>
    <w:p>
      <w:pPr>
        <w:pStyle w:val="25"/>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pPr>
        <w:pStyle w:val="25"/>
        <w:spacing w:line="360" w:lineRule="auto"/>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pStyle w:val="25"/>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第三篇 </w:t>
      </w:r>
      <w:r>
        <w:rPr>
          <w:rFonts w:hint="eastAsia" w:ascii="仿宋" w:hAnsi="仿宋" w:eastAsia="仿宋" w:cs="仿宋"/>
          <w:color w:val="auto"/>
          <w:sz w:val="24"/>
          <w:szCs w:val="24"/>
          <w:highlight w:val="none"/>
        </w:rPr>
        <w:t>项目商务</w:t>
      </w:r>
      <w:r>
        <w:rPr>
          <w:rFonts w:hint="eastAsia" w:ascii="仿宋" w:hAnsi="仿宋" w:eastAsia="仿宋" w:cs="仿宋"/>
          <w:color w:val="auto"/>
          <w:sz w:val="24"/>
          <w:szCs w:val="24"/>
          <w:highlight w:val="none"/>
          <w:lang w:val="en-US" w:eastAsia="zh-CN"/>
        </w:rPr>
        <w:t>需求</w:t>
      </w:r>
      <w:r>
        <w:rPr>
          <w:rFonts w:hint="eastAsia" w:ascii="仿宋" w:hAnsi="仿宋" w:eastAsia="仿宋" w:cs="仿宋"/>
          <w:color w:val="auto"/>
          <w:sz w:val="24"/>
          <w:szCs w:val="24"/>
          <w:highlight w:val="none"/>
        </w:rPr>
        <w:t>”所列商务要求进行比较和响应；</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2、该表必须按照采购文件要求如实填写，根据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情况在“正负偏离情况”项填写“无差异”、“正偏离”或“负偏离”，在“差异说明”项填写“无差异”或正负偏离说明。</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可附相关支撑材料。（格式自定）</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若“响应情况”栏中仅填写“无偏离”或“有偏离”等内容而未作实质性描述，视为不满足对应条款。</w:t>
      </w:r>
    </w:p>
    <w:p>
      <w:pPr>
        <w:spacing w:line="38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tabs>
          <w:tab w:val="left" w:pos="6300"/>
        </w:tabs>
        <w:snapToGrid w:val="0"/>
        <w:spacing w:line="312" w:lineRule="auto"/>
        <w:rPr>
          <w:rFonts w:hint="eastAsia" w:ascii="仿宋" w:hAnsi="仿宋" w:eastAsia="仿宋" w:cs="仿宋"/>
          <w:b/>
          <w:bCs/>
          <w:i w:val="0"/>
          <w:iCs w:val="0"/>
          <w:color w:val="auto"/>
          <w:sz w:val="24"/>
          <w:szCs w:val="24"/>
          <w:highlight w:val="none"/>
        </w:rPr>
      </w:pPr>
    </w:p>
    <w:p>
      <w:pPr>
        <w:tabs>
          <w:tab w:val="left" w:pos="6300"/>
        </w:tabs>
        <w:snapToGrid w:val="0"/>
        <w:spacing w:line="312" w:lineRule="auto"/>
        <w:rPr>
          <w:rFonts w:hint="eastAsia" w:ascii="仿宋" w:hAnsi="仿宋" w:eastAsia="仿宋" w:cs="仿宋"/>
          <w:b/>
          <w:bCs/>
          <w:i w:val="0"/>
          <w:iCs w:val="0"/>
          <w:color w:val="auto"/>
          <w:sz w:val="24"/>
          <w:szCs w:val="24"/>
          <w:highlight w:val="none"/>
        </w:rPr>
      </w:pPr>
    </w:p>
    <w:p>
      <w:pP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br w:type="page"/>
      </w:r>
    </w:p>
    <w:p>
      <w:pPr>
        <w:tabs>
          <w:tab w:val="left" w:pos="6300"/>
        </w:tabs>
        <w:snapToGrid w:val="0"/>
        <w:spacing w:line="312" w:lineRule="auto"/>
        <w:rPr>
          <w:rFonts w:hint="eastAsia" w:ascii="仿宋" w:hAnsi="仿宋" w:eastAsia="仿宋" w:cs="仿宋"/>
          <w:b w:val="0"/>
          <w:bCs w:val="0"/>
          <w:i w:val="0"/>
          <w:iCs w:val="0"/>
          <w:color w:val="auto"/>
          <w:sz w:val="24"/>
          <w:szCs w:val="24"/>
          <w:highlight w:val="none"/>
        </w:rPr>
      </w:pPr>
      <w:bookmarkStart w:id="121" w:name="_Hlk27399531"/>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lang w:val="en-US" w:eastAsia="zh-CN"/>
        </w:rPr>
        <w:t>二</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rPr>
        <w:t>法定代表人身份证明书</w:t>
      </w:r>
      <w:r>
        <w:rPr>
          <w:rFonts w:hint="eastAsia" w:ascii="仿宋" w:hAnsi="仿宋" w:eastAsia="仿宋" w:cs="仿宋"/>
          <w:b w:val="0"/>
          <w:bCs w:val="0"/>
          <w:i w:val="0"/>
          <w:iCs w:val="0"/>
          <w:color w:val="auto"/>
          <w:sz w:val="24"/>
          <w:szCs w:val="24"/>
          <w:highlight w:val="none"/>
          <w:lang w:val="en-US" w:eastAsia="zh-CN"/>
        </w:rPr>
        <w:t>/</w:t>
      </w:r>
      <w:r>
        <w:rPr>
          <w:rFonts w:hint="eastAsia" w:ascii="仿宋" w:hAnsi="仿宋" w:eastAsia="仿宋" w:cs="仿宋"/>
          <w:b w:val="0"/>
          <w:bCs w:val="0"/>
          <w:i w:val="0"/>
          <w:iCs w:val="0"/>
          <w:color w:val="auto"/>
          <w:sz w:val="24"/>
          <w:szCs w:val="24"/>
          <w:highlight w:val="none"/>
        </w:rPr>
        <w:t>法定代表人授权委托书</w:t>
      </w:r>
    </w:p>
    <w:p>
      <w:pPr>
        <w:tabs>
          <w:tab w:val="left" w:pos="6300"/>
        </w:tabs>
        <w:snapToGrid w:val="0"/>
        <w:spacing w:line="312" w:lineRule="auto"/>
        <w:jc w:val="center"/>
        <w:rPr>
          <w:rFonts w:hint="eastAsia" w:ascii="仿宋" w:hAnsi="仿宋" w:eastAsia="仿宋" w:cs="仿宋"/>
          <w:i w:val="0"/>
          <w:iCs w:val="0"/>
          <w:color w:val="auto"/>
          <w:sz w:val="24"/>
          <w:szCs w:val="24"/>
          <w:highlight w:val="none"/>
        </w:rPr>
      </w:pPr>
    </w:p>
    <w:p>
      <w:pPr>
        <w:tabs>
          <w:tab w:val="left" w:pos="6300"/>
        </w:tabs>
        <w:snapToGrid w:val="0"/>
        <w:spacing w:line="312" w:lineRule="auto"/>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法定代表人授权委托书</w:t>
      </w:r>
    </w:p>
    <w:p>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（供应商名称）的法定代表人，特授权</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（被授权人姓名及身份证代码）电话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代表我单位全权办理上述项目的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、签约等具体工作，并签署全部有关文件、协议及合同。</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我单位对被授权人的签字负全部责任。</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被授权人：                                 法定代表人：</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（签字或盖章）                             （签字或盖章）</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（附：被授权人身份证正反面复印件）</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供应商名称（公章）</w:t>
      </w:r>
    </w:p>
    <w:p>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pPr>
        <w:tabs>
          <w:tab w:val="left" w:pos="6300"/>
        </w:tabs>
        <w:snapToGrid w:val="0"/>
        <w:spacing w:line="312" w:lineRule="auto"/>
        <w:ind w:right="-1"/>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tabs>
          <w:tab w:val="left" w:pos="6300"/>
        </w:tabs>
        <w:snapToGrid w:val="0"/>
        <w:spacing w:line="312" w:lineRule="auto"/>
        <w:ind w:right="-1"/>
        <w:rPr>
          <w:rFonts w:hint="eastAsia" w:ascii="仿宋" w:hAnsi="仿宋" w:eastAsia="仿宋" w:cs="仿宋"/>
          <w:i w:val="0"/>
          <w:iCs w:val="0"/>
          <w:color w:val="auto"/>
          <w:sz w:val="24"/>
          <w:szCs w:val="24"/>
          <w:highlight w:val="none"/>
        </w:rPr>
      </w:pPr>
    </w:p>
    <w:p>
      <w:pPr>
        <w:tabs>
          <w:tab w:val="left" w:pos="6300"/>
        </w:tabs>
        <w:snapToGrid w:val="0"/>
        <w:spacing w:line="312" w:lineRule="auto"/>
        <w:jc w:val="center"/>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rPr>
        <w:t>法定代表人</w:t>
      </w:r>
      <w:r>
        <w:rPr>
          <w:rFonts w:hint="eastAsia" w:ascii="仿宋" w:hAnsi="仿宋" w:eastAsia="仿宋" w:cs="仿宋"/>
          <w:b/>
          <w:bCs/>
          <w:i w:val="0"/>
          <w:iCs w:val="0"/>
          <w:color w:val="auto"/>
          <w:sz w:val="24"/>
          <w:szCs w:val="24"/>
          <w:highlight w:val="none"/>
          <w:lang w:val="en-US" w:eastAsia="zh-CN"/>
        </w:rPr>
        <w:t>身份</w:t>
      </w:r>
      <w:r>
        <w:rPr>
          <w:rFonts w:hint="eastAsia" w:ascii="仿宋" w:hAnsi="仿宋" w:eastAsia="仿宋" w:cs="仿宋"/>
          <w:b/>
          <w:bCs/>
          <w:i w:val="0"/>
          <w:iCs w:val="0"/>
          <w:color w:val="auto"/>
          <w:sz w:val="24"/>
          <w:szCs w:val="24"/>
          <w:highlight w:val="none"/>
        </w:rPr>
        <w:t>证明</w:t>
      </w:r>
      <w:r>
        <w:rPr>
          <w:rFonts w:hint="eastAsia" w:ascii="仿宋" w:hAnsi="仿宋" w:eastAsia="仿宋" w:cs="仿宋"/>
          <w:b/>
          <w:bCs/>
          <w:i w:val="0"/>
          <w:iCs w:val="0"/>
          <w:color w:val="auto"/>
          <w:sz w:val="24"/>
          <w:szCs w:val="24"/>
          <w:highlight w:val="none"/>
          <w:lang w:val="en-US" w:eastAsia="zh-CN"/>
        </w:rPr>
        <w:t>书</w:t>
      </w:r>
    </w:p>
    <w:p>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（法定代表人名称及身份证代码）是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法定代表人（签字或盖章）：                          供应商名称（公章）</w:t>
      </w:r>
    </w:p>
    <w:p>
      <w:pPr>
        <w:tabs>
          <w:tab w:val="left" w:pos="6300"/>
        </w:tabs>
        <w:snapToGrid w:val="0"/>
        <w:spacing w:line="312" w:lineRule="auto"/>
        <w:ind w:right="36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（附：法定代表人身份证正反面复印件）</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）基本资格条件承诺函</w:t>
      </w:r>
    </w:p>
    <w:p>
      <w:pPr>
        <w:widowControl/>
        <w:spacing w:line="530" w:lineRule="exact"/>
        <w:jc w:val="left"/>
        <w:rPr>
          <w:rFonts w:hint="eastAsia" w:ascii="仿宋" w:hAnsi="仿宋" w:eastAsia="仿宋" w:cs="仿宋"/>
          <w:color w:val="auto"/>
          <w:sz w:val="24"/>
          <w:szCs w:val="24"/>
          <w:highlight w:val="none"/>
        </w:rPr>
      </w:pPr>
    </w:p>
    <w:p>
      <w:pPr>
        <w:tabs>
          <w:tab w:val="left" w:pos="6300"/>
        </w:tabs>
        <w:snapToGrid w:val="0"/>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pPr>
        <w:tabs>
          <w:tab w:val="left" w:pos="6300"/>
        </w:tabs>
        <w:snapToGrid w:val="0"/>
        <w:spacing w:line="530" w:lineRule="exact"/>
        <w:rPr>
          <w:rFonts w:hint="eastAsia" w:ascii="仿宋" w:hAnsi="仿宋" w:eastAsia="仿宋" w:cs="仿宋"/>
          <w:color w:val="auto"/>
          <w:sz w:val="24"/>
          <w:szCs w:val="24"/>
          <w:highlight w:val="none"/>
        </w:rPr>
      </w:pPr>
    </w:p>
    <w:p>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名称）郑重承诺：</w:t>
      </w:r>
    </w:p>
    <w:p>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pPr>
        <w:tabs>
          <w:tab w:val="left" w:pos="6300"/>
        </w:tabs>
        <w:snapToGrid w:val="0"/>
        <w:spacing w:line="530" w:lineRule="exact"/>
        <w:rPr>
          <w:rFonts w:hint="eastAsia" w:ascii="仿宋" w:hAnsi="仿宋" w:eastAsia="仿宋" w:cs="仿宋"/>
          <w:color w:val="auto"/>
          <w:sz w:val="24"/>
          <w:szCs w:val="24"/>
          <w:highlight w:val="none"/>
        </w:rPr>
      </w:pPr>
    </w:p>
    <w:p>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w:t>
      </w:r>
    </w:p>
    <w:p>
      <w:pPr>
        <w:tabs>
          <w:tab w:val="left" w:pos="6300"/>
        </w:tabs>
        <w:snapToGrid w:val="0"/>
        <w:spacing w:line="53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tabs>
          <w:tab w:val="left" w:pos="6300"/>
        </w:tabs>
        <w:snapToGrid w:val="0"/>
        <w:spacing w:line="312" w:lineRule="auto"/>
        <w:rPr>
          <w:rFonts w:hint="eastAsia" w:ascii="仿宋" w:hAnsi="仿宋" w:eastAsia="仿宋" w:cs="仿宋"/>
          <w:i w:val="0"/>
          <w:iCs w:val="0"/>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pPr>
        <w:tabs>
          <w:tab w:val="left" w:pos="6300"/>
        </w:tabs>
        <w:snapToGrid w:val="0"/>
        <w:spacing w:line="312" w:lineRule="auto"/>
        <w:ind w:firstLine="570"/>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安全承诺书</w:t>
      </w:r>
    </w:p>
    <w:p>
      <w:pPr>
        <w:pStyle w:val="2"/>
        <w:rPr>
          <w:rFonts w:hint="eastAsia"/>
        </w:rPr>
      </w:pPr>
    </w:p>
    <w:p>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致采购人：重庆工业职业技术学院</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我公司本着对所承接项目认真负责的态度，对采购人《</w:t>
      </w:r>
      <w:r>
        <w:rPr>
          <w:rFonts w:hint="eastAsia" w:ascii="仿宋" w:hAnsi="仿宋" w:eastAsia="仿宋" w:cs="仿宋"/>
          <w:i w:val="0"/>
          <w:iCs w:val="0"/>
          <w:color w:val="auto"/>
          <w:sz w:val="24"/>
          <w:szCs w:val="24"/>
          <w:highlight w:val="none"/>
          <w:lang w:val="en-US" w:eastAsia="zh-CN"/>
        </w:rPr>
        <w:t>2024年继续教育学院第三教学楼3楼阶梯教室改造项目（桌椅））</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项目编号</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DC2024A015</w:t>
      </w:r>
      <w:r>
        <w:rPr>
          <w:rFonts w:hint="eastAsia" w:ascii="仿宋" w:hAnsi="仿宋" w:eastAsia="仿宋" w:cs="仿宋"/>
          <w:i w:val="0"/>
          <w:iCs w:val="0"/>
          <w:color w:val="auto"/>
          <w:sz w:val="24"/>
          <w:szCs w:val="24"/>
          <w:highlight w:val="none"/>
        </w:rPr>
        <w:t>），庄重地作出以下承诺：</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一、我公司承诺本单位所承接的项目均按优质服务完成。</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二、我公司承诺所承接的服务项目均能按采购人提出的工期完成；对采购人提出的整改意见，我公司保证在</w:t>
      </w:r>
      <w:r>
        <w:rPr>
          <w:rFonts w:hint="eastAsia" w:ascii="仿宋" w:hAnsi="仿宋" w:eastAsia="仿宋" w:cs="仿宋"/>
          <w:i w:val="0"/>
          <w:iCs w:val="0"/>
          <w:color w:val="auto"/>
          <w:sz w:val="24"/>
          <w:szCs w:val="24"/>
          <w:highlight w:val="none"/>
          <w:lang w:val="en-US" w:eastAsia="zh-CN"/>
        </w:rPr>
        <w:t>两</w:t>
      </w:r>
      <w:r>
        <w:rPr>
          <w:rFonts w:hint="eastAsia" w:ascii="仿宋" w:hAnsi="仿宋" w:eastAsia="仿宋" w:cs="仿宋"/>
          <w:i w:val="0"/>
          <w:iCs w:val="0"/>
          <w:color w:val="auto"/>
          <w:sz w:val="24"/>
          <w:szCs w:val="24"/>
          <w:highlight w:val="none"/>
        </w:rPr>
        <w:t xml:space="preserve">个工作日内派人到现场进行整改。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三、我公司承诺对所承接服务的一切安全负责，合同履约过程中做好安全防护措施，确保服务中无任何安全事故发生，在服务过程中因危险操作、操作不当等原因导致的安全事故，均与采购人无关，由我公司自行承担全部责任。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四、我公司承诺做到文明服务，规范工作人员的操作行为。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五、我公司承诺派专人(技术员)驻采购人服务现场，投入足够的施工人力，并根据具体进度要求加派设备调试队伍。</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六、进行施工安装时，确保建筑本体外立面无任何非必要的损坏。</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七</w:t>
      </w:r>
      <w:r>
        <w:rPr>
          <w:rFonts w:hint="eastAsia" w:ascii="仿宋" w:hAnsi="仿宋" w:eastAsia="仿宋" w:cs="仿宋"/>
          <w:i w:val="0"/>
          <w:iCs w:val="0"/>
          <w:color w:val="auto"/>
          <w:sz w:val="24"/>
          <w:szCs w:val="24"/>
          <w:highlight w:val="none"/>
        </w:rPr>
        <w:t xml:space="preserve">、我公司承诺按照上述要求安装调试并独立承担因运输、安装、调试不当或其他原因导致的人身伤亡、财产损害等全部赔偿责任。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承诺人（盖章）：</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    年   月    日</w:t>
      </w:r>
    </w:p>
    <w:p>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w:t>
      </w:r>
    </w:p>
    <w:p>
      <w:pPr>
        <w:pStyle w:val="5"/>
        <w:rPr>
          <w:rFonts w:hint="eastAsia"/>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pPr>
        <w:bidi w:val="0"/>
        <w:ind w:firstLine="3600" w:firstLineChars="1500"/>
        <w:jc w:val="left"/>
        <w:rPr>
          <w:lang w:val="en-US" w:eastAsia="zh-CN"/>
        </w:rPr>
      </w:pPr>
      <w:r>
        <w:rPr>
          <w:rFonts w:hint="eastAsia" w:ascii="仿宋" w:hAnsi="仿宋" w:eastAsia="仿宋" w:cs="仿宋"/>
          <w:i w:val="0"/>
          <w:iCs w:val="0"/>
          <w:color w:val="auto"/>
          <w:sz w:val="24"/>
          <w:szCs w:val="24"/>
          <w:highlight w:val="none"/>
        </w:rPr>
        <w:t>（结束）</w:t>
      </w:r>
      <w:bookmarkEnd w:id="121"/>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2"/>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- 11 -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bidi w:val="0"/>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992A0"/>
    <w:multiLevelType w:val="singleLevel"/>
    <w:tmpl w:val="D28992A0"/>
    <w:lvl w:ilvl="0" w:tentative="0">
      <w:start w:val="2"/>
      <w:numFmt w:val="chineseCounting"/>
      <w:suff w:val="space"/>
      <w:lvlText w:val="第%1篇"/>
      <w:lvlJc w:val="left"/>
      <w:rPr>
        <w:rFonts w:hint="eastAsia"/>
      </w:rPr>
    </w:lvl>
  </w:abstractNum>
  <w:abstractNum w:abstractNumId="1">
    <w:nsid w:val="FAB3A20A"/>
    <w:multiLevelType w:val="singleLevel"/>
    <w:tmpl w:val="FAB3A20A"/>
    <w:lvl w:ilvl="0" w:tentative="0">
      <w:start w:val="2"/>
      <w:numFmt w:val="decimal"/>
      <w:lvlText w:val="%1."/>
      <w:lvlJc w:val="left"/>
      <w:pPr>
        <w:tabs>
          <w:tab w:val="left" w:pos="312"/>
        </w:tabs>
      </w:pPr>
    </w:lvl>
  </w:abstractNum>
  <w:abstractNum w:abstractNumId="2">
    <w:nsid w:val="51BB8195"/>
    <w:multiLevelType w:val="singleLevel"/>
    <w:tmpl w:val="51BB8195"/>
    <w:lvl w:ilvl="0" w:tentative="0">
      <w:start w:val="1"/>
      <w:numFmt w:val="chineseCounting"/>
      <w:suff w:val="space"/>
      <w:lvlText w:val="第%1篇"/>
      <w:lvlJc w:val="left"/>
      <w:rPr>
        <w:rFonts w:hint="eastAsia"/>
      </w:rPr>
    </w:lvl>
  </w:abstractNum>
  <w:abstractNum w:abstractNumId="3">
    <w:nsid w:val="593A3433"/>
    <w:multiLevelType w:val="multilevel"/>
    <w:tmpl w:val="593A3433"/>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20"/>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4">
    <w:nsid w:val="61C581F5"/>
    <w:multiLevelType w:val="singleLevel"/>
    <w:tmpl w:val="61C581F5"/>
    <w:lvl w:ilvl="0" w:tentative="0">
      <w:start w:val="1"/>
      <w:numFmt w:val="chineseCounting"/>
      <w:suff w:val="nothing"/>
      <w:lvlText w:val="%1、"/>
      <w:lvlJc w:val="left"/>
      <w:rPr>
        <w:rFonts w:hint="eastAsia"/>
      </w:rPr>
    </w:lvl>
  </w:abstractNum>
  <w:abstractNum w:abstractNumId="5">
    <w:nsid w:val="64F7617D"/>
    <w:multiLevelType w:val="singleLevel"/>
    <w:tmpl w:val="64F7617D"/>
    <w:lvl w:ilvl="0" w:tentative="0">
      <w:start w:val="1"/>
      <w:numFmt w:val="chineseCounting"/>
      <w:suff w:val="nothing"/>
      <w:lvlText w:val="%1、"/>
      <w:lvlJc w:val="left"/>
      <w:rPr>
        <w:rFonts w:hint="eastAsia"/>
      </w:rPr>
    </w:lvl>
  </w:abstractNum>
  <w:abstractNum w:abstractNumId="6">
    <w:nsid w:val="7505D2DA"/>
    <w:multiLevelType w:val="singleLevel"/>
    <w:tmpl w:val="7505D2DA"/>
    <w:lvl w:ilvl="0" w:tentative="0">
      <w:start w:val="3"/>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GJjZmM4YmUxMmE3MWYzZDEzOTA1NGVkYzM1M2MifQ=="/>
  </w:docVars>
  <w:rsids>
    <w:rsidRoot w:val="1EB140BD"/>
    <w:rsid w:val="00562A6F"/>
    <w:rsid w:val="02C35873"/>
    <w:rsid w:val="065010E9"/>
    <w:rsid w:val="06A6630C"/>
    <w:rsid w:val="0E1A10D9"/>
    <w:rsid w:val="11A225FF"/>
    <w:rsid w:val="14DA6DA2"/>
    <w:rsid w:val="1EB140BD"/>
    <w:rsid w:val="208D63E6"/>
    <w:rsid w:val="24951237"/>
    <w:rsid w:val="25686CD8"/>
    <w:rsid w:val="27BE5835"/>
    <w:rsid w:val="2A8B74D8"/>
    <w:rsid w:val="2F8603FD"/>
    <w:rsid w:val="30386CF8"/>
    <w:rsid w:val="317070E6"/>
    <w:rsid w:val="35D8537C"/>
    <w:rsid w:val="37537BC6"/>
    <w:rsid w:val="3DD05E38"/>
    <w:rsid w:val="3F583A98"/>
    <w:rsid w:val="3FFC3696"/>
    <w:rsid w:val="44462BC5"/>
    <w:rsid w:val="4C3F29AF"/>
    <w:rsid w:val="51B34C8A"/>
    <w:rsid w:val="53282D69"/>
    <w:rsid w:val="58F413E2"/>
    <w:rsid w:val="5BB7674D"/>
    <w:rsid w:val="5CD12124"/>
    <w:rsid w:val="62C92CD3"/>
    <w:rsid w:val="648B6BD5"/>
    <w:rsid w:val="667A39CB"/>
    <w:rsid w:val="67656FBF"/>
    <w:rsid w:val="68822004"/>
    <w:rsid w:val="69CB611F"/>
    <w:rsid w:val="6D470D62"/>
    <w:rsid w:val="70025EA0"/>
    <w:rsid w:val="70FA04FB"/>
    <w:rsid w:val="74575651"/>
    <w:rsid w:val="7486193A"/>
    <w:rsid w:val="75AB28A7"/>
    <w:rsid w:val="76421357"/>
    <w:rsid w:val="76C31B06"/>
    <w:rsid w:val="794E423F"/>
    <w:rsid w:val="7A6B5D19"/>
    <w:rsid w:val="7C667041"/>
    <w:rsid w:val="7D520984"/>
    <w:rsid w:val="7D7635FF"/>
    <w:rsid w:val="7F98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spacing w:line="180" w:lineRule="auto"/>
      <w:jc w:val="center"/>
    </w:pPr>
    <w:rPr>
      <w:sz w:val="30"/>
    </w:rPr>
  </w:style>
  <w:style w:type="paragraph" w:styleId="6">
    <w:name w:val="table of authorities"/>
    <w:basedOn w:val="1"/>
    <w:next w:val="1"/>
    <w:autoRedefine/>
    <w:qFormat/>
    <w:uiPriority w:val="0"/>
    <w:pPr>
      <w:ind w:left="420" w:leftChars="200"/>
    </w:pPr>
  </w:style>
  <w:style w:type="paragraph" w:styleId="7">
    <w:name w:val="Body Text"/>
    <w:basedOn w:val="1"/>
    <w:next w:val="8"/>
    <w:qFormat/>
    <w:uiPriority w:val="0"/>
    <w:rPr>
      <w:rFonts w:ascii="仿宋_GB2312" w:eastAsia="仿宋_GB2312"/>
      <w:sz w:val="32"/>
    </w:rPr>
  </w:style>
  <w:style w:type="paragraph" w:styleId="8">
    <w:name w:val="Body Text First Indent"/>
    <w:basedOn w:val="7"/>
    <w:autoRedefine/>
    <w:semiHidden/>
    <w:qFormat/>
    <w:uiPriority w:val="0"/>
    <w:pPr>
      <w:widowControl w:val="0"/>
      <w:spacing w:line="360" w:lineRule="auto"/>
      <w:ind w:firstLine="420"/>
    </w:pPr>
    <w:rPr>
      <w:rFonts w:ascii="宋体" w:hAnsi="宋体"/>
    </w:rPr>
  </w:style>
  <w:style w:type="paragraph" w:styleId="9">
    <w:name w:val="Body Text Indent"/>
    <w:basedOn w:val="1"/>
    <w:autoRedefine/>
    <w:qFormat/>
    <w:uiPriority w:val="0"/>
    <w:pPr>
      <w:spacing w:line="700" w:lineRule="exact"/>
      <w:ind w:left="960"/>
    </w:pPr>
    <w:rPr>
      <w:sz w:val="44"/>
    </w:rPr>
  </w:style>
  <w:style w:type="paragraph" w:styleId="10">
    <w:name w:val="Date"/>
    <w:basedOn w:val="1"/>
    <w:next w:val="1"/>
    <w:autoRedefine/>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List"/>
    <w:basedOn w:val="1"/>
    <w:autoRedefine/>
    <w:semiHidden/>
    <w:qFormat/>
    <w:uiPriority w:val="0"/>
    <w:pPr>
      <w:ind w:left="200" w:hanging="200" w:hangingChars="200"/>
    </w:pPr>
  </w:style>
  <w:style w:type="character" w:styleId="17">
    <w:name w:val="Strong"/>
    <w:qFormat/>
    <w:uiPriority w:val="0"/>
    <w:rPr>
      <w:b/>
    </w:rPr>
  </w:style>
  <w:style w:type="character" w:styleId="18">
    <w:name w:val="page number"/>
    <w:basedOn w:val="16"/>
    <w:autoRedefine/>
    <w:qFormat/>
    <w:uiPriority w:val="0"/>
  </w:style>
  <w:style w:type="paragraph" w:customStyle="1" w:styleId="19">
    <w:name w:val="样式 宋体 五号 行距: 单倍行距"/>
    <w:basedOn w:val="1"/>
    <w:autoRedefine/>
    <w:semiHidden/>
    <w:qFormat/>
    <w:uiPriority w:val="0"/>
    <w:pPr>
      <w:adjustRightInd w:val="0"/>
    </w:pPr>
    <w:rPr>
      <w:rFonts w:ascii="宋体" w:hAnsi="宋体"/>
      <w:kern w:val="0"/>
    </w:rPr>
  </w:style>
  <w:style w:type="paragraph" w:customStyle="1" w:styleId="20">
    <w:name w:val="标题 5（有编号）（绿盟科技）"/>
    <w:basedOn w:val="1"/>
    <w:next w:val="2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1">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2">
    <w:name w:val="电建正文"/>
    <w:basedOn w:val="23"/>
    <w:autoRedefine/>
    <w:qFormat/>
    <w:uiPriority w:val="0"/>
    <w:pPr>
      <w:tabs>
        <w:tab w:val="left" w:pos="720"/>
      </w:tabs>
      <w:spacing w:line="360" w:lineRule="auto"/>
      <w:ind w:firstLine="200" w:firstLineChars="200"/>
    </w:pPr>
    <w:rPr>
      <w:rFonts w:ascii="Tahoma" w:hAnsi="Tahoma"/>
      <w:sz w:val="24"/>
    </w:rPr>
  </w:style>
  <w:style w:type="paragraph" w:customStyle="1" w:styleId="23">
    <w:name w:val="List First"/>
    <w:basedOn w:val="14"/>
    <w:next w:val="14"/>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4">
    <w:name w:val="Default"/>
    <w:autoRedefine/>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6">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2023-11-01T01:13:00Z</dcterms:created>
  <dc:creator>贺潆晗</dc:creator>
  <cp:lastModifiedBy>贺潆晗</cp:lastModifiedBy>
  <dcterms:modified xsi:type="dcterms:W3CDTF">2024-05-09T06:52:39Z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58C0FD3B55F44EA3894DC7A130BE0578_13</vt:lpwstr>
  </property>
</Properties>
</file>