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color w:val="auto"/>
        </w:rPr>
      </w:pPr>
      <w:bookmarkStart w:id="0" w:name="_GoBack"/>
      <w:r>
        <w:rPr>
          <w:rFonts w:hint="eastAsia" w:ascii="宋体" w:hAnsi="宋体"/>
          <w:color w:val="auto"/>
        </w:rPr>
        <w:t xml:space="preserve"> </w:t>
      </w:r>
    </w:p>
    <w:p>
      <w:pPr>
        <w:jc w:val="center"/>
        <w:outlineLvl w:val="0"/>
        <w:rPr>
          <w:rFonts w:ascii="方正小标宋_GBK" w:hAnsi="方正小标宋_GBK" w:eastAsia="方正小标宋_GBK" w:cs="方正小标宋_GBK"/>
          <w:color w:val="auto"/>
          <w:spacing w:val="80"/>
          <w:sz w:val="96"/>
          <w:szCs w:val="96"/>
        </w:rPr>
      </w:pPr>
    </w:p>
    <w:p>
      <w:pPr>
        <w:jc w:val="center"/>
        <w:outlineLvl w:val="0"/>
        <w:rPr>
          <w:rFonts w:ascii="方正小标宋_GBK" w:hAnsi="方正小标宋_GBK" w:eastAsia="方正小标宋_GBK" w:cs="方正小标宋_GBK"/>
          <w:color w:val="auto"/>
          <w:spacing w:val="80"/>
          <w:sz w:val="96"/>
          <w:szCs w:val="96"/>
        </w:rPr>
      </w:pPr>
      <w:r>
        <w:rPr>
          <w:rFonts w:hint="eastAsia" w:ascii="方正小标宋_GBK" w:hAnsi="方正小标宋_GBK" w:eastAsia="方正小标宋_GBK" w:cs="方正小标宋_GBK"/>
          <w:color w:val="auto"/>
          <w:spacing w:val="80"/>
          <w:sz w:val="96"/>
          <w:szCs w:val="96"/>
        </w:rPr>
        <w:t>货物网上竞采文件</w:t>
      </w:r>
    </w:p>
    <w:p>
      <w:pPr>
        <w:spacing w:line="700" w:lineRule="exact"/>
        <w:ind w:left="3435" w:leftChars="557" w:hanging="2265" w:hangingChars="708"/>
        <w:rPr>
          <w:rFonts w:ascii="方正小标宋_GBK" w:hAnsi="方正小标宋_GBK" w:eastAsia="方正小标宋_GBK" w:cs="方正小标宋_GBK"/>
          <w:color w:val="auto"/>
          <w:sz w:val="32"/>
          <w:szCs w:val="32"/>
        </w:rPr>
      </w:pPr>
    </w:p>
    <w:p>
      <w:pPr>
        <w:spacing w:line="700" w:lineRule="exact"/>
        <w:ind w:left="3435" w:leftChars="557" w:hanging="2265" w:hangingChars="708"/>
        <w:rPr>
          <w:rFonts w:ascii="方正小标宋_GBK" w:hAnsi="方正小标宋_GBK" w:eastAsia="方正小标宋_GBK" w:cs="方正小标宋_GBK"/>
          <w:color w:val="auto"/>
          <w:sz w:val="32"/>
          <w:szCs w:val="32"/>
        </w:rPr>
      </w:pPr>
    </w:p>
    <w:p>
      <w:pPr>
        <w:spacing w:line="700" w:lineRule="exact"/>
        <w:ind w:left="3435" w:leftChars="557" w:hanging="2265" w:hangingChars="708"/>
        <w:rPr>
          <w:rFonts w:ascii="方正小标宋_GBK" w:hAnsi="方正小标宋_GBK" w:eastAsia="方正小标宋_GBK" w:cs="方正小标宋_GBK"/>
          <w:color w:val="auto"/>
          <w:sz w:val="32"/>
          <w:szCs w:val="32"/>
        </w:rPr>
      </w:pPr>
    </w:p>
    <w:p>
      <w:pPr>
        <w:spacing w:line="700" w:lineRule="exact"/>
        <w:ind w:left="3435" w:leftChars="557" w:hanging="2265" w:hangingChars="708"/>
        <w:rPr>
          <w:rFonts w:ascii="方正小标宋_GBK" w:hAnsi="方正小标宋_GBK" w:eastAsia="方正小标宋_GBK" w:cs="方正小标宋_GBK"/>
          <w:color w:val="auto"/>
          <w:sz w:val="32"/>
          <w:szCs w:val="32"/>
        </w:rPr>
      </w:pPr>
    </w:p>
    <w:p>
      <w:pPr>
        <w:spacing w:line="360" w:lineRule="auto"/>
        <w:ind w:left="3435" w:leftChars="406" w:hanging="2582" w:hangingChars="807"/>
        <w:rPr>
          <w:rFonts w:hint="eastAsia"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rPr>
        <w:t>项目名称：重庆市荣昌区</w:t>
      </w:r>
      <w:r>
        <w:rPr>
          <w:rFonts w:hint="eastAsia" w:ascii="方正小标宋_GBK" w:hAnsi="方正小标宋_GBK" w:eastAsia="方正小标宋_GBK" w:cs="方正小标宋_GBK"/>
          <w:color w:val="auto"/>
          <w:sz w:val="32"/>
          <w:szCs w:val="32"/>
          <w:lang w:eastAsia="zh-CN"/>
        </w:rPr>
        <w:t>铜鼓</w:t>
      </w:r>
      <w:r>
        <w:rPr>
          <w:rFonts w:hint="eastAsia" w:ascii="方正小标宋_GBK" w:hAnsi="方正小标宋_GBK" w:eastAsia="方正小标宋_GBK" w:cs="方正小标宋_GBK"/>
          <w:color w:val="auto"/>
          <w:sz w:val="32"/>
          <w:szCs w:val="32"/>
        </w:rPr>
        <w:t>镇</w:t>
      </w:r>
      <w:r>
        <w:rPr>
          <w:rFonts w:hint="eastAsia" w:ascii="方正小标宋_GBK" w:hAnsi="方正小标宋_GBK" w:eastAsia="方正小标宋_GBK" w:cs="方正小标宋_GBK"/>
          <w:color w:val="auto"/>
          <w:sz w:val="32"/>
          <w:szCs w:val="32"/>
          <w:lang w:val="en-US" w:eastAsia="zh-CN"/>
        </w:rPr>
        <w:t>中心小学功能室设备</w:t>
      </w:r>
      <w:r>
        <w:rPr>
          <w:rFonts w:hint="eastAsia" w:ascii="方正小标宋_GBK" w:hAnsi="方正小标宋_GBK" w:eastAsia="方正小标宋_GBK" w:cs="方正小标宋_GBK"/>
          <w:color w:val="auto"/>
          <w:sz w:val="32"/>
          <w:szCs w:val="32"/>
        </w:rPr>
        <w:t>采购</w:t>
      </w:r>
    </w:p>
    <w:p>
      <w:pPr>
        <w:spacing w:line="360" w:lineRule="auto"/>
        <w:ind w:firstLine="800" w:firstLineChars="250"/>
        <w:rPr>
          <w:rFonts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rPr>
        <w:t>采购单位：重庆市荣昌区</w:t>
      </w:r>
      <w:r>
        <w:rPr>
          <w:rFonts w:hint="eastAsia" w:ascii="方正小标宋_GBK" w:hAnsi="方正小标宋_GBK" w:eastAsia="方正小标宋_GBK" w:cs="方正小标宋_GBK"/>
          <w:color w:val="auto"/>
          <w:sz w:val="32"/>
          <w:szCs w:val="32"/>
          <w:lang w:eastAsia="zh-CN"/>
        </w:rPr>
        <w:t>铜鼓</w:t>
      </w:r>
      <w:r>
        <w:rPr>
          <w:rFonts w:hint="eastAsia" w:ascii="方正小标宋_GBK" w:hAnsi="方正小标宋_GBK" w:eastAsia="方正小标宋_GBK" w:cs="方正小标宋_GBK"/>
          <w:color w:val="auto"/>
          <w:sz w:val="32"/>
          <w:szCs w:val="32"/>
        </w:rPr>
        <w:t>镇中心小学</w:t>
      </w:r>
    </w:p>
    <w:p>
      <w:pPr>
        <w:spacing w:line="700" w:lineRule="exact"/>
        <w:ind w:left="3435" w:leftChars="557" w:hanging="2265" w:hangingChars="708"/>
        <w:rPr>
          <w:rFonts w:ascii="方正小标宋_GBK" w:hAnsi="方正小标宋_GBK" w:eastAsia="方正小标宋_GBK" w:cs="方正小标宋_GBK"/>
          <w:color w:val="auto"/>
          <w:sz w:val="32"/>
          <w:szCs w:val="32"/>
        </w:rPr>
      </w:pPr>
    </w:p>
    <w:p>
      <w:pPr>
        <w:spacing w:line="700" w:lineRule="exact"/>
        <w:ind w:left="3435" w:leftChars="557" w:hanging="2265" w:hangingChars="708"/>
        <w:rPr>
          <w:rFonts w:ascii="方正小标宋_GBK" w:hAnsi="方正小标宋_GBK" w:eastAsia="方正小标宋_GBK" w:cs="方正小标宋_GBK"/>
          <w:color w:val="auto"/>
          <w:sz w:val="32"/>
          <w:szCs w:val="32"/>
        </w:rPr>
      </w:pPr>
    </w:p>
    <w:p>
      <w:pPr>
        <w:spacing w:line="700" w:lineRule="exact"/>
        <w:ind w:left="3435" w:leftChars="557" w:hanging="2265" w:hangingChars="708"/>
        <w:rPr>
          <w:rFonts w:ascii="方正小标宋_GBK" w:hAnsi="方正小标宋_GBK" w:eastAsia="方正小标宋_GBK" w:cs="方正小标宋_GBK"/>
          <w:color w:val="auto"/>
          <w:sz w:val="32"/>
          <w:szCs w:val="32"/>
        </w:rPr>
      </w:pPr>
    </w:p>
    <w:p>
      <w:pPr>
        <w:spacing w:line="700" w:lineRule="exact"/>
        <w:ind w:left="3435" w:leftChars="557" w:hanging="2265" w:hangingChars="708"/>
        <w:rPr>
          <w:rFonts w:ascii="方正小标宋_GBK" w:hAnsi="方正小标宋_GBK" w:eastAsia="方正小标宋_GBK" w:cs="方正小标宋_GBK"/>
          <w:color w:val="auto"/>
          <w:sz w:val="32"/>
          <w:szCs w:val="32"/>
        </w:rPr>
      </w:pPr>
    </w:p>
    <w:p>
      <w:pPr>
        <w:spacing w:line="700" w:lineRule="exact"/>
        <w:jc w:val="center"/>
        <w:rPr>
          <w:rFonts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rPr>
        <w:t>二〇二</w:t>
      </w:r>
      <w:r>
        <w:rPr>
          <w:rFonts w:hint="eastAsia" w:ascii="方正小标宋_GBK" w:hAnsi="方正小标宋_GBK" w:eastAsia="方正小标宋_GBK" w:cs="方正小标宋_GBK"/>
          <w:color w:val="auto"/>
          <w:sz w:val="32"/>
          <w:szCs w:val="32"/>
          <w:lang w:eastAsia="zh-CN"/>
        </w:rPr>
        <w:t>五</w:t>
      </w:r>
      <w:r>
        <w:rPr>
          <w:rFonts w:hint="eastAsia" w:ascii="方正小标宋_GBK" w:hAnsi="方正小标宋_GBK" w:eastAsia="方正小标宋_GBK" w:cs="方正小标宋_GBK"/>
          <w:color w:val="auto"/>
          <w:sz w:val="32"/>
          <w:szCs w:val="32"/>
        </w:rPr>
        <w:t>年</w:t>
      </w:r>
      <w:r>
        <w:rPr>
          <w:rFonts w:hint="eastAsia" w:ascii="方正小标宋_GBK" w:hAnsi="方正小标宋_GBK" w:eastAsia="方正小标宋_GBK" w:cs="方正小标宋_GBK"/>
          <w:color w:val="auto"/>
          <w:sz w:val="32"/>
          <w:szCs w:val="32"/>
          <w:lang w:eastAsia="zh-CN"/>
        </w:rPr>
        <w:t>六</w:t>
      </w:r>
      <w:r>
        <w:rPr>
          <w:rFonts w:hint="eastAsia" w:ascii="方正小标宋_GBK" w:hAnsi="方正小标宋_GBK" w:eastAsia="方正小标宋_GBK" w:cs="方正小标宋_GBK"/>
          <w:color w:val="auto"/>
          <w:sz w:val="32"/>
          <w:szCs w:val="32"/>
        </w:rPr>
        <w:t>月</w:t>
      </w:r>
    </w:p>
    <w:p>
      <w:pPr>
        <w:spacing w:line="700" w:lineRule="exact"/>
        <w:ind w:left="3435" w:leftChars="557" w:hanging="2265" w:hangingChars="708"/>
        <w:rPr>
          <w:rFonts w:ascii="方正小标宋_GBK" w:hAnsi="方正小标宋_GBK" w:eastAsia="方正小标宋_GBK" w:cs="方正小标宋_GBK"/>
          <w:color w:val="auto"/>
          <w:sz w:val="32"/>
          <w:szCs w:val="32"/>
        </w:rPr>
      </w:pPr>
    </w:p>
    <w:p>
      <w:pPr>
        <w:widowControl/>
        <w:jc w:val="left"/>
        <w:rPr>
          <w:rFonts w:ascii="宋体" w:hAnsi="宋体" w:cs="宋体"/>
          <w:b/>
          <w:color w:val="auto"/>
          <w:sz w:val="24"/>
          <w:szCs w:val="24"/>
        </w:rPr>
      </w:pPr>
      <w:r>
        <w:rPr>
          <w:rFonts w:ascii="宋体" w:hAnsi="宋体" w:cs="宋体"/>
          <w:color w:val="auto"/>
          <w:sz w:val="24"/>
          <w:szCs w:val="24"/>
        </w:rPr>
        <w:br w:type="page"/>
      </w:r>
    </w:p>
    <w:p>
      <w:pPr>
        <w:pStyle w:val="5"/>
        <w:spacing w:before="0" w:after="0" w:line="312" w:lineRule="auto"/>
        <w:jc w:val="center"/>
        <w:rPr>
          <w:rFonts w:ascii="宋体" w:hAnsi="宋体" w:cs="宋体"/>
          <w:color w:val="auto"/>
          <w:sz w:val="24"/>
          <w:szCs w:val="24"/>
        </w:rPr>
      </w:pPr>
    </w:p>
    <w:p>
      <w:pPr>
        <w:pStyle w:val="5"/>
        <w:spacing w:before="0" w:after="0" w:line="360" w:lineRule="auto"/>
        <w:ind w:firstLine="643" w:firstLineChars="200"/>
        <w:rPr>
          <w:rFonts w:ascii="黑体" w:hAnsi="黑体" w:eastAsia="黑体" w:cs="黑体"/>
          <w:color w:val="auto"/>
          <w:szCs w:val="32"/>
        </w:rPr>
      </w:pPr>
      <w:r>
        <w:rPr>
          <w:rFonts w:hint="eastAsia" w:ascii="黑体" w:hAnsi="黑体" w:eastAsia="黑体" w:cs="黑体"/>
          <w:color w:val="auto"/>
          <w:szCs w:val="32"/>
        </w:rPr>
        <w:t>一、采购内容</w:t>
      </w:r>
    </w:p>
    <w:tbl>
      <w:tblPr>
        <w:tblStyle w:val="58"/>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pPr>
              <w:widowControl/>
              <w:spacing w:line="360" w:lineRule="auto"/>
              <w:jc w:val="center"/>
              <w:rPr>
                <w:rFonts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项目名称</w:t>
            </w:r>
          </w:p>
        </w:tc>
        <w:tc>
          <w:tcPr>
            <w:tcW w:w="1746" w:type="dxa"/>
            <w:tcBorders>
              <w:top w:val="single" w:color="auto" w:sz="4" w:space="0"/>
              <w:left w:val="single" w:color="auto" w:sz="4" w:space="0"/>
              <w:right w:val="single" w:color="auto" w:sz="4" w:space="0"/>
            </w:tcBorders>
            <w:vAlign w:val="center"/>
          </w:tcPr>
          <w:p>
            <w:pPr>
              <w:widowControl/>
              <w:spacing w:line="360" w:lineRule="auto"/>
              <w:jc w:val="center"/>
              <w:rPr>
                <w:rFonts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采购预算</w:t>
            </w:r>
          </w:p>
          <w:p>
            <w:pPr>
              <w:spacing w:line="360" w:lineRule="auto"/>
              <w:jc w:val="center"/>
              <w:rPr>
                <w:rFonts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（元）</w:t>
            </w:r>
          </w:p>
        </w:tc>
        <w:tc>
          <w:tcPr>
            <w:tcW w:w="1903" w:type="dxa"/>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资金来源</w:t>
            </w:r>
          </w:p>
        </w:tc>
        <w:tc>
          <w:tcPr>
            <w:tcW w:w="1231" w:type="dxa"/>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right w:val="single" w:color="auto" w:sz="4" w:space="0"/>
            </w:tcBorders>
            <w:vAlign w:val="center"/>
          </w:tcPr>
          <w:p>
            <w:pPr>
              <w:widowControl/>
              <w:spacing w:line="360" w:lineRule="auto"/>
              <w:jc w:val="center"/>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重庆市荣昌区</w:t>
            </w:r>
            <w:r>
              <w:rPr>
                <w:rFonts w:hint="eastAsia" w:ascii="仿宋_GB2312" w:hAnsi="仿宋_GB2312" w:eastAsia="仿宋_GB2312" w:cs="仿宋_GB2312"/>
                <w:color w:val="auto"/>
                <w:kern w:val="0"/>
                <w:sz w:val="32"/>
                <w:szCs w:val="32"/>
                <w:lang w:eastAsia="zh-CN"/>
              </w:rPr>
              <w:t>铜鼓</w:t>
            </w:r>
            <w:r>
              <w:rPr>
                <w:rFonts w:hint="eastAsia" w:ascii="仿宋_GB2312" w:hAnsi="仿宋_GB2312" w:eastAsia="仿宋_GB2312" w:cs="仿宋_GB2312"/>
                <w:color w:val="auto"/>
                <w:kern w:val="0"/>
                <w:sz w:val="32"/>
                <w:szCs w:val="32"/>
              </w:rPr>
              <w:t>镇</w:t>
            </w:r>
            <w:r>
              <w:rPr>
                <w:rFonts w:hint="eastAsia" w:ascii="仿宋_GB2312" w:hAnsi="仿宋_GB2312" w:eastAsia="仿宋_GB2312" w:cs="仿宋_GB2312"/>
                <w:color w:val="auto"/>
                <w:kern w:val="0"/>
                <w:sz w:val="32"/>
                <w:szCs w:val="32"/>
                <w:lang w:val="en-US" w:eastAsia="zh-CN"/>
              </w:rPr>
              <w:t>中心小学功能室设备</w:t>
            </w:r>
            <w:r>
              <w:rPr>
                <w:rFonts w:hint="eastAsia" w:ascii="仿宋_GB2312" w:hAnsi="仿宋_GB2312" w:eastAsia="仿宋_GB2312" w:cs="仿宋_GB2312"/>
                <w:color w:val="auto"/>
                <w:kern w:val="0"/>
                <w:sz w:val="32"/>
                <w:szCs w:val="32"/>
              </w:rPr>
              <w:t>采购</w:t>
            </w:r>
          </w:p>
        </w:tc>
        <w:tc>
          <w:tcPr>
            <w:tcW w:w="1746"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146000</w:t>
            </w:r>
          </w:p>
        </w:tc>
        <w:tc>
          <w:tcPr>
            <w:tcW w:w="1903" w:type="dxa"/>
            <w:tcBorders>
              <w:top w:val="single" w:color="auto" w:sz="4" w:space="0"/>
              <w:left w:val="single" w:color="auto" w:sz="4" w:space="0"/>
              <w:right w:val="single" w:color="auto" w:sz="4" w:space="0"/>
            </w:tcBorders>
            <w:vAlign w:val="center"/>
          </w:tcPr>
          <w:p>
            <w:pPr>
              <w:widowControl/>
              <w:spacing w:line="360" w:lineRule="auto"/>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财政预算</w:t>
            </w:r>
          </w:p>
          <w:p>
            <w:pPr>
              <w:widowControl/>
              <w:spacing w:line="360" w:lineRule="auto"/>
              <w:jc w:val="center"/>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资金</w:t>
            </w:r>
          </w:p>
        </w:tc>
        <w:tc>
          <w:tcPr>
            <w:tcW w:w="1231" w:type="dxa"/>
            <w:tcBorders>
              <w:top w:val="single" w:color="auto" w:sz="4" w:space="0"/>
              <w:left w:val="single" w:color="auto" w:sz="4" w:space="0"/>
              <w:right w:val="single" w:color="auto" w:sz="4" w:space="0"/>
            </w:tcBorders>
            <w:vAlign w:val="center"/>
          </w:tcPr>
          <w:p>
            <w:pPr>
              <w:spacing w:line="360" w:lineRule="auto"/>
              <w:rPr>
                <w:rFonts w:ascii="仿宋_GB2312" w:hAnsi="仿宋_GB2312" w:eastAsia="仿宋_GB2312" w:cs="仿宋_GB2312"/>
                <w:b/>
                <w:color w:val="auto"/>
                <w:sz w:val="32"/>
                <w:szCs w:val="32"/>
              </w:rPr>
            </w:pPr>
          </w:p>
        </w:tc>
      </w:tr>
    </w:tbl>
    <w:p>
      <w:pPr>
        <w:pStyle w:val="5"/>
        <w:spacing w:before="0" w:after="0" w:line="360" w:lineRule="auto"/>
        <w:rPr>
          <w:rFonts w:ascii="宋体" w:hAnsi="宋体" w:cs="宋体"/>
          <w:color w:val="auto"/>
          <w:sz w:val="24"/>
          <w:szCs w:val="24"/>
        </w:rPr>
      </w:pPr>
    </w:p>
    <w:p>
      <w:pPr>
        <w:pStyle w:val="5"/>
        <w:spacing w:before="0" w:after="0" w:line="360" w:lineRule="auto"/>
        <w:ind w:firstLine="643" w:firstLineChars="200"/>
        <w:rPr>
          <w:rFonts w:ascii="黑体" w:hAnsi="黑体" w:eastAsia="黑体" w:cs="黑体"/>
          <w:color w:val="auto"/>
          <w:szCs w:val="32"/>
        </w:rPr>
      </w:pPr>
      <w:r>
        <w:rPr>
          <w:rFonts w:hint="eastAsia" w:ascii="黑体" w:hAnsi="黑体" w:eastAsia="黑体" w:cs="黑体"/>
          <w:color w:val="auto"/>
          <w:szCs w:val="32"/>
        </w:rPr>
        <w:t>二、供应商资格条件</w:t>
      </w:r>
    </w:p>
    <w:p>
      <w:pPr>
        <w:snapToGrid w:val="0"/>
        <w:spacing w:line="360" w:lineRule="auto"/>
        <w:ind w:firstLine="640" w:firstLineChars="200"/>
        <w:rPr>
          <w:rFonts w:ascii="仿宋_GB2312" w:hAnsi="仿宋_GB2312" w:eastAsia="仿宋_GB2312" w:cs="仿宋_GB2312"/>
          <w:b/>
          <w:bCs/>
          <w:i/>
          <w:iCs/>
          <w:color w:val="auto"/>
          <w:sz w:val="32"/>
          <w:szCs w:val="32"/>
          <w:u w:val="single"/>
        </w:rPr>
      </w:pPr>
      <w:r>
        <w:rPr>
          <w:rFonts w:hint="eastAsia" w:ascii="仿宋_GB2312" w:hAnsi="仿宋_GB2312" w:eastAsia="仿宋_GB2312" w:cs="仿宋_GB2312"/>
          <w:color w:val="auto"/>
          <w:sz w:val="32"/>
          <w:szCs w:val="32"/>
        </w:rPr>
        <w:t>（一）满足《中华人民共和国政府采购法》第二十二条规定。</w:t>
      </w:r>
    </w:p>
    <w:p>
      <w:pPr>
        <w:snapToGrid w:val="0"/>
        <w:spacing w:line="360" w:lineRule="auto"/>
        <w:ind w:firstLine="640" w:firstLineChars="200"/>
        <w:rPr>
          <w:rFonts w:ascii="仿宋_GB2312" w:hAnsi="仿宋_GB2312" w:eastAsia="仿宋_GB2312" w:cs="仿宋_GB2312"/>
          <w:b/>
          <w:bCs/>
          <w:i/>
          <w:iCs/>
          <w:color w:val="auto"/>
          <w:sz w:val="32"/>
          <w:szCs w:val="32"/>
          <w:u w:val="single"/>
        </w:rPr>
      </w:pPr>
      <w:r>
        <w:rPr>
          <w:rFonts w:hint="eastAsia" w:ascii="仿宋_GB2312" w:hAnsi="仿宋_GB2312" w:eastAsia="仿宋_GB2312" w:cs="仿宋_GB2312"/>
          <w:color w:val="auto"/>
          <w:sz w:val="32"/>
          <w:szCs w:val="32"/>
        </w:rPr>
        <w:t>（二）本项目的特定资格要求：无。</w:t>
      </w:r>
    </w:p>
    <w:p>
      <w:pPr>
        <w:pStyle w:val="5"/>
        <w:spacing w:before="0" w:after="0" w:line="360" w:lineRule="auto"/>
        <w:ind w:firstLine="643" w:firstLineChars="200"/>
        <w:rPr>
          <w:rFonts w:ascii="黑体" w:hAnsi="黑体" w:eastAsia="黑体" w:cs="黑体"/>
          <w:color w:val="auto"/>
          <w:szCs w:val="32"/>
        </w:rPr>
      </w:pPr>
      <w:r>
        <w:rPr>
          <w:rFonts w:hint="eastAsia" w:ascii="黑体" w:hAnsi="黑体" w:eastAsia="黑体" w:cs="黑体"/>
          <w:color w:val="auto"/>
          <w:szCs w:val="32"/>
        </w:rPr>
        <w:t>三、采购需求清单</w:t>
      </w:r>
    </w:p>
    <w:p>
      <w:pPr>
        <w:snapToGrid w:val="0"/>
        <w:spacing w:line="360" w:lineRule="auto"/>
        <w:ind w:firstLine="420"/>
        <w:rPr>
          <w:color w:val="auto"/>
        </w:rPr>
      </w:pPr>
    </w:p>
    <w:tbl>
      <w:tblPr>
        <w:tblStyle w:val="58"/>
        <w:tblW w:w="9984"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6"/>
        <w:gridCol w:w="736"/>
        <w:gridCol w:w="872"/>
        <w:gridCol w:w="7272"/>
        <w:gridCol w:w="2"/>
        <w:gridCol w:w="669"/>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4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rPr>
            </w:pPr>
            <w:r>
              <w:rPr>
                <w:rFonts w:hint="eastAsia" w:ascii="仿宋" w:hAnsi="仿宋" w:eastAsia="仿宋" w:cs="仿宋"/>
                <w:color w:val="auto"/>
              </w:rPr>
              <w:t>序号</w:t>
            </w:r>
          </w:p>
        </w:tc>
        <w:tc>
          <w:tcPr>
            <w:tcW w:w="74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auto"/>
                <w:lang w:val="en-US" w:eastAsia="zh-CN"/>
              </w:rPr>
            </w:pPr>
            <w:r>
              <w:rPr>
                <w:rFonts w:hint="eastAsia" w:ascii="仿宋" w:hAnsi="仿宋" w:eastAsia="仿宋" w:cs="仿宋"/>
                <w:color w:val="auto"/>
              </w:rPr>
              <w:t>产品名称</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rPr>
            </w:pPr>
            <w:r>
              <w:rPr>
                <w:rFonts w:hint="eastAsia" w:ascii="仿宋" w:hAnsi="仿宋" w:eastAsia="仿宋" w:cs="仿宋"/>
                <w:color w:val="auto"/>
                <w:lang w:val="en-US" w:eastAsia="zh-CN"/>
              </w:rPr>
              <w:t>品牌</w:t>
            </w:r>
          </w:p>
        </w:tc>
        <w:tc>
          <w:tcPr>
            <w:tcW w:w="727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rPr>
            </w:pPr>
            <w:r>
              <w:rPr>
                <w:rFonts w:hint="eastAsia" w:ascii="仿宋" w:hAnsi="仿宋" w:eastAsia="仿宋" w:cs="仿宋"/>
                <w:color w:val="auto"/>
              </w:rPr>
              <w:t>技术参数及功能需求</w:t>
            </w:r>
          </w:p>
        </w:tc>
        <w:tc>
          <w:tcPr>
            <w:tcW w:w="6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4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rPr>
            </w:pPr>
            <w:r>
              <w:rPr>
                <w:rFonts w:hint="eastAsia" w:ascii="仿宋" w:hAnsi="仿宋" w:eastAsia="仿宋" w:cs="仿宋"/>
                <w:color w:val="auto"/>
              </w:rPr>
              <w:t>1</w:t>
            </w:r>
          </w:p>
        </w:tc>
        <w:tc>
          <w:tcPr>
            <w:tcW w:w="74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auto"/>
                <w:lang w:val="en-US" w:eastAsia="zh-CN"/>
              </w:rPr>
            </w:pPr>
            <w:r>
              <w:rPr>
                <w:rFonts w:hint="eastAsia" w:ascii="仿宋" w:hAnsi="仿宋" w:eastAsia="仿宋" w:cs="仿宋"/>
                <w:color w:val="auto"/>
              </w:rPr>
              <w:t>触控教学一体机</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希沃</w:t>
            </w:r>
          </w:p>
        </w:tc>
        <w:tc>
          <w:tcPr>
            <w:tcW w:w="7274"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color w:val="auto"/>
              </w:rPr>
            </w:pPr>
            <w:r>
              <w:rPr>
                <w:rFonts w:hint="eastAsia" w:ascii="仿宋" w:hAnsi="仿宋" w:eastAsia="仿宋" w:cs="仿宋"/>
                <w:color w:val="auto"/>
              </w:rPr>
              <w:t>1、整机采用全金属外壳设计，屏幕边缘采用金属圆角包边防护，整机背板采用金属材质，边角采用弧形设计，表面无尖锐边缘或凸起。</w:t>
            </w:r>
          </w:p>
          <w:p>
            <w:pPr>
              <w:jc w:val="left"/>
              <w:rPr>
                <w:rFonts w:hint="eastAsia" w:ascii="仿宋" w:hAnsi="仿宋" w:eastAsia="仿宋" w:cs="仿宋"/>
                <w:color w:val="auto"/>
              </w:rPr>
            </w:pPr>
            <w:r>
              <w:rPr>
                <w:rFonts w:hint="eastAsia" w:ascii="仿宋" w:hAnsi="仿宋" w:eastAsia="仿宋" w:cs="仿宋"/>
                <w:color w:val="auto"/>
              </w:rPr>
              <w:t>2、整机采用≥86英寸超高清LED液晶显示屏，显示比例16:9，分辨率3840×2160，灰度等级≥256级；嵌入式系统版本≥Android 14，主频≥1.8GHz，内存≥2GB，存储空间≥8GB。（提供具有CNAS/CMA资质认证标识的第三方检测机构出具的检测报告复印件证明）</w:t>
            </w:r>
          </w:p>
          <w:p>
            <w:pPr>
              <w:jc w:val="left"/>
              <w:rPr>
                <w:rFonts w:hint="eastAsia" w:ascii="仿宋" w:hAnsi="仿宋" w:eastAsia="仿宋" w:cs="仿宋"/>
                <w:color w:val="auto"/>
              </w:rPr>
            </w:pPr>
            <w:r>
              <w:rPr>
                <w:rFonts w:hint="eastAsia" w:ascii="仿宋" w:hAnsi="仿宋" w:eastAsia="仿宋" w:cs="仿宋"/>
                <w:color w:val="auto"/>
              </w:rPr>
              <w:t>3、整机背光系统支持DC调光方式，多级亮度调节，支持白颜色背景下最暗亮度≤100nit，用于提升显示对比度；支持手势上滑调出人工智能画质调节模式（AI-PQ）。（提供具有CNAS/CMA资质认证标识的第三方检测机构出具的检测报告复印件证明）</w:t>
            </w:r>
          </w:p>
          <w:p>
            <w:pPr>
              <w:jc w:val="left"/>
              <w:rPr>
                <w:rFonts w:hint="eastAsia" w:ascii="仿宋" w:hAnsi="仿宋" w:eastAsia="仿宋" w:cs="仿宋"/>
                <w:color w:val="auto"/>
              </w:rPr>
            </w:pPr>
            <w:r>
              <w:rPr>
                <w:rFonts w:hint="eastAsia" w:ascii="仿宋" w:hAnsi="仿宋" w:eastAsia="仿宋" w:cs="仿宋"/>
                <w:color w:val="auto"/>
              </w:rPr>
              <w:t>4、采用红外触控方式，支持在Windows和Android系统中进行≥40点触控；触摸最小识别物≤3mm。</w:t>
            </w:r>
          </w:p>
          <w:p>
            <w:pPr>
              <w:jc w:val="left"/>
              <w:rPr>
                <w:rFonts w:hint="eastAsia" w:ascii="仿宋" w:hAnsi="仿宋" w:eastAsia="仿宋" w:cs="仿宋"/>
                <w:color w:val="auto"/>
              </w:rPr>
            </w:pPr>
            <w:r>
              <w:rPr>
                <w:rFonts w:hint="eastAsia" w:ascii="仿宋" w:hAnsi="仿宋" w:eastAsia="仿宋" w:cs="仿宋"/>
                <w:color w:val="auto"/>
              </w:rPr>
              <w:t>5、支持提笔书写和手笔分离，在Windows系统下可实现无需点击任意功能入口，当检测到红外笔笔尖接触屏幕时，自动进入书写模式，使用手指可以操作应用，进行点击操作；触摸支持动态压力感应，普通书写笔在整机上书写或点压时，整机能感应压力变化，书写或点压过程笔迹呈现不同粗细。（提供具有CNAS/CMA资质认证标识的第三方检测机构出具的检测报告复印件证明）</w:t>
            </w:r>
          </w:p>
          <w:p>
            <w:pPr>
              <w:jc w:val="left"/>
              <w:rPr>
                <w:rFonts w:hint="eastAsia" w:ascii="仿宋" w:hAnsi="仿宋" w:eastAsia="仿宋" w:cs="仿宋"/>
                <w:color w:val="auto"/>
              </w:rPr>
            </w:pPr>
            <w:r>
              <w:rPr>
                <w:rFonts w:hint="eastAsia" w:ascii="仿宋" w:hAnsi="仿宋" w:eastAsia="仿宋" w:cs="仿宋"/>
                <w:color w:val="auto"/>
              </w:rPr>
              <w:t>6、整机侧边栏内置自习工具，通过整机麦克风监测教室中学生音量大小，当学生音量大于阈值时，屏幕自动弹窗提醒进行自习纪律干预。（提供具有CNAS/CMA资质认证标识的第三方检测机构出具的检测报告复印件证明）</w:t>
            </w:r>
          </w:p>
          <w:p>
            <w:pPr>
              <w:jc w:val="left"/>
              <w:rPr>
                <w:rFonts w:hint="eastAsia" w:ascii="仿宋" w:hAnsi="仿宋" w:eastAsia="仿宋" w:cs="仿宋"/>
                <w:color w:val="auto"/>
              </w:rPr>
            </w:pPr>
            <w:r>
              <w:rPr>
                <w:rFonts w:hint="eastAsia" w:ascii="仿宋" w:hAnsi="仿宋" w:eastAsia="仿宋" w:cs="仿宋"/>
                <w:color w:val="auto"/>
              </w:rPr>
              <w:t>7、整机侧边栏内置朗读工具，通过整机麦克风监测教室中学生的朗读情况，并以游戏化界面反馈学生朗读音量大小。（提供具有CNAS/CMA资质认证标识的第三方检测机构出具的检测报告复印件证明）</w:t>
            </w:r>
          </w:p>
          <w:p>
            <w:pPr>
              <w:jc w:val="left"/>
              <w:rPr>
                <w:rFonts w:hint="eastAsia" w:ascii="仿宋" w:hAnsi="仿宋" w:eastAsia="仿宋" w:cs="仿宋"/>
                <w:color w:val="auto"/>
              </w:rPr>
            </w:pPr>
            <w:r>
              <w:rPr>
                <w:rFonts w:hint="eastAsia" w:ascii="仿宋" w:hAnsi="仿宋" w:eastAsia="仿宋" w:cs="仿宋"/>
                <w:color w:val="auto"/>
              </w:rPr>
              <w:t>8、整机具备≥6个前置按键，可实现开关机、调出中控菜单、音量+/-、护眼、录屏操作，其中支持5个自定义前置按键，可通过自定义设置实现前置面板功能按键一键启用任一全局小工具、快捷开关、课堂智能反馈。</w:t>
            </w:r>
          </w:p>
          <w:p>
            <w:pPr>
              <w:jc w:val="left"/>
              <w:rPr>
                <w:rFonts w:hint="eastAsia" w:ascii="仿宋" w:hAnsi="仿宋" w:eastAsia="仿宋" w:cs="仿宋"/>
                <w:color w:val="auto"/>
              </w:rPr>
            </w:pPr>
            <w:r>
              <w:rPr>
                <w:rFonts w:hint="eastAsia" w:ascii="仿宋" w:hAnsi="仿宋" w:eastAsia="仿宋" w:cs="仿宋"/>
                <w:color w:val="auto"/>
              </w:rPr>
              <w:t>9、整机内置双WiFi6无线网卡（不接受外接），Wi-Fi制式支持IEEE 802.11 a/b/g/n/ac/ax，在Android和Windows系统下，可实现Wi-Fi无线上网连接、AP无线热点发射，Wi-Fi和AP热点工作距离≥12m；整机支持蓝牙Bluetooth 5.4标准，PC端支持主动发现蓝牙外设从而连接（无需整机进入发现模式），支持连接外部蓝牙音箱播放音频。（提供具有CNAS/CMA资质认证标识的第三方检测机构出具的检测报告复印件证明）</w:t>
            </w:r>
          </w:p>
          <w:p>
            <w:pPr>
              <w:jc w:val="left"/>
              <w:rPr>
                <w:rFonts w:hint="eastAsia" w:ascii="仿宋" w:hAnsi="仿宋" w:eastAsia="仿宋" w:cs="仿宋"/>
                <w:color w:val="auto"/>
              </w:rPr>
            </w:pPr>
            <w:r>
              <w:rPr>
                <w:rFonts w:hint="eastAsia" w:ascii="仿宋" w:hAnsi="仿宋" w:eastAsia="仿宋" w:cs="仿宋"/>
                <w:color w:val="auto"/>
              </w:rPr>
              <w:t>10、整机扬声器采用模块化设计，无需打开背板即可单独拆卸。</w:t>
            </w:r>
          </w:p>
          <w:p>
            <w:pPr>
              <w:jc w:val="left"/>
              <w:rPr>
                <w:rFonts w:hint="eastAsia" w:ascii="仿宋" w:hAnsi="仿宋" w:eastAsia="仿宋" w:cs="仿宋"/>
                <w:color w:val="auto"/>
              </w:rPr>
            </w:pPr>
            <w:r>
              <w:rPr>
                <w:rFonts w:hint="eastAsia" w:ascii="仿宋" w:hAnsi="仿宋" w:eastAsia="仿宋" w:cs="仿宋"/>
                <w:color w:val="auto"/>
              </w:rPr>
              <w:t>11、整机内置2.2声道扬声器，位于设备上边框，顶置朝前发声，内置扬声器采用缝隙发声技术，喇叭采用槽式开口设计，额定总功率60W；支持AI空间感知音效模式，可通过内置麦克风采集教室物理环境声音，自动生成符合当前教室物理环境的频段、音量、音效。（提供具有CNAS/CMA资质认证标识的第三方检测机构出具的检测报告复印件证明）</w:t>
            </w:r>
          </w:p>
          <w:p>
            <w:pPr>
              <w:jc w:val="left"/>
              <w:rPr>
                <w:rFonts w:hint="eastAsia" w:ascii="仿宋" w:hAnsi="仿宋" w:eastAsia="仿宋" w:cs="仿宋"/>
                <w:color w:val="auto"/>
              </w:rPr>
            </w:pPr>
            <w:r>
              <w:rPr>
                <w:rFonts w:hint="eastAsia" w:ascii="仿宋" w:hAnsi="仿宋" w:eastAsia="仿宋" w:cs="仿宋"/>
                <w:color w:val="auto"/>
              </w:rPr>
              <w:t>12、整机上边框内置非独立摄像头，采用一体化集成设计，可拍摄≥1300万像素数的照片，可拍摄输出4K分辨率的视频，摄像头对角线视场角≥120度，整机支持通过人脸识别进行登录账号，支持环境色温判断，根据环境调节合适的显示图像效果。（提供具有CNAS/CMA资质认证标识的第三方检测机构出具的检测报告复印件证明）</w:t>
            </w:r>
          </w:p>
          <w:p>
            <w:pPr>
              <w:jc w:val="left"/>
              <w:rPr>
                <w:rFonts w:hint="eastAsia" w:ascii="仿宋" w:hAnsi="仿宋" w:eastAsia="仿宋" w:cs="仿宋"/>
                <w:color w:val="auto"/>
              </w:rPr>
            </w:pPr>
            <w:r>
              <w:rPr>
                <w:rFonts w:hint="eastAsia" w:ascii="仿宋" w:hAnsi="仿宋" w:eastAsia="仿宋" w:cs="仿宋"/>
                <w:color w:val="auto"/>
              </w:rPr>
              <w:t>13、整机设备开机启动后，自动进入教学桌面并获取个人云端教学课件列表，显示最近使用的教学课件；教学桌面首页支持自定义桌面应用，同时根据用户使用习惯，也推荐常用应用；教学桌面支持进行锁屏操作。</w:t>
            </w:r>
          </w:p>
          <w:p>
            <w:pPr>
              <w:jc w:val="left"/>
              <w:rPr>
                <w:rFonts w:hint="eastAsia" w:ascii="仿宋" w:hAnsi="仿宋" w:eastAsia="仿宋" w:cs="仿宋"/>
                <w:color w:val="auto"/>
              </w:rPr>
            </w:pPr>
            <w:r>
              <w:rPr>
                <w:rFonts w:hint="eastAsia" w:ascii="仿宋" w:hAnsi="仿宋" w:eastAsia="仿宋" w:cs="仿宋"/>
                <w:color w:val="auto"/>
              </w:rPr>
              <w:t xml:space="preserve">14、整机Windows通道支持文件传输应用，支持多人同时将手机文件传输到整机上，无需借助第三方网页、第三方应用，接收的文件支持单份删除。（提供具有CNAS/CMA资质认证标识的第三方检测机构出具的检测报告复印件证明）    </w:t>
            </w:r>
          </w:p>
          <w:p>
            <w:pPr>
              <w:jc w:val="left"/>
              <w:rPr>
                <w:rFonts w:ascii="仿宋" w:hAnsi="仿宋" w:eastAsia="仿宋" w:cs="仿宋"/>
                <w:color w:val="auto"/>
              </w:rPr>
            </w:pPr>
            <w:r>
              <w:rPr>
                <w:rFonts w:hint="eastAsia" w:ascii="仿宋" w:hAnsi="仿宋" w:eastAsia="仿宋" w:cs="仿宋"/>
                <w:color w:val="auto"/>
              </w:rPr>
              <w:t>15、采用可插拔针脚接口的按压卡扣式模块化电脑方案，低噪音散热设计，处理器CPU性能≥Intel酷睿第12代系列I5、内存≥8G DDR4、硬盘≥256GSSD固态硬盘；具有系统硬盘镜像保护；具有独立非外扩展的≥3组USB 3.0 Type-A和≥1组HDMI。</w:t>
            </w:r>
          </w:p>
        </w:tc>
        <w:tc>
          <w:tcPr>
            <w:tcW w:w="6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4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lang w:eastAsia="zh-CN"/>
              </w:rPr>
            </w:pPr>
            <w:r>
              <w:rPr>
                <w:rFonts w:hint="eastAsia" w:ascii="仿宋" w:hAnsi="仿宋" w:eastAsia="仿宋" w:cs="仿宋"/>
                <w:color w:val="auto"/>
                <w:lang w:val="en-US" w:eastAsia="zh-CN"/>
              </w:rPr>
              <w:t>2</w:t>
            </w:r>
          </w:p>
        </w:tc>
        <w:tc>
          <w:tcPr>
            <w:tcW w:w="7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rPr>
            </w:pPr>
            <w:r>
              <w:rPr>
                <w:rFonts w:hint="eastAsia" w:ascii="仿宋" w:hAnsi="仿宋" w:eastAsia="仿宋" w:cs="仿宋"/>
                <w:color w:val="auto"/>
              </w:rPr>
              <w:t>教学应用系统软件</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rPr>
            </w:pPr>
            <w:r>
              <w:rPr>
                <w:rFonts w:hint="eastAsia" w:ascii="仿宋" w:hAnsi="仿宋" w:eastAsia="仿宋" w:cs="仿宋"/>
                <w:color w:val="auto"/>
              </w:rPr>
              <w:t>视睿</w:t>
            </w:r>
          </w:p>
        </w:tc>
        <w:tc>
          <w:tcPr>
            <w:tcW w:w="7274"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color w:val="auto"/>
              </w:rPr>
            </w:pPr>
            <w:r>
              <w:rPr>
                <w:rFonts w:hint="eastAsia" w:ascii="仿宋" w:hAnsi="仿宋" w:eastAsia="仿宋" w:cs="仿宋"/>
                <w:color w:val="auto"/>
              </w:rPr>
              <w:t>1、在备课场景中支持搜索课件库课件资源，具有不少于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w:t>
            </w:r>
          </w:p>
          <w:p>
            <w:pPr>
              <w:jc w:val="left"/>
              <w:rPr>
                <w:rFonts w:hint="eastAsia" w:ascii="仿宋" w:hAnsi="仿宋" w:eastAsia="仿宋" w:cs="仿宋"/>
                <w:color w:val="auto"/>
              </w:rPr>
            </w:pPr>
            <w:r>
              <w:rPr>
                <w:rFonts w:hint="eastAsia" w:ascii="仿宋" w:hAnsi="仿宋" w:eastAsia="仿宋" w:cs="仿宋"/>
                <w:color w:val="auto"/>
              </w:rPr>
              <w:t>2、支持PPT的原生解析，教师可将pptx课件转化为互动教学课件，保留pptx原文件中的文字、图片、表格等对象及动画的可编辑性，支持将互动课件导出为pptx、pdf、H5或web链接。导出的课件支持在多终端进行二次编辑。</w:t>
            </w:r>
          </w:p>
          <w:p>
            <w:pPr>
              <w:jc w:val="left"/>
              <w:rPr>
                <w:rFonts w:hint="eastAsia" w:ascii="仿宋" w:hAnsi="仿宋" w:eastAsia="仿宋" w:cs="仿宋"/>
                <w:color w:val="auto"/>
              </w:rPr>
            </w:pPr>
            <w:r>
              <w:rPr>
                <w:rFonts w:hint="eastAsia" w:ascii="仿宋" w:hAnsi="仿宋" w:eastAsia="仿宋" w:cs="仿宋"/>
                <w:color w:val="auto"/>
              </w:rPr>
              <w:t>3、云教案内容可自动同步至云空间，支持以链接方式进行定向式分享和开放式分享，接收者可将云教案转存至个人云空间，云教案支持导出为PDF格式；支持将Word文档转换为云教案，支持解析文本、表格通用元素。</w:t>
            </w:r>
          </w:p>
          <w:p>
            <w:pPr>
              <w:jc w:val="left"/>
              <w:rPr>
                <w:rFonts w:hint="eastAsia" w:ascii="仿宋" w:hAnsi="仿宋" w:eastAsia="仿宋" w:cs="仿宋"/>
                <w:color w:val="auto"/>
              </w:rPr>
            </w:pPr>
            <w:r>
              <w:rPr>
                <w:rFonts w:hint="eastAsia" w:ascii="仿宋" w:hAnsi="仿宋" w:eastAsia="仿宋" w:cs="仿宋"/>
                <w:color w:val="auto"/>
              </w:rPr>
              <w:t>4、提供教案模板以供老师撰写教案，支持校本模板，管理员在教研管理后台设置校本模板后，老师可在云教案模板调用，云教案与云课件可一对多关联绑定，产生绑定后，在课件页和教案页均支持在同一面板打开关联的云课件或云教案预览。</w:t>
            </w:r>
          </w:p>
          <w:p>
            <w:pPr>
              <w:jc w:val="left"/>
              <w:rPr>
                <w:rFonts w:hint="eastAsia" w:ascii="仿宋" w:hAnsi="仿宋" w:eastAsia="仿宋" w:cs="仿宋"/>
                <w:color w:val="auto"/>
              </w:rPr>
            </w:pPr>
            <w:r>
              <w:rPr>
                <w:rFonts w:hint="eastAsia" w:ascii="仿宋" w:hAnsi="仿宋" w:eastAsia="仿宋" w:cs="仿宋"/>
                <w:color w:val="auto"/>
              </w:rPr>
              <w:t>5、具有课堂活动智能填写功能，支持选词填空、判断对错和趣味选择三大课堂活动，输入文本后可以一键解析，自动将文本内容结构化填充至题干和正确选项，完成课堂活动的制作；课堂互动游戏支持云储存，编辑完成的活动可一键存储至教师云空间。</w:t>
            </w:r>
          </w:p>
          <w:p>
            <w:pPr>
              <w:jc w:val="left"/>
              <w:rPr>
                <w:rFonts w:hint="eastAsia" w:ascii="仿宋" w:hAnsi="仿宋" w:eastAsia="仿宋" w:cs="仿宋"/>
                <w:color w:val="auto"/>
              </w:rPr>
            </w:pPr>
            <w:r>
              <w:rPr>
                <w:rFonts w:hint="eastAsia" w:ascii="仿宋" w:hAnsi="仿宋" w:eastAsia="仿宋" w:cs="仿宋"/>
                <w:color w:val="auto"/>
              </w:rPr>
              <w:t>6、支持多种格式的试题批量上传，包含.doc、.docx、.png、.jpeg、.jpg等类型，并可自动转换为电子试题，便于老师优质试题的收集使用和作业布置。</w:t>
            </w:r>
          </w:p>
          <w:p>
            <w:pPr>
              <w:jc w:val="left"/>
              <w:rPr>
                <w:rFonts w:hint="eastAsia" w:ascii="仿宋" w:hAnsi="仿宋" w:eastAsia="仿宋" w:cs="仿宋"/>
                <w:color w:val="auto"/>
              </w:rPr>
            </w:pPr>
            <w:r>
              <w:rPr>
                <w:rFonts w:hint="eastAsia" w:ascii="仿宋" w:hAnsi="仿宋" w:eastAsia="仿宋" w:cs="仿宋"/>
                <w:color w:val="auto"/>
              </w:rPr>
              <w:t>7、多学科微课视频：提供涵盖K12超过2000个微课程视频，每个学段的微课视频内容应不少于三个主要学科。微课内容可在线点播，下载至课件播放。微课视频支持视频关键帧打点标记，播放过程中可一键跳转至标记位置，同时支持一键对视频内容进行截图插入课件。</w:t>
            </w:r>
          </w:p>
          <w:p>
            <w:pPr>
              <w:jc w:val="left"/>
              <w:rPr>
                <w:rFonts w:hint="eastAsia" w:ascii="仿宋" w:hAnsi="仿宋" w:eastAsia="仿宋" w:cs="仿宋"/>
                <w:color w:val="auto"/>
              </w:rPr>
            </w:pPr>
            <w:r>
              <w:rPr>
                <w:rFonts w:hint="eastAsia" w:ascii="仿宋" w:hAnsi="仿宋" w:eastAsia="仿宋" w:cs="仿宋"/>
                <w:color w:val="auto"/>
              </w:rPr>
              <w:t>8、备课素材库：提供≥500个备课素材，包含人物形象、卡通动物、拟人动物、水果蔬菜13个分类，高清无版权图片，全免费，直接插入备课端进行使用即可。</w:t>
            </w:r>
          </w:p>
          <w:p>
            <w:pPr>
              <w:jc w:val="left"/>
              <w:rPr>
                <w:rFonts w:hint="eastAsia" w:ascii="仿宋" w:hAnsi="仿宋" w:eastAsia="仿宋" w:cs="仿宋"/>
                <w:color w:val="auto"/>
              </w:rPr>
            </w:pPr>
            <w:r>
              <w:rPr>
                <w:rFonts w:hint="eastAsia" w:ascii="仿宋" w:hAnsi="仿宋" w:eastAsia="仿宋" w:cs="仿宋"/>
                <w:color w:val="auto"/>
              </w:rPr>
              <w:t>9、书写：支持多人同时书写，可自由调整笔迹颜色及笔触粗细，书写颜色及粗细设置面板支持浮窗模式，可自由调整至白板界面任意位置，便于教师授课使用；支持将手绘形状、中英文、公式转换为规范几何图形和文字。</w:t>
            </w:r>
          </w:p>
          <w:p>
            <w:pPr>
              <w:jc w:val="left"/>
              <w:rPr>
                <w:rFonts w:hint="eastAsia" w:ascii="仿宋" w:hAnsi="仿宋" w:eastAsia="仿宋" w:cs="仿宋"/>
                <w:color w:val="auto"/>
              </w:rPr>
            </w:pPr>
            <w:r>
              <w:rPr>
                <w:rFonts w:hint="eastAsia" w:ascii="仿宋" w:hAnsi="仿宋" w:eastAsia="仿宋" w:cs="仿宋"/>
                <w:color w:val="auto"/>
              </w:rPr>
              <w:t>10、软件内置的AI智能语义分析模块，可对输入的英文文本的拼写、句型、语法进行错误检查，并支持一键纠错；支持浏览和插入国际音标表，可直接点击发音，支持已整表和单个音标卡片插入；支持智能将字母、单词、句子转写为音标，并可一键插入到备课课件中形成文本。</w:t>
            </w:r>
          </w:p>
          <w:p>
            <w:pPr>
              <w:jc w:val="left"/>
              <w:rPr>
                <w:rFonts w:hint="eastAsia" w:ascii="仿宋" w:hAnsi="仿宋" w:eastAsia="仿宋" w:cs="仿宋"/>
                <w:color w:val="auto"/>
              </w:rPr>
            </w:pPr>
            <w:r>
              <w:rPr>
                <w:rFonts w:hint="eastAsia" w:ascii="仿宋" w:hAnsi="仿宋" w:eastAsia="仿宋" w:cs="仿宋"/>
                <w:color w:val="auto"/>
              </w:rPr>
              <w:t>11、古诗词：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w:t>
            </w:r>
          </w:p>
          <w:p>
            <w:pPr>
              <w:jc w:val="left"/>
              <w:rPr>
                <w:rFonts w:hint="eastAsia" w:ascii="仿宋" w:hAnsi="仿宋" w:eastAsia="仿宋" w:cs="仿宋"/>
                <w:color w:val="auto"/>
              </w:rPr>
            </w:pPr>
            <w:r>
              <w:rPr>
                <w:rFonts w:hint="eastAsia" w:ascii="仿宋" w:hAnsi="仿宋" w:eastAsia="仿宋" w:cs="仿宋"/>
                <w:color w:val="auto"/>
              </w:rPr>
              <w:t>12、数学函数公式：支持中英文、数学公式的编辑输入，可快速输入方程组、脱式运算，提供不少于70个数学符号及模板；预置不少于40个常用数学公式，无需编辑一键插入，输入内容可用不同颜色标记及重复编辑。支持LaTeX公式输入。</w:t>
            </w:r>
          </w:p>
          <w:p>
            <w:pPr>
              <w:jc w:val="left"/>
              <w:rPr>
                <w:rFonts w:hint="eastAsia" w:ascii="仿宋" w:hAnsi="仿宋" w:eastAsia="仿宋" w:cs="仿宋"/>
                <w:color w:val="auto"/>
              </w:rPr>
            </w:pPr>
            <w:r>
              <w:rPr>
                <w:rFonts w:hint="eastAsia" w:ascii="仿宋" w:hAnsi="仿宋" w:eastAsia="仿宋" w:cs="仿宋"/>
                <w:color w:val="auto"/>
              </w:rPr>
              <w:t>13、数学函数图像：可快速生成包含一次函数一次函数、二次函数、幂函数、指数函数、对数函数、三角函数等图像，也可自定义输入函数表达式生成图像；在同一坐标轴上支持同时绘制6个及以上函数表达式，可显示函数与函数图像彼此相交、函数与坐标轴相交的交点坐标。可缩放函数图像与坐标轴，可显示坐标网格，函数图生成后可重新编辑。</w:t>
            </w:r>
          </w:p>
          <w:p>
            <w:pPr>
              <w:jc w:val="left"/>
              <w:rPr>
                <w:rFonts w:hint="eastAsia" w:ascii="仿宋" w:hAnsi="仿宋" w:eastAsia="仿宋" w:cs="仿宋"/>
                <w:color w:val="auto"/>
              </w:rPr>
            </w:pPr>
            <w:r>
              <w:rPr>
                <w:rFonts w:hint="eastAsia" w:ascii="仿宋" w:hAnsi="仿宋" w:eastAsia="仿宋" w:cs="仿宋"/>
                <w:color w:val="auto"/>
              </w:rPr>
              <w:t>14、提供对应的移动应用平台，实现备授课过程多终端多场景一体化，可将教师的课件通过微信好友、QQ好友、微信朋友圈、数字帐号、二维码、公开链接、加密链接等方式进行分享，分享有效期支持教师自定义；还具有课件回收站。（提供功能性界面截图复印件）</w:t>
            </w:r>
          </w:p>
          <w:p>
            <w:pPr>
              <w:jc w:val="left"/>
              <w:rPr>
                <w:rFonts w:ascii="仿宋" w:hAnsi="仿宋" w:eastAsia="仿宋" w:cs="仿宋"/>
                <w:color w:val="auto"/>
              </w:rPr>
            </w:pPr>
            <w:r>
              <w:rPr>
                <w:rFonts w:hint="eastAsia" w:ascii="仿宋" w:hAnsi="仿宋" w:eastAsia="仿宋" w:cs="仿宋"/>
                <w:color w:val="auto"/>
              </w:rPr>
              <w:t>15、以上所有软件功能操作须在同一软件平台上运用软件自有功能实现，不接受采用非授权第三方软件外链、Flash类交互动画、交互式白板课件等自定义方式嵌入、盗版破解软件拼凑连接或组合实现功能要求的方式，以保证使用的一致性、便捷性和稳定性。</w:t>
            </w:r>
          </w:p>
        </w:tc>
        <w:tc>
          <w:tcPr>
            <w:tcW w:w="6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4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lang w:eastAsia="zh-CN"/>
              </w:rPr>
            </w:pPr>
            <w:r>
              <w:rPr>
                <w:rFonts w:hint="eastAsia" w:ascii="仿宋" w:hAnsi="仿宋" w:eastAsia="仿宋" w:cs="仿宋"/>
                <w:color w:val="auto"/>
                <w:lang w:val="en-US" w:eastAsia="zh-CN"/>
              </w:rPr>
              <w:t>3</w:t>
            </w:r>
          </w:p>
        </w:tc>
        <w:tc>
          <w:tcPr>
            <w:tcW w:w="7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rPr>
            </w:pPr>
            <w:r>
              <w:rPr>
                <w:rFonts w:hint="eastAsia" w:ascii="仿宋" w:hAnsi="仿宋" w:eastAsia="仿宋" w:cs="仿宋"/>
                <w:color w:val="auto"/>
              </w:rPr>
              <w:t>壁挂展台</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希沃</w:t>
            </w:r>
          </w:p>
        </w:tc>
        <w:tc>
          <w:tcPr>
            <w:tcW w:w="7274"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color w:val="auto"/>
              </w:rPr>
            </w:pPr>
            <w:r>
              <w:rPr>
                <w:rFonts w:hint="eastAsia" w:ascii="仿宋" w:hAnsi="仿宋" w:eastAsia="仿宋" w:cs="仿宋"/>
                <w:color w:val="auto"/>
              </w:rPr>
              <w:t>1、整机采用圆弧式设计，无锐角；同时托板采用磁吸吸附式机构，防止托板打落，方便打开及固定。</w:t>
            </w:r>
          </w:p>
          <w:p>
            <w:pPr>
              <w:jc w:val="left"/>
              <w:rPr>
                <w:rFonts w:hint="eastAsia" w:ascii="仿宋" w:hAnsi="仿宋" w:eastAsia="仿宋" w:cs="仿宋"/>
                <w:color w:val="auto"/>
              </w:rPr>
            </w:pPr>
            <w:r>
              <w:rPr>
                <w:rFonts w:hint="eastAsia" w:ascii="仿宋" w:hAnsi="仿宋" w:eastAsia="仿宋" w:cs="仿宋"/>
                <w:color w:val="auto"/>
              </w:rPr>
              <w:t>2、≥800万像素以上摄像头；采用 USB电源直接供电，箱内USB连线采用隐藏式设计，有效防止积尘，且方便布线。</w:t>
            </w:r>
          </w:p>
          <w:p>
            <w:pPr>
              <w:jc w:val="left"/>
              <w:rPr>
                <w:rFonts w:hint="eastAsia" w:ascii="仿宋" w:hAnsi="仿宋" w:eastAsia="仿宋" w:cs="仿宋"/>
                <w:color w:val="auto"/>
              </w:rPr>
            </w:pPr>
            <w:r>
              <w:rPr>
                <w:rFonts w:hint="eastAsia" w:ascii="仿宋" w:hAnsi="仿宋" w:eastAsia="仿宋" w:cs="仿宋"/>
                <w:color w:val="auto"/>
              </w:rPr>
              <w:t>3、摄像头自动对焦，外壳在摄像头部分带保护镜片密封，防止灰尘沾染摄像头，防护等级达到IP4X级别或以上。</w:t>
            </w:r>
          </w:p>
          <w:p>
            <w:pPr>
              <w:jc w:val="left"/>
              <w:rPr>
                <w:rFonts w:hint="eastAsia" w:ascii="仿宋" w:hAnsi="仿宋" w:eastAsia="仿宋" w:cs="仿宋"/>
                <w:color w:val="auto"/>
              </w:rPr>
            </w:pPr>
            <w:r>
              <w:rPr>
                <w:rFonts w:hint="eastAsia" w:ascii="仿宋" w:hAnsi="仿宋" w:eastAsia="仿宋" w:cs="仿宋"/>
                <w:color w:val="auto"/>
              </w:rPr>
              <w:t>4、展示托板正上方具备LED补光灯，保证展示区域的亮度及展示效果，补光灯开关采用触摸按键设计，也可通过幼教机直接控制开关。</w:t>
            </w:r>
          </w:p>
          <w:p>
            <w:pPr>
              <w:jc w:val="left"/>
              <w:rPr>
                <w:rFonts w:hint="eastAsia" w:ascii="仿宋" w:hAnsi="仿宋" w:eastAsia="仿宋" w:cs="仿宋"/>
                <w:color w:val="auto"/>
              </w:rPr>
            </w:pPr>
            <w:r>
              <w:rPr>
                <w:rFonts w:hint="eastAsia" w:ascii="仿宋" w:hAnsi="仿宋" w:eastAsia="仿宋" w:cs="仿宋"/>
                <w:color w:val="auto"/>
              </w:rPr>
              <w:t>5、支持对展台画面进行放大、缩小、旋转、自适应、冻结画面等操作。</w:t>
            </w:r>
          </w:p>
          <w:p>
            <w:pPr>
              <w:jc w:val="left"/>
              <w:rPr>
                <w:rFonts w:hint="eastAsia" w:ascii="仿宋" w:hAnsi="仿宋" w:eastAsia="仿宋" w:cs="仿宋"/>
                <w:color w:val="auto"/>
              </w:rPr>
            </w:pPr>
            <w:r>
              <w:rPr>
                <w:rFonts w:hint="eastAsia" w:ascii="仿宋" w:hAnsi="仿宋" w:eastAsia="仿宋" w:cs="仿宋"/>
                <w:color w:val="auto"/>
              </w:rPr>
              <w:t>6、支持展台成像画面实时批注，预设多种笔划粗细及颜色供选择，且支持对展台成像画面联同批注内容进行同步缩放、移动。（提供具有CNAS/CMA资质认证标识的第三方检测机构出具的检测报告复印件证明）</w:t>
            </w:r>
          </w:p>
          <w:p>
            <w:pPr>
              <w:jc w:val="left"/>
              <w:rPr>
                <w:rFonts w:hint="eastAsia" w:ascii="仿宋" w:hAnsi="仿宋" w:eastAsia="仿宋" w:cs="仿宋"/>
                <w:color w:val="auto"/>
              </w:rPr>
            </w:pPr>
            <w:r>
              <w:rPr>
                <w:rFonts w:hint="eastAsia" w:ascii="仿宋" w:hAnsi="仿宋" w:eastAsia="仿宋" w:cs="仿宋"/>
                <w:color w:val="auto"/>
              </w:rPr>
              <w:t>7、具备图像增强功能，可自动裁剪背景并增强文字显示，使文档画面更清晰。</w:t>
            </w:r>
          </w:p>
          <w:p>
            <w:pPr>
              <w:jc w:val="left"/>
              <w:rPr>
                <w:rFonts w:hint="eastAsia" w:ascii="仿宋" w:hAnsi="仿宋" w:eastAsia="仿宋" w:cs="仿宋"/>
                <w:color w:val="auto"/>
              </w:rPr>
            </w:pPr>
            <w:r>
              <w:rPr>
                <w:rFonts w:hint="eastAsia" w:ascii="仿宋" w:hAnsi="仿宋" w:eastAsia="仿宋" w:cs="仿宋"/>
                <w:color w:val="auto"/>
              </w:rPr>
              <w:t>8、支持二维码扫码功能：打开扫一扫功能后，将书本上的二维码放入扫描框内即可自动扫描，并进入系统浏览器获取二维码的链接内容，帮助老师快速获取电子教学资源。</w:t>
            </w:r>
          </w:p>
          <w:p>
            <w:pPr>
              <w:jc w:val="left"/>
              <w:rPr>
                <w:rFonts w:ascii="仿宋" w:hAnsi="仿宋" w:eastAsia="仿宋" w:cs="仿宋"/>
                <w:color w:val="auto"/>
              </w:rPr>
            </w:pPr>
            <w:r>
              <w:rPr>
                <w:rFonts w:hint="eastAsia" w:ascii="仿宋" w:hAnsi="仿宋" w:eastAsia="仿宋" w:cs="仿宋"/>
                <w:color w:val="auto"/>
              </w:rPr>
              <w:t>9、支持故障自动检测，在软件无法出现展台拍摄画面时，自动出现检测链接，帮助用户检测“无画面”的原因，并给出引导性解决方案。可判断硬件连接、显卡驱动、摄像头占用、软件版本等问题。</w:t>
            </w:r>
          </w:p>
        </w:tc>
        <w:tc>
          <w:tcPr>
            <w:tcW w:w="6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Style w:val="254"/>
                <w:rFonts w:ascii="仿宋" w:hAnsi="仿宋" w:eastAsia="仿宋" w:cs="仿宋"/>
                <w:color w:val="auto"/>
                <w:kern w:val="0"/>
              </w:rPr>
            </w:pPr>
            <w:r>
              <w:rPr>
                <w:rStyle w:val="254"/>
                <w:rFonts w:hint="eastAsia" w:ascii="仿宋" w:hAnsi="仿宋" w:eastAsia="仿宋" w:cs="仿宋"/>
                <w:color w:val="auto"/>
                <w:kern w:val="0"/>
                <w:lang w:val="en-US"/>
              </w:rPr>
              <w:t>4</w:t>
            </w:r>
          </w:p>
        </w:tc>
        <w:tc>
          <w:tcPr>
            <w:tcW w:w="74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仿宋" w:hAnsi="仿宋" w:eastAsia="仿宋" w:cs="仿宋"/>
                <w:color w:val="auto"/>
              </w:rPr>
            </w:pPr>
            <w:r>
              <w:rPr>
                <w:rStyle w:val="254"/>
                <w:rFonts w:hint="eastAsia" w:ascii="仿宋" w:hAnsi="仿宋" w:eastAsia="仿宋" w:cs="仿宋"/>
                <w:color w:val="auto"/>
                <w:kern w:val="0"/>
              </w:rPr>
              <w:t>推拉书写板</w:t>
            </w:r>
          </w:p>
        </w:tc>
        <w:tc>
          <w:tcPr>
            <w:tcW w:w="8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Style w:val="254"/>
                <w:rFonts w:hint="default" w:ascii="仿宋" w:hAnsi="仿宋" w:eastAsia="仿宋" w:cs="仿宋"/>
                <w:color w:val="auto"/>
                <w:kern w:val="0"/>
                <w:lang w:val="en-US"/>
              </w:rPr>
            </w:pPr>
            <w:r>
              <w:rPr>
                <w:rStyle w:val="254"/>
                <w:rFonts w:hint="eastAsia" w:ascii="仿宋" w:hAnsi="仿宋" w:eastAsia="仿宋" w:cs="仿宋"/>
                <w:color w:val="auto"/>
                <w:kern w:val="0"/>
                <w:lang w:val="en-US"/>
              </w:rPr>
              <w:t>希沃</w:t>
            </w:r>
          </w:p>
        </w:tc>
        <w:tc>
          <w:tcPr>
            <w:tcW w:w="7274"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color w:val="auto"/>
              </w:rPr>
            </w:pPr>
            <w:r>
              <w:rPr>
                <w:rFonts w:hint="eastAsia" w:ascii="仿宋" w:hAnsi="仿宋" w:eastAsia="仿宋" w:cs="仿宋"/>
                <w:color w:val="auto"/>
              </w:rPr>
              <w:t>1、整体外观尺寸：宽≥4200mm，高≥1240mm，厚≤150mm。</w:t>
            </w:r>
          </w:p>
          <w:p>
            <w:pPr>
              <w:jc w:val="left"/>
              <w:rPr>
                <w:rFonts w:hint="eastAsia" w:ascii="仿宋" w:hAnsi="仿宋" w:eastAsia="仿宋" w:cs="仿宋"/>
                <w:color w:val="auto"/>
              </w:rPr>
            </w:pPr>
            <w:r>
              <w:rPr>
                <w:rFonts w:hint="eastAsia" w:ascii="仿宋" w:hAnsi="仿宋" w:eastAsia="仿宋" w:cs="仿宋"/>
                <w:color w:val="auto"/>
              </w:rPr>
              <w:t>2、书写板为左右推拉结构，由活动板、固定板、大框（轨道）、滑动系统构成，支持多媒体设备居中安装。书写板左右去竖框化设计，增加黑板整体美观性，也从根本上解决活动板与竖框的夹手问题。</w:t>
            </w:r>
          </w:p>
          <w:p>
            <w:pPr>
              <w:jc w:val="left"/>
              <w:rPr>
                <w:rFonts w:hint="eastAsia" w:ascii="仿宋" w:hAnsi="仿宋" w:eastAsia="仿宋" w:cs="仿宋"/>
                <w:color w:val="auto"/>
              </w:rPr>
            </w:pPr>
            <w:r>
              <w:rPr>
                <w:rFonts w:hint="eastAsia" w:ascii="仿宋" w:hAnsi="仿宋" w:eastAsia="仿宋" w:cs="仿宋"/>
                <w:color w:val="auto"/>
              </w:rPr>
              <w:t>3、书写板分内外双层，内层为固定书写板，采用无固定件安装，与多媒体设备正面平齐；外层为滑动书写板，可左右推拉，两块活动板闭合后，无边框障碍，可连续书写。</w:t>
            </w:r>
          </w:p>
          <w:p>
            <w:pPr>
              <w:jc w:val="left"/>
              <w:rPr>
                <w:rFonts w:hint="eastAsia" w:ascii="仿宋" w:hAnsi="仿宋" w:eastAsia="仿宋" w:cs="仿宋"/>
                <w:color w:val="auto"/>
              </w:rPr>
            </w:pPr>
            <w:r>
              <w:rPr>
                <w:rFonts w:hint="eastAsia" w:ascii="仿宋" w:hAnsi="仿宋" w:eastAsia="仿宋" w:cs="仿宋"/>
                <w:color w:val="auto"/>
              </w:rPr>
              <w:t>4、面板、背板四边折边，流水线作业，保证产品一致性，尺寸误差≤0.2mm，对角线误差≤0.3mm；活动板、固定板四边无铝合金边框，不仅更美观，且增加书写面积。</w:t>
            </w:r>
          </w:p>
          <w:p>
            <w:pPr>
              <w:jc w:val="left"/>
              <w:rPr>
                <w:rFonts w:hint="eastAsia" w:ascii="仿宋" w:hAnsi="仿宋" w:eastAsia="仿宋" w:cs="仿宋"/>
                <w:color w:val="auto"/>
              </w:rPr>
            </w:pPr>
            <w:r>
              <w:rPr>
                <w:rFonts w:hint="eastAsia" w:ascii="仿宋" w:hAnsi="仿宋" w:eastAsia="仿宋" w:cs="仿宋"/>
                <w:color w:val="auto"/>
              </w:rPr>
              <w:t>5、大框（轨道）：采用银白色高档铝合金，表面经氧化、磨砂涂层处理，模具一次成型；双层铝合金管状结构，上框规格≤20mm×70mm，壁厚≥1.0mm；下框一体化设计，规格≤84*12mm，壁厚≥1.0mm。</w:t>
            </w:r>
          </w:p>
          <w:p>
            <w:pPr>
              <w:jc w:val="left"/>
              <w:rPr>
                <w:rFonts w:hint="eastAsia" w:ascii="仿宋" w:hAnsi="仿宋" w:eastAsia="仿宋" w:cs="仿宋"/>
                <w:color w:val="auto"/>
              </w:rPr>
            </w:pPr>
            <w:r>
              <w:rPr>
                <w:rFonts w:hint="eastAsia" w:ascii="仿宋" w:hAnsi="仿宋" w:eastAsia="仿宋" w:cs="仿宋"/>
                <w:color w:val="auto"/>
              </w:rPr>
              <w:t>6、包角采用ABS工程塑料，模具注塑一次成型，银灰色，长≤150mm，不接受拼接，采用内插式设计。</w:t>
            </w:r>
          </w:p>
          <w:p>
            <w:pPr>
              <w:jc w:val="left"/>
              <w:rPr>
                <w:rFonts w:hint="eastAsia" w:ascii="仿宋" w:hAnsi="仿宋" w:eastAsia="仿宋" w:cs="仿宋"/>
                <w:color w:val="auto"/>
              </w:rPr>
            </w:pPr>
            <w:r>
              <w:rPr>
                <w:rFonts w:hint="eastAsia" w:ascii="仿宋" w:hAnsi="仿宋" w:eastAsia="仿宋" w:cs="仿宋"/>
                <w:color w:val="auto"/>
              </w:rPr>
              <w:t>7、每块活动板上、下安装四个≥50mm增强改性尼龙滑块模组；上T型正向吊装，厚度≥5mm滑动设计；下滑块模组采用单轨限位设计，活动板晃动≤0.5mm、无噪音。</w:t>
            </w:r>
          </w:p>
          <w:p>
            <w:pPr>
              <w:jc w:val="left"/>
              <w:rPr>
                <w:rFonts w:hint="eastAsia" w:ascii="仿宋" w:hAnsi="仿宋" w:eastAsia="仿宋" w:cs="仿宋"/>
                <w:color w:val="auto"/>
              </w:rPr>
            </w:pPr>
            <w:r>
              <w:rPr>
                <w:rFonts w:hint="eastAsia" w:ascii="仿宋" w:hAnsi="仿宋" w:eastAsia="仿宋" w:cs="仿宋"/>
                <w:color w:val="auto"/>
              </w:rPr>
              <w:t>8、采用防潮吸音塑料蜂窝板，厚度≤10mm，黑板上框内隐形安装4块≥50*20*8mm硅胶缓冲块。</w:t>
            </w:r>
          </w:p>
          <w:p>
            <w:pPr>
              <w:jc w:val="left"/>
              <w:rPr>
                <w:rFonts w:hint="eastAsia" w:ascii="仿宋" w:hAnsi="仿宋" w:eastAsia="仿宋" w:cs="仿宋"/>
                <w:color w:val="auto"/>
              </w:rPr>
            </w:pPr>
            <w:r>
              <w:rPr>
                <w:rFonts w:hint="eastAsia" w:ascii="仿宋" w:hAnsi="仿宋" w:eastAsia="仿宋" w:cs="仿宋"/>
                <w:color w:val="auto"/>
              </w:rPr>
              <w:t>9、采用黑色彩涂板，厚度≥0.25mm。</w:t>
            </w:r>
          </w:p>
          <w:p>
            <w:pPr>
              <w:jc w:val="left"/>
              <w:rPr>
                <w:rFonts w:ascii="仿宋" w:hAnsi="仿宋" w:eastAsia="仿宋" w:cs="仿宋"/>
                <w:color w:val="auto"/>
                <w:kern w:val="2"/>
                <w:sz w:val="21"/>
                <w:szCs w:val="21"/>
                <w:lang w:val="en-US" w:eastAsia="zh-CN" w:bidi="ar-SA"/>
              </w:rPr>
            </w:pPr>
            <w:r>
              <w:rPr>
                <w:rFonts w:hint="eastAsia" w:ascii="仿宋" w:hAnsi="仿宋" w:eastAsia="仿宋" w:cs="仿宋"/>
                <w:color w:val="auto"/>
              </w:rPr>
              <w:t>10、托架优质钢板一体冲压成型，尺寸≤130*45*80，有加强槽更牢固，整体镀锌防锈，数量≥7个。</w:t>
            </w:r>
          </w:p>
        </w:tc>
        <w:tc>
          <w:tcPr>
            <w:tcW w:w="6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hint="eastAsia" w:ascii="仿宋" w:hAnsi="仿宋" w:eastAsia="仿宋" w:cs="仿宋"/>
                <w:color w:val="auto"/>
                <w:lang w:val="en-US" w:eastAsia="zh-CN"/>
              </w:rPr>
            </w:pPr>
            <w:r>
              <w:rPr>
                <w:rFonts w:hint="eastAsia" w:ascii="仿宋" w:hAnsi="仿宋" w:eastAsia="仿宋" w:cs="仿宋"/>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Style w:val="254"/>
                <w:rFonts w:hint="default" w:ascii="仿宋" w:hAnsi="仿宋" w:eastAsia="仿宋" w:cs="仿宋"/>
                <w:color w:val="auto"/>
                <w:kern w:val="0"/>
                <w:lang w:val="en-US"/>
              </w:rPr>
            </w:pPr>
            <w:r>
              <w:rPr>
                <w:rStyle w:val="254"/>
                <w:rFonts w:hint="eastAsia" w:ascii="仿宋" w:hAnsi="仿宋" w:eastAsia="仿宋" w:cs="仿宋"/>
                <w:color w:val="auto"/>
                <w:kern w:val="0"/>
                <w:lang w:val="en-US"/>
              </w:rPr>
              <w:t>5</w:t>
            </w:r>
          </w:p>
        </w:tc>
        <w:tc>
          <w:tcPr>
            <w:tcW w:w="74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仿宋" w:hAnsi="仿宋" w:eastAsia="仿宋" w:cs="仿宋"/>
                <w:color w:val="auto"/>
              </w:rPr>
            </w:pPr>
            <w:r>
              <w:rPr>
                <w:rFonts w:hint="eastAsia" w:ascii="仿宋" w:hAnsi="仿宋" w:eastAsia="仿宋" w:cs="仿宋"/>
                <w:color w:val="auto"/>
              </w:rPr>
              <w:t>设备集中管理平台</w:t>
            </w:r>
          </w:p>
        </w:tc>
        <w:tc>
          <w:tcPr>
            <w:tcW w:w="8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hint="eastAsia" w:ascii="仿宋" w:hAnsi="仿宋" w:eastAsia="仿宋" w:cs="仿宋"/>
                <w:color w:val="auto"/>
              </w:rPr>
            </w:pPr>
            <w:r>
              <w:rPr>
                <w:rFonts w:hint="eastAsia" w:ascii="仿宋" w:hAnsi="仿宋" w:eastAsia="仿宋" w:cs="仿宋"/>
                <w:color w:val="auto"/>
              </w:rPr>
              <w:t>希沃</w:t>
            </w:r>
          </w:p>
        </w:tc>
        <w:tc>
          <w:tcPr>
            <w:tcW w:w="7274"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baseline"/>
              <w:rPr>
                <w:rFonts w:hint="eastAsia" w:ascii="仿宋" w:hAnsi="仿宋" w:eastAsia="仿宋" w:cs="仿宋"/>
                <w:color w:val="auto"/>
              </w:rPr>
            </w:pPr>
            <w:r>
              <w:rPr>
                <w:rFonts w:hint="eastAsia" w:ascii="仿宋" w:hAnsi="仿宋" w:eastAsia="仿宋" w:cs="仿宋"/>
                <w:color w:val="auto"/>
              </w:rPr>
              <w:t>1、系统采用B/S混合云架构设计，无需本地额外部署服务器等设备，即可支持对教学信息化设备运行数据的监测；支持在Windows、Linux、Android、IOS等多种操作系统通过网页浏览器登录操作；提供多种身份识别方式，支持通过账号登录、手机扫码登录等。</w:t>
            </w:r>
          </w:p>
          <w:p>
            <w:pPr>
              <w:widowControl/>
              <w:jc w:val="left"/>
              <w:textAlignment w:val="baseline"/>
              <w:rPr>
                <w:rFonts w:hint="eastAsia" w:ascii="仿宋" w:hAnsi="仿宋" w:eastAsia="仿宋" w:cs="仿宋"/>
                <w:color w:val="auto"/>
              </w:rPr>
            </w:pPr>
            <w:r>
              <w:rPr>
                <w:rFonts w:hint="eastAsia" w:ascii="仿宋" w:hAnsi="仿宋" w:eastAsia="仿宋" w:cs="仿宋"/>
                <w:color w:val="auto"/>
              </w:rPr>
              <w:t>2、支持多层级权限管理，支持高级管理员添加普通管理员，并灵活分配功能/设备权限；支持高级管理员修改普通管理员的权限，权限支持按系统功能模块、按设备分配；支持高级管理者将最高权限转让至其他普通管理员。</w:t>
            </w:r>
          </w:p>
          <w:p>
            <w:pPr>
              <w:widowControl/>
              <w:jc w:val="left"/>
              <w:textAlignment w:val="baseline"/>
              <w:rPr>
                <w:rFonts w:hint="eastAsia" w:ascii="仿宋" w:hAnsi="仿宋" w:eastAsia="仿宋" w:cs="仿宋"/>
                <w:color w:val="auto"/>
              </w:rPr>
            </w:pPr>
            <w:r>
              <w:rPr>
                <w:rFonts w:hint="eastAsia" w:ascii="仿宋" w:hAnsi="仿宋" w:eastAsia="仿宋" w:cs="仿宋"/>
                <w:color w:val="auto"/>
              </w:rPr>
              <w:t>3、支持并行管理多台终端，可实时展示≥20台设备的使用状态以及设备运行画面；支持根据设备类型、设备所属年级/场地/自定义分组、设备开关机状态进行分组管理；支持文字检索设备名称，快速定位对应设备进行定向精准管理。</w:t>
            </w:r>
          </w:p>
          <w:p>
            <w:pPr>
              <w:widowControl/>
              <w:jc w:val="left"/>
              <w:textAlignment w:val="baseline"/>
              <w:rPr>
                <w:rFonts w:hint="eastAsia" w:ascii="仿宋" w:hAnsi="仿宋" w:eastAsia="仿宋" w:cs="仿宋"/>
                <w:color w:val="auto"/>
              </w:rPr>
            </w:pPr>
            <w:r>
              <w:rPr>
                <w:rFonts w:hint="eastAsia" w:ascii="仿宋" w:hAnsi="仿宋" w:eastAsia="仿宋" w:cs="仿宋"/>
                <w:color w:val="auto"/>
              </w:rPr>
              <w:t>4、关机/重启：支持设置即时、定时、循环模式的关机指令；支持设置定时重启和设备强制执行关机。</w:t>
            </w:r>
          </w:p>
          <w:p>
            <w:pPr>
              <w:widowControl/>
              <w:jc w:val="left"/>
              <w:textAlignment w:val="baseline"/>
              <w:rPr>
                <w:rFonts w:hint="eastAsia" w:ascii="仿宋" w:hAnsi="仿宋" w:eastAsia="仿宋" w:cs="仿宋"/>
                <w:color w:val="auto"/>
              </w:rPr>
            </w:pPr>
            <w:r>
              <w:rPr>
                <w:rFonts w:hint="eastAsia" w:ascii="仿宋" w:hAnsi="仿宋" w:eastAsia="仿宋" w:cs="仿宋"/>
                <w:color w:val="auto"/>
              </w:rPr>
              <w:t>5、锁屏/解锁：支持设置即时、定时、循环、联动校级作息表的锁屏/解锁指令；支持开启“下课锁屏”功能，开启后，支持教师在设备上点击“一键下课”自动锁屏；支持无网络时激活码解锁、有网络时扫描二维码解锁、任何场景下密码解锁的认证解锁机制，适用于各类教学环境。</w:t>
            </w:r>
          </w:p>
          <w:p>
            <w:pPr>
              <w:widowControl/>
              <w:jc w:val="left"/>
              <w:textAlignment w:val="baseline"/>
              <w:rPr>
                <w:rFonts w:hint="eastAsia" w:ascii="仿宋" w:hAnsi="仿宋" w:eastAsia="仿宋" w:cs="仿宋"/>
                <w:color w:val="auto"/>
              </w:rPr>
            </w:pPr>
            <w:r>
              <w:rPr>
                <w:rFonts w:hint="eastAsia" w:ascii="仿宋" w:hAnsi="仿宋" w:eastAsia="仿宋" w:cs="仿宋"/>
                <w:color w:val="auto"/>
              </w:rPr>
              <w:t>6、打铃：支持设置即时、定时、循环的打铃指令；支持用户上传自定义铃声/听力至铃声库，支持试听铃声/听力，支持灵活设置播放时长，直至音频文件播放结束。</w:t>
            </w:r>
          </w:p>
          <w:p>
            <w:pPr>
              <w:widowControl/>
              <w:jc w:val="left"/>
              <w:textAlignment w:val="baseline"/>
              <w:rPr>
                <w:rFonts w:hint="eastAsia" w:ascii="仿宋" w:hAnsi="仿宋" w:eastAsia="仿宋" w:cs="仿宋"/>
                <w:color w:val="auto"/>
              </w:rPr>
            </w:pPr>
            <w:r>
              <w:rPr>
                <w:rFonts w:hint="eastAsia" w:ascii="仿宋" w:hAnsi="仿宋" w:eastAsia="仿宋" w:cs="仿宋"/>
                <w:color w:val="auto"/>
              </w:rPr>
              <w:t>7、消息通知：支持设置校园内常用通知消息模板，选择模板后发送至设备；支持设置即时、定时推送顶部滚动型提醒类通知，支持设置通知播放次数、播放通道；支持设置强制性全局弹窗型紧急通知和桌面常驻型公告通知，支持设置通知文字粗细、颜色。</w:t>
            </w:r>
          </w:p>
          <w:p>
            <w:pPr>
              <w:widowControl/>
              <w:jc w:val="left"/>
              <w:textAlignment w:val="baseline"/>
              <w:rPr>
                <w:rFonts w:hint="eastAsia" w:ascii="仿宋" w:hAnsi="仿宋" w:eastAsia="仿宋" w:cs="仿宋"/>
                <w:color w:val="auto"/>
              </w:rPr>
            </w:pPr>
            <w:r>
              <w:rPr>
                <w:rFonts w:hint="eastAsia" w:ascii="仿宋" w:hAnsi="仿宋" w:eastAsia="仿宋" w:cs="仿宋"/>
                <w:color w:val="auto"/>
              </w:rPr>
              <w:t>8、远程控制桌面：支持远程实时控制设备，可监测设备当前运行界面，并远程操作设备界面。</w:t>
            </w:r>
          </w:p>
          <w:p>
            <w:pPr>
              <w:widowControl/>
              <w:jc w:val="left"/>
              <w:textAlignment w:val="baseline"/>
              <w:rPr>
                <w:rFonts w:hint="eastAsia" w:ascii="仿宋" w:hAnsi="仿宋" w:eastAsia="仿宋" w:cs="仿宋"/>
                <w:color w:val="auto"/>
              </w:rPr>
            </w:pPr>
            <w:r>
              <w:rPr>
                <w:rFonts w:hint="eastAsia" w:ascii="仿宋" w:hAnsi="仿宋" w:eastAsia="仿宋" w:cs="仿宋"/>
                <w:color w:val="auto"/>
              </w:rPr>
              <w:t>9、全屏巡课：支持管理员主动巡课，实时查看教室内部实时画面、多媒体画面，听取教室内真实声音，切身体会完整课堂。</w:t>
            </w:r>
          </w:p>
          <w:p>
            <w:pPr>
              <w:widowControl/>
              <w:jc w:val="left"/>
              <w:textAlignment w:val="baseline"/>
              <w:rPr>
                <w:rFonts w:hint="eastAsia" w:ascii="仿宋" w:hAnsi="仿宋" w:eastAsia="仿宋" w:cs="仿宋"/>
                <w:color w:val="auto"/>
              </w:rPr>
            </w:pPr>
            <w:r>
              <w:rPr>
                <w:rFonts w:hint="eastAsia" w:ascii="仿宋" w:hAnsi="仿宋" w:eastAsia="仿宋" w:cs="仿宋"/>
                <w:color w:val="auto"/>
              </w:rPr>
              <w:t>10、智慧管控：支持设置当设备长时间无人使用时，自动进入屏保/锁屏/息屏模式；支持设置在固定时间点之后，设备长时无人使用时，自动提醒用户是否关机/强制关机。</w:t>
            </w:r>
          </w:p>
          <w:p>
            <w:pPr>
              <w:widowControl/>
              <w:jc w:val="left"/>
              <w:textAlignment w:val="baseline"/>
              <w:rPr>
                <w:rFonts w:hint="eastAsia" w:ascii="仿宋" w:hAnsi="仿宋" w:eastAsia="仿宋" w:cs="仿宋"/>
                <w:color w:val="auto"/>
              </w:rPr>
            </w:pPr>
            <w:r>
              <w:rPr>
                <w:rFonts w:hint="eastAsia" w:ascii="仿宋" w:hAnsi="仿宋" w:eastAsia="仿宋" w:cs="仿宋"/>
                <w:color w:val="auto"/>
              </w:rPr>
              <w:t>11、软件静默安装：支持向用户推荐同品牌教学工具类软件，并支持远程静默安装，设备使用者无感即可升级到最新版本；支持用户自主上传正版软件，经过人工封装审核后，支持远程静默安装。</w:t>
            </w:r>
          </w:p>
          <w:p>
            <w:pPr>
              <w:widowControl/>
              <w:jc w:val="left"/>
              <w:textAlignment w:val="baseline"/>
              <w:rPr>
                <w:rFonts w:hint="eastAsia" w:ascii="仿宋" w:hAnsi="仿宋" w:eastAsia="仿宋" w:cs="仿宋"/>
                <w:color w:val="auto"/>
              </w:rPr>
            </w:pPr>
            <w:r>
              <w:rPr>
                <w:rFonts w:hint="eastAsia" w:ascii="仿宋" w:hAnsi="仿宋" w:eastAsia="仿宋" w:cs="仿宋"/>
                <w:color w:val="auto"/>
              </w:rPr>
              <w:t>12、音视频直播：支持使用外接麦克风、摄像头进行直播，直播方实时查看受控端现场画面，实时了解观众情况；。</w:t>
            </w:r>
          </w:p>
          <w:p>
            <w:pPr>
              <w:widowControl/>
              <w:jc w:val="left"/>
              <w:textAlignment w:val="baseline"/>
              <w:rPr>
                <w:rFonts w:hint="eastAsia" w:ascii="仿宋" w:hAnsi="仿宋" w:eastAsia="仿宋" w:cs="仿宋"/>
                <w:color w:val="auto"/>
              </w:rPr>
            </w:pPr>
            <w:r>
              <w:rPr>
                <w:rFonts w:hint="eastAsia" w:ascii="仿宋" w:hAnsi="仿宋" w:eastAsia="仿宋" w:cs="仿宋"/>
                <w:color w:val="auto"/>
              </w:rPr>
              <w:t>13、远程冰点还原：支持针对开机状态的设备，远程批量/单台设置冰冻/解冻。</w:t>
            </w:r>
          </w:p>
          <w:p>
            <w:pPr>
              <w:widowControl/>
              <w:jc w:val="left"/>
              <w:textAlignment w:val="baseline"/>
              <w:rPr>
                <w:rFonts w:hint="eastAsia" w:ascii="仿宋" w:hAnsi="仿宋" w:eastAsia="仿宋" w:cs="仿宋"/>
                <w:color w:val="auto"/>
              </w:rPr>
            </w:pPr>
            <w:r>
              <w:rPr>
                <w:rFonts w:hint="eastAsia" w:ascii="仿宋" w:hAnsi="仿宋" w:eastAsia="仿宋" w:cs="仿宋"/>
                <w:color w:val="auto"/>
              </w:rPr>
              <w:t>14、冰点穿透：支持管理者设置冰点穿透时间段，当远程安装软件后，在穿透时间段内关机，即可穿透冰点安装软件。</w:t>
            </w:r>
          </w:p>
          <w:p>
            <w:pPr>
              <w:widowControl/>
              <w:jc w:val="left"/>
              <w:textAlignment w:val="baseline"/>
              <w:rPr>
                <w:rFonts w:hint="eastAsia" w:ascii="仿宋" w:hAnsi="仿宋" w:eastAsia="仿宋" w:cs="仿宋"/>
                <w:color w:val="auto"/>
              </w:rPr>
            </w:pPr>
            <w:r>
              <w:rPr>
                <w:rFonts w:hint="eastAsia" w:ascii="仿宋" w:hAnsi="仿宋" w:eastAsia="仿宋" w:cs="仿宋"/>
                <w:color w:val="auto"/>
              </w:rPr>
              <w:t>15、弹窗拦截：支持弹窗自动拦截功能的开启或关闭，开启后系统智能嗅探软件应用弹窗并自动屏蔽。后台实时统计弹窗拦截保护的设备数量及历史拦截弹窗总数量。自动统计设备装载的软件应用弹出弹窗的次数，并留存软件应用弹窗界面截图，便于管理者针对性设置弹窗拦截黑\白名单。</w:t>
            </w:r>
          </w:p>
          <w:p>
            <w:pPr>
              <w:widowControl/>
              <w:jc w:val="left"/>
              <w:textAlignment w:val="baseline"/>
              <w:rPr>
                <w:rFonts w:ascii="仿宋" w:hAnsi="仿宋" w:eastAsia="仿宋" w:cs="仿宋"/>
                <w:color w:val="auto"/>
              </w:rPr>
            </w:pPr>
            <w:r>
              <w:rPr>
                <w:rFonts w:hint="eastAsia" w:ascii="仿宋" w:hAnsi="仿宋" w:eastAsia="仿宋" w:cs="仿宋"/>
                <w:color w:val="auto"/>
              </w:rPr>
              <w:t>16、用户使用分析：支持自定义筛选时间，查看各学科使用设备的日均使用时长、使用次数；支持查看每个学科每位教师使用多媒体设备的平均时长、平均次数。</w:t>
            </w:r>
          </w:p>
        </w:tc>
        <w:tc>
          <w:tcPr>
            <w:tcW w:w="6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hint="eastAsia" w:ascii="仿宋" w:hAnsi="仿宋" w:eastAsia="仿宋" w:cs="仿宋"/>
                <w:color w:val="auto"/>
                <w:lang w:val="en-US" w:eastAsia="zh-CN"/>
              </w:rPr>
            </w:pPr>
            <w:r>
              <w:rPr>
                <w:rFonts w:hint="eastAsia" w:ascii="仿宋" w:hAnsi="仿宋" w:eastAsia="仿宋" w:cs="仿宋"/>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Style w:val="254"/>
                <w:rFonts w:hint="default" w:ascii="仿宋" w:hAnsi="仿宋" w:eastAsia="仿宋" w:cs="仿宋"/>
                <w:color w:val="auto"/>
                <w:kern w:val="0"/>
                <w:lang w:val="en-US"/>
              </w:rPr>
            </w:pPr>
            <w:r>
              <w:rPr>
                <w:rStyle w:val="254"/>
                <w:rFonts w:hint="eastAsia" w:ascii="仿宋" w:hAnsi="仿宋" w:eastAsia="仿宋" w:cs="仿宋"/>
                <w:color w:val="auto"/>
                <w:kern w:val="0"/>
                <w:lang w:val="en-US"/>
              </w:rPr>
              <w:t>6</w:t>
            </w:r>
          </w:p>
        </w:tc>
        <w:tc>
          <w:tcPr>
            <w:tcW w:w="74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hint="default" w:ascii="仿宋" w:hAnsi="仿宋" w:eastAsia="仿宋" w:cs="仿宋"/>
                <w:color w:val="auto"/>
                <w:lang w:val="en-US" w:eastAsia="zh-CN"/>
              </w:rPr>
            </w:pPr>
            <w:r>
              <w:rPr>
                <w:rFonts w:hint="eastAsia" w:ascii="仿宋" w:hAnsi="仿宋" w:eastAsia="仿宋" w:cs="仿宋"/>
                <w:color w:val="auto"/>
                <w:lang w:val="en-US" w:eastAsia="zh-CN"/>
              </w:rPr>
              <w:t>课桌椅</w:t>
            </w:r>
          </w:p>
        </w:tc>
        <w:tc>
          <w:tcPr>
            <w:tcW w:w="8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hint="default" w:ascii="仿宋" w:hAnsi="仿宋" w:eastAsia="仿宋" w:cs="仿宋"/>
                <w:color w:val="auto"/>
                <w:lang w:val="en-US" w:eastAsia="zh-CN"/>
              </w:rPr>
            </w:pPr>
            <w:r>
              <w:rPr>
                <w:rFonts w:hint="eastAsia" w:ascii="仿宋" w:hAnsi="仿宋" w:eastAsia="仿宋" w:cs="仿宋"/>
                <w:color w:val="auto"/>
                <w:lang w:val="en-US" w:eastAsia="zh-CN"/>
              </w:rPr>
              <w:t>博学</w:t>
            </w:r>
          </w:p>
        </w:tc>
        <w:tc>
          <w:tcPr>
            <w:tcW w:w="7274" w:type="dxa"/>
            <w:gridSpan w:val="2"/>
            <w:tcBorders>
              <w:top w:val="single" w:color="auto" w:sz="4" w:space="0"/>
              <w:left w:val="single" w:color="auto" w:sz="4" w:space="0"/>
              <w:bottom w:val="single" w:color="auto" w:sz="4" w:space="0"/>
              <w:right w:val="single" w:color="auto" w:sz="4" w:space="0"/>
            </w:tcBorders>
            <w:vAlign w:val="center"/>
          </w:tcPr>
          <w:p>
            <w:pPr>
              <w:widowControl/>
              <w:numPr>
                <w:ilvl w:val="0"/>
                <w:numId w:val="13"/>
              </w:numPr>
              <w:jc w:val="left"/>
              <w:rPr>
                <w:rFonts w:hint="eastAsia" w:ascii="宋体" w:hAnsi="宋体"/>
                <w:color w:val="auto"/>
                <w:sz w:val="20"/>
              </w:rPr>
            </w:pPr>
            <w:r>
              <w:rPr>
                <w:rFonts w:hint="eastAsia" w:ascii="宋体" w:hAnsi="宋体" w:cs="宋体"/>
                <w:color w:val="auto"/>
                <w:kern w:val="0"/>
                <w:sz w:val="22"/>
                <w:szCs w:val="22"/>
                <w:lang w:val="en-US" w:eastAsia="zh-CN"/>
              </w:rPr>
              <w:t>规格：</w:t>
            </w:r>
            <w:r>
              <w:rPr>
                <w:rFonts w:hint="eastAsia" w:ascii="宋体" w:hAnsi="宋体"/>
                <w:color w:val="auto"/>
                <w:sz w:val="20"/>
              </w:rPr>
              <w:t>桌面尺寸：600mm×400mm壁厚</w:t>
            </w:r>
            <w:r>
              <w:rPr>
                <w:rFonts w:hint="eastAsia" w:ascii="宋体" w:hAnsi="宋体"/>
                <w:color w:val="auto"/>
                <w:sz w:val="20"/>
                <w:lang w:val="en-US" w:eastAsia="zh-CN"/>
              </w:rPr>
              <w:t>2</w:t>
            </w:r>
            <w:r>
              <w:rPr>
                <w:rFonts w:hint="eastAsia" w:ascii="宋体" w:hAnsi="宋体"/>
                <w:color w:val="auto"/>
                <w:sz w:val="20"/>
              </w:rPr>
              <w:t>.5mm（高度可根据学校要求的型号定制）。。</w:t>
            </w:r>
          </w:p>
          <w:p>
            <w:pPr>
              <w:widowControl/>
              <w:numPr>
                <w:ilvl w:val="0"/>
                <w:numId w:val="13"/>
              </w:numPr>
              <w:jc w:val="left"/>
              <w:rPr>
                <w:rFonts w:hint="default" w:ascii="宋体" w:hAnsi="宋体"/>
                <w:color w:val="auto"/>
                <w:sz w:val="20"/>
                <w:lang w:val="en-US" w:eastAsia="zh-CN"/>
              </w:rPr>
            </w:pPr>
            <w:r>
              <w:rPr>
                <w:rFonts w:hint="eastAsia" w:ascii="宋体" w:hAnsi="宋体"/>
                <w:color w:val="auto"/>
                <w:sz w:val="20"/>
                <w:lang w:val="en-US" w:eastAsia="zh-CN"/>
              </w:rPr>
              <w:t>桌面：</w:t>
            </w:r>
            <w:r>
              <w:rPr>
                <w:rFonts w:hint="eastAsia" w:ascii="宋体" w:hAnsi="宋体"/>
                <w:bCs/>
                <w:color w:val="auto"/>
                <w:sz w:val="20"/>
              </w:rPr>
              <w:t>采用进口PVC双层15条加强筋挤塑形成、ABS进口注塑封边。具体要求：1、桌面采用环保PVC材料，双层加强筋面板，内部有13条加强筋，桌面承载500斤左右的重量。2、桌面不得使用一次成型单层桌面。（因一次成型单层桌面不耐压、承载重量低）3、桌面使用双面面板、两边采用ABS材质封边卡条（双面可以承载500斤左右）；4、桌面采用PVC环保材质，桌面厚度≥25mm，保证课桌的质量。</w:t>
            </w:r>
          </w:p>
          <w:p>
            <w:pPr>
              <w:widowControl/>
              <w:rPr>
                <w:rFonts w:hint="default" w:ascii="宋体" w:hAnsi="宋体"/>
                <w:color w:val="auto"/>
                <w:sz w:val="20"/>
                <w:lang w:val="en-US" w:eastAsia="zh-CN"/>
              </w:rPr>
            </w:pPr>
            <w:r>
              <w:rPr>
                <w:rFonts w:hint="eastAsia" w:ascii="宋体" w:hAnsi="宋体"/>
                <w:color w:val="auto"/>
                <w:sz w:val="20"/>
                <w:lang w:val="en-US" w:eastAsia="zh-CN"/>
              </w:rPr>
              <w:t>3、书斗：</w:t>
            </w:r>
            <w:r>
              <w:rPr>
                <w:rFonts w:hint="eastAsia" w:ascii="宋体" w:hAnsi="宋体"/>
                <w:bCs/>
                <w:color w:val="auto"/>
                <w:sz w:val="20"/>
              </w:rPr>
              <w:t>1.外部尺寸：（长530mm×宽330mm×高180mm）±5</w:t>
            </w:r>
            <w:r>
              <w:rPr>
                <w:rFonts w:ascii="宋体" w:hAnsi="宋体"/>
                <w:bCs/>
                <w:color w:val="auto"/>
                <w:sz w:val="20"/>
              </w:rPr>
              <w:t>mm</w:t>
            </w:r>
            <w:r>
              <w:rPr>
                <w:rFonts w:hint="eastAsia" w:ascii="宋体" w:hAnsi="宋体"/>
                <w:bCs/>
                <w:color w:val="auto"/>
                <w:sz w:val="20"/>
              </w:rPr>
              <w:t>。收斗插管口深50mm±1</w:t>
            </w:r>
            <w:r>
              <w:rPr>
                <w:rFonts w:ascii="宋体" w:hAnsi="宋体"/>
                <w:bCs/>
                <w:color w:val="auto"/>
                <w:sz w:val="20"/>
              </w:rPr>
              <w:t>mm</w:t>
            </w:r>
            <w:r>
              <w:rPr>
                <w:rFonts w:hint="eastAsia" w:ascii="宋体" w:hAnsi="宋体"/>
                <w:bCs/>
                <w:color w:val="auto"/>
                <w:sz w:val="20"/>
              </w:rPr>
              <w:t>，稳固，书斗内部含一个书斗槽，书斗槽尺寸（410mm×5</w:t>
            </w:r>
            <w:r>
              <w:rPr>
                <w:rFonts w:ascii="宋体" w:hAnsi="宋体"/>
                <w:bCs/>
                <w:color w:val="auto"/>
                <w:sz w:val="20"/>
              </w:rPr>
              <w:t>0</w:t>
            </w:r>
            <w:r>
              <w:rPr>
                <w:rFonts w:hint="eastAsia" w:ascii="宋体" w:hAnsi="宋体"/>
                <w:bCs/>
                <w:color w:val="auto"/>
                <w:sz w:val="20"/>
              </w:rPr>
              <w:t>mm），方便放一些笔和橡皮等物品</w:t>
            </w:r>
            <w:r>
              <w:rPr>
                <w:rFonts w:hint="eastAsia" w:ascii="宋体" w:hAnsi="宋体"/>
                <w:bCs/>
                <w:color w:val="auto"/>
                <w:sz w:val="20"/>
                <w:lang w:eastAsia="zh-CN"/>
              </w:rPr>
              <w:t>。</w:t>
            </w:r>
            <w:r>
              <w:rPr>
                <w:rFonts w:hint="eastAsia" w:ascii="宋体" w:hAnsi="宋体"/>
                <w:bCs/>
                <w:color w:val="auto"/>
                <w:sz w:val="20"/>
                <w:lang w:val="en-US" w:eastAsia="zh-CN"/>
              </w:rPr>
              <w:t>2.</w:t>
            </w:r>
            <w:r>
              <w:rPr>
                <w:rFonts w:hint="eastAsia"/>
                <w:color w:val="auto"/>
                <w:sz w:val="20"/>
                <w:szCs w:val="20"/>
              </w:rPr>
              <w:t>书斗侧含有挂钩，采用面板和书斗固定方套 30011式，不可采用用自攻螺丝固定形式，以防时间久挂钩脱落。</w:t>
            </w:r>
          </w:p>
          <w:p>
            <w:pPr>
              <w:widowControl/>
              <w:numPr>
                <w:ilvl w:val="0"/>
                <w:numId w:val="0"/>
              </w:numPr>
              <w:rPr>
                <w:rFonts w:hint="eastAsia" w:ascii="宋体" w:hAnsi="宋体" w:cs="宋体"/>
                <w:bCs/>
                <w:color w:val="auto"/>
                <w:kern w:val="0"/>
                <w:sz w:val="20"/>
              </w:rPr>
            </w:pPr>
            <w:r>
              <w:rPr>
                <w:rFonts w:hint="eastAsia"/>
                <w:color w:val="auto"/>
                <w:sz w:val="20"/>
                <w:szCs w:val="20"/>
                <w:lang w:val="en-US" w:eastAsia="zh-CN"/>
              </w:rPr>
              <w:t>4、网篮：</w:t>
            </w:r>
            <w:r>
              <w:rPr>
                <w:rFonts w:hint="eastAsia" w:ascii="宋体" w:hAnsi="宋体" w:cs="宋体"/>
                <w:bCs/>
                <w:color w:val="auto"/>
                <w:kern w:val="0"/>
                <w:sz w:val="20"/>
              </w:rPr>
              <w:t>长450X宽200X厚4</w:t>
            </w:r>
            <w:r>
              <w:rPr>
                <w:rFonts w:hint="eastAsia" w:ascii="宋体" w:hAnsi="宋体" w:cs="宋体"/>
                <w:bCs/>
                <w:color w:val="auto"/>
                <w:kern w:val="0"/>
                <w:sz w:val="20"/>
                <w:lang w:eastAsia="zh-CN"/>
              </w:rPr>
              <w:t>。</w:t>
            </w:r>
            <w:r>
              <w:rPr>
                <w:rFonts w:hint="eastAsia" w:ascii="宋体" w:hAnsi="宋体" w:cs="宋体"/>
                <w:bCs/>
                <w:color w:val="auto"/>
                <w:kern w:val="0"/>
                <w:sz w:val="20"/>
              </w:rPr>
              <w:t>采用PP-R共聚聚丙烯双卡口工艺注塑形成。具体要求：1、网篮设有双卡口技术。</w:t>
            </w:r>
          </w:p>
          <w:p>
            <w:pPr>
              <w:widowControl/>
              <w:numPr>
                <w:ilvl w:val="0"/>
                <w:numId w:val="0"/>
              </w:numPr>
              <w:rPr>
                <w:rFonts w:hint="eastAsia" w:ascii="宋体" w:hAnsi="宋体" w:cs="宋体"/>
                <w:bCs/>
                <w:color w:val="auto"/>
                <w:kern w:val="0"/>
                <w:sz w:val="20"/>
                <w:lang w:val="en-US" w:eastAsia="zh-CN"/>
              </w:rPr>
            </w:pPr>
            <w:r>
              <w:rPr>
                <w:rFonts w:hint="eastAsia" w:ascii="宋体" w:hAnsi="宋体" w:cs="宋体"/>
                <w:bCs/>
                <w:color w:val="auto"/>
                <w:kern w:val="0"/>
                <w:sz w:val="20"/>
                <w:lang w:val="en-US" w:eastAsia="zh-CN"/>
              </w:rPr>
              <w:t>5、立柱：</w:t>
            </w:r>
            <w:r>
              <w:rPr>
                <w:rFonts w:hint="eastAsia" w:ascii="宋体" w:hAnsi="宋体" w:cs="宋体"/>
                <w:bCs/>
                <w:color w:val="auto"/>
                <w:kern w:val="0"/>
                <w:sz w:val="20"/>
              </w:rPr>
              <w:t>1、立柱（截面）尺寸：长60mm×宽28mm；2、桌立柱采用环保PVC材料挤塑成型；3、桌左右两边的立柱与书斗和脚不得采用螺丝连接。</w:t>
            </w:r>
            <w:r>
              <w:rPr>
                <w:rFonts w:hint="eastAsia" w:ascii="宋体" w:hAnsi="宋体" w:cs="宋体"/>
                <w:bCs/>
                <w:color w:val="auto"/>
                <w:kern w:val="0"/>
                <w:sz w:val="20"/>
                <w:lang w:val="en-US" w:eastAsia="zh-CN"/>
              </w:rPr>
              <w:t xml:space="preserve"> </w:t>
            </w:r>
          </w:p>
          <w:p>
            <w:pPr>
              <w:widowControl/>
              <w:numPr>
                <w:ilvl w:val="0"/>
                <w:numId w:val="0"/>
              </w:numPr>
              <w:rPr>
                <w:rFonts w:hint="eastAsia" w:ascii="宋体" w:hAnsi="宋体" w:cs="宋体"/>
                <w:bCs/>
                <w:color w:val="auto"/>
                <w:kern w:val="0"/>
                <w:sz w:val="20"/>
                <w:lang w:eastAsia="zh-CN"/>
              </w:rPr>
            </w:pPr>
            <w:r>
              <w:rPr>
                <w:rFonts w:hint="eastAsia" w:ascii="宋体" w:hAnsi="宋体" w:cs="宋体"/>
                <w:bCs/>
                <w:color w:val="auto"/>
                <w:kern w:val="0"/>
                <w:sz w:val="20"/>
                <w:lang w:val="en-US" w:eastAsia="zh-CN"/>
              </w:rPr>
              <w:t>6、桌脚及横梁：</w:t>
            </w:r>
            <w:r>
              <w:rPr>
                <w:rFonts w:hint="eastAsia" w:ascii="宋体" w:hAnsi="宋体" w:cs="宋体"/>
                <w:bCs/>
                <w:color w:val="auto"/>
                <w:kern w:val="0"/>
                <w:sz w:val="20"/>
              </w:rPr>
              <w:t>横梁（截面）的尺寸不低于:长60 mm ×宽28mmm，横梁采用环保PVC材料挤塑成型；2、桌脚采用环保PP-R材料一次注塑成型；3、桌脚和横梁不得采用螺丝连接</w:t>
            </w:r>
            <w:r>
              <w:rPr>
                <w:rFonts w:hint="eastAsia" w:ascii="宋体" w:hAnsi="宋体" w:cs="宋体"/>
                <w:bCs/>
                <w:color w:val="auto"/>
                <w:kern w:val="0"/>
                <w:sz w:val="20"/>
                <w:lang w:eastAsia="zh-CN"/>
              </w:rPr>
              <w:t>。</w:t>
            </w:r>
          </w:p>
          <w:p>
            <w:pPr>
              <w:jc w:val="left"/>
              <w:rPr>
                <w:rFonts w:hint="eastAsia" w:ascii="宋体" w:hAnsi="宋体" w:cs="宋体"/>
                <w:bCs/>
                <w:color w:val="auto"/>
                <w:kern w:val="0"/>
                <w:sz w:val="20"/>
              </w:rPr>
            </w:pPr>
            <w:r>
              <w:rPr>
                <w:rFonts w:hint="eastAsia" w:ascii="宋体" w:hAnsi="宋体" w:cs="宋体"/>
                <w:bCs/>
                <w:color w:val="auto"/>
                <w:kern w:val="0"/>
                <w:sz w:val="20"/>
                <w:lang w:val="en-US" w:eastAsia="zh-CN"/>
              </w:rPr>
              <w:t>7、椅面：</w:t>
            </w:r>
            <w:r>
              <w:rPr>
                <w:rFonts w:hint="eastAsia" w:ascii="宋体" w:hAnsi="宋体" w:cs="宋体"/>
                <w:bCs/>
                <w:color w:val="auto"/>
                <w:kern w:val="0"/>
                <w:sz w:val="20"/>
              </w:rPr>
              <w:t>长3</w:t>
            </w:r>
            <w:r>
              <w:rPr>
                <w:rFonts w:hint="eastAsia" w:ascii="宋体" w:hAnsi="宋体" w:cs="宋体"/>
                <w:bCs/>
                <w:color w:val="auto"/>
                <w:kern w:val="0"/>
                <w:sz w:val="20"/>
                <w:lang w:val="en-US" w:eastAsia="zh-CN"/>
              </w:rPr>
              <w:t>7</w:t>
            </w:r>
            <w:r>
              <w:rPr>
                <w:rFonts w:hint="eastAsia" w:ascii="宋体" w:hAnsi="宋体" w:cs="宋体"/>
                <w:bCs/>
                <w:color w:val="auto"/>
                <w:kern w:val="0"/>
                <w:sz w:val="20"/>
              </w:rPr>
              <w:t>0×宽</w:t>
            </w:r>
            <w:r>
              <w:rPr>
                <w:rFonts w:hint="eastAsia" w:ascii="宋体" w:hAnsi="宋体" w:cs="宋体"/>
                <w:bCs/>
                <w:color w:val="auto"/>
                <w:kern w:val="0"/>
                <w:sz w:val="20"/>
                <w:lang w:val="en-US" w:eastAsia="zh-CN"/>
              </w:rPr>
              <w:t>400</w:t>
            </w:r>
            <w:r>
              <w:rPr>
                <w:rFonts w:hint="eastAsia" w:ascii="宋体" w:hAnsi="宋体" w:cs="宋体"/>
                <w:bCs/>
                <w:color w:val="auto"/>
                <w:kern w:val="0"/>
                <w:sz w:val="20"/>
              </w:rPr>
              <w:t>采用PP-R共聚聚丙烯注塑形成。</w:t>
            </w:r>
          </w:p>
          <w:p>
            <w:pPr>
              <w:widowControl/>
              <w:numPr>
                <w:ilvl w:val="0"/>
                <w:numId w:val="0"/>
              </w:numPr>
              <w:rPr>
                <w:rFonts w:hint="eastAsia" w:ascii="宋体" w:hAnsi="宋体" w:cs="宋体"/>
                <w:bCs/>
                <w:color w:val="auto"/>
                <w:kern w:val="0"/>
                <w:sz w:val="20"/>
              </w:rPr>
            </w:pPr>
            <w:r>
              <w:rPr>
                <w:rFonts w:hint="eastAsia" w:ascii="宋体" w:hAnsi="宋体" w:cs="宋体"/>
                <w:bCs/>
                <w:color w:val="auto"/>
                <w:kern w:val="0"/>
                <w:sz w:val="20"/>
              </w:rPr>
              <w:t>具体要求：</w:t>
            </w:r>
            <w:r>
              <w:rPr>
                <w:rFonts w:hint="eastAsia" w:ascii="宋体" w:hAnsi="宋体" w:cs="宋体"/>
                <w:bCs/>
                <w:color w:val="auto"/>
                <w:kern w:val="0"/>
                <w:sz w:val="20"/>
                <w:lang w:val="en-US" w:eastAsia="zh-CN"/>
              </w:rPr>
              <w:t>椅</w:t>
            </w:r>
            <w:r>
              <w:rPr>
                <w:rFonts w:hint="eastAsia" w:ascii="宋体" w:hAnsi="宋体" w:cs="宋体"/>
                <w:bCs/>
                <w:color w:val="auto"/>
                <w:kern w:val="0"/>
                <w:sz w:val="20"/>
              </w:rPr>
              <w:t>面底部采用</w:t>
            </w:r>
            <w:r>
              <w:rPr>
                <w:rFonts w:hint="eastAsia" w:ascii="宋体" w:hAnsi="宋体" w:cs="宋体"/>
                <w:bCs/>
                <w:color w:val="auto"/>
                <w:kern w:val="0"/>
                <w:sz w:val="20"/>
                <w:lang w:val="en-US" w:eastAsia="zh-CN"/>
              </w:rPr>
              <w:t>5</w:t>
            </w:r>
            <w:r>
              <w:rPr>
                <w:rFonts w:hint="eastAsia" w:ascii="宋体" w:hAnsi="宋体" w:cs="宋体"/>
                <w:bCs/>
                <w:color w:val="auto"/>
                <w:kern w:val="0"/>
                <w:sz w:val="20"/>
              </w:rPr>
              <w:t>X4加强筋布局，保证课</w:t>
            </w:r>
            <w:r>
              <w:rPr>
                <w:rFonts w:hint="eastAsia" w:ascii="宋体" w:hAnsi="宋体" w:cs="宋体"/>
                <w:bCs/>
                <w:color w:val="auto"/>
                <w:kern w:val="0"/>
                <w:sz w:val="20"/>
                <w:lang w:val="en-US" w:eastAsia="zh-CN"/>
              </w:rPr>
              <w:t>椅</w:t>
            </w:r>
            <w:r>
              <w:rPr>
                <w:rFonts w:hint="eastAsia" w:ascii="宋体" w:hAnsi="宋体" w:cs="宋体"/>
                <w:bCs/>
                <w:color w:val="auto"/>
                <w:kern w:val="0"/>
                <w:sz w:val="20"/>
              </w:rPr>
              <w:t>质量。</w:t>
            </w:r>
          </w:p>
          <w:p>
            <w:pPr>
              <w:widowControl/>
              <w:rPr>
                <w:rFonts w:hint="eastAsia" w:ascii="宋体" w:hAnsi="宋体" w:cs="宋体"/>
                <w:bCs/>
                <w:color w:val="auto"/>
                <w:kern w:val="0"/>
                <w:sz w:val="20"/>
                <w:lang w:val="en-US" w:eastAsia="zh-CN"/>
              </w:rPr>
            </w:pPr>
            <w:r>
              <w:rPr>
                <w:rFonts w:hint="eastAsia" w:ascii="宋体" w:hAnsi="宋体" w:cs="宋体"/>
                <w:bCs/>
                <w:color w:val="auto"/>
                <w:kern w:val="0"/>
                <w:sz w:val="20"/>
                <w:lang w:val="en-US" w:eastAsia="zh-CN"/>
              </w:rPr>
              <w:t>8、椅脚及立柱：椅脚：</w:t>
            </w:r>
            <w:r>
              <w:rPr>
                <w:rFonts w:hint="eastAsia" w:ascii="宋体" w:hAnsi="宋体" w:cs="宋体"/>
                <w:bCs/>
                <w:color w:val="auto"/>
                <w:kern w:val="0"/>
                <w:sz w:val="20"/>
              </w:rPr>
              <w:t>长</w:t>
            </w:r>
            <w:r>
              <w:rPr>
                <w:rFonts w:hint="eastAsia" w:ascii="宋体" w:hAnsi="宋体" w:cs="宋体"/>
                <w:bCs/>
                <w:color w:val="auto"/>
                <w:kern w:val="0"/>
                <w:sz w:val="20"/>
                <w:lang w:val="en-US" w:eastAsia="zh-CN"/>
              </w:rPr>
              <w:t>330mm</w:t>
            </w:r>
            <w:r>
              <w:rPr>
                <w:rFonts w:hint="eastAsia" w:ascii="宋体" w:hAnsi="宋体" w:cs="宋体"/>
                <w:bCs/>
                <w:color w:val="auto"/>
                <w:kern w:val="0"/>
                <w:sz w:val="20"/>
              </w:rPr>
              <w:t>×宽</w:t>
            </w:r>
            <w:r>
              <w:rPr>
                <w:rFonts w:hint="eastAsia" w:ascii="宋体" w:hAnsi="宋体" w:cs="宋体"/>
                <w:bCs/>
                <w:color w:val="auto"/>
                <w:kern w:val="0"/>
                <w:sz w:val="20"/>
                <w:lang w:val="en-US" w:eastAsia="zh-CN"/>
              </w:rPr>
              <w:t>40mm</w:t>
            </w:r>
            <w:r>
              <w:rPr>
                <w:rFonts w:hint="eastAsia" w:ascii="宋体" w:hAnsi="宋体" w:cs="宋体"/>
                <w:bCs/>
                <w:color w:val="auto"/>
                <w:kern w:val="0"/>
                <w:sz w:val="20"/>
              </w:rPr>
              <w:t>X高</w:t>
            </w:r>
            <w:r>
              <w:rPr>
                <w:rFonts w:hint="eastAsia" w:ascii="宋体" w:hAnsi="宋体" w:cs="宋体"/>
                <w:bCs/>
                <w:color w:val="auto"/>
                <w:kern w:val="0"/>
                <w:sz w:val="20"/>
                <w:lang w:val="en-US" w:eastAsia="zh-CN"/>
              </w:rPr>
              <w:t>155mm</w:t>
            </w:r>
          </w:p>
          <w:p>
            <w:pPr>
              <w:widowControl/>
              <w:rPr>
                <w:rFonts w:hint="eastAsia" w:ascii="宋体" w:hAnsi="宋体" w:cs="宋体"/>
                <w:bCs/>
                <w:color w:val="auto"/>
                <w:kern w:val="0"/>
                <w:sz w:val="20"/>
              </w:rPr>
            </w:pPr>
            <w:r>
              <w:rPr>
                <w:rFonts w:hint="eastAsia" w:ascii="宋体" w:hAnsi="宋体" w:cs="宋体"/>
                <w:bCs/>
                <w:color w:val="auto"/>
                <w:kern w:val="0"/>
                <w:sz w:val="20"/>
              </w:rPr>
              <w:t>采用PP-R共聚聚丙烯注塑形成。具体要求:</w:t>
            </w:r>
            <w:r>
              <w:rPr>
                <w:rFonts w:hint="eastAsia" w:ascii="宋体" w:hAnsi="宋体" w:cs="宋体"/>
                <w:bCs/>
                <w:color w:val="auto"/>
                <w:kern w:val="0"/>
                <w:sz w:val="20"/>
                <w:lang w:val="en-US" w:eastAsia="zh-CN"/>
              </w:rPr>
              <w:t>椅</w:t>
            </w:r>
            <w:r>
              <w:rPr>
                <w:rFonts w:hint="eastAsia" w:ascii="宋体" w:hAnsi="宋体" w:cs="宋体"/>
                <w:bCs/>
                <w:color w:val="auto"/>
                <w:kern w:val="0"/>
                <w:sz w:val="20"/>
              </w:rPr>
              <w:t>脚必须采用方形脚，增加接触面积，不得使用圆脚</w:t>
            </w:r>
            <w:r>
              <w:rPr>
                <w:rFonts w:hint="eastAsia" w:ascii="宋体" w:hAnsi="宋体" w:cs="宋体"/>
                <w:bCs/>
                <w:color w:val="auto"/>
                <w:kern w:val="0"/>
                <w:sz w:val="20"/>
                <w:lang w:eastAsia="zh-CN"/>
              </w:rPr>
              <w:t>。立柱：</w:t>
            </w:r>
            <w:r>
              <w:rPr>
                <w:rFonts w:hint="eastAsia" w:ascii="宋体" w:hAnsi="宋体" w:cs="宋体"/>
                <w:bCs/>
                <w:color w:val="auto"/>
                <w:kern w:val="0"/>
                <w:sz w:val="20"/>
              </w:rPr>
              <w:t>（横截面）：宽</w:t>
            </w:r>
            <w:r>
              <w:rPr>
                <w:rFonts w:hint="eastAsia" w:ascii="宋体" w:hAnsi="宋体" w:cs="宋体"/>
                <w:bCs/>
                <w:color w:val="auto"/>
                <w:kern w:val="0"/>
                <w:sz w:val="20"/>
                <w:lang w:val="en-US" w:eastAsia="zh-CN"/>
              </w:rPr>
              <w:t>60</w:t>
            </w:r>
            <w:r>
              <w:rPr>
                <w:rFonts w:hint="eastAsia" w:ascii="宋体" w:hAnsi="宋体" w:cs="宋体"/>
                <w:bCs/>
                <w:color w:val="auto"/>
                <w:kern w:val="0"/>
                <w:sz w:val="20"/>
              </w:rPr>
              <w:t>×厚</w:t>
            </w:r>
            <w:r>
              <w:rPr>
                <w:rFonts w:hint="eastAsia" w:ascii="宋体" w:hAnsi="宋体" w:cs="宋体"/>
                <w:bCs/>
                <w:color w:val="auto"/>
                <w:kern w:val="0"/>
                <w:sz w:val="20"/>
                <w:lang w:val="en-US" w:eastAsia="zh-CN"/>
              </w:rPr>
              <w:t>30</w:t>
            </w:r>
            <w:r>
              <w:rPr>
                <w:rFonts w:hint="eastAsia" w:ascii="宋体" w:hAnsi="宋体" w:cs="宋体"/>
                <w:bCs/>
                <w:color w:val="auto"/>
                <w:kern w:val="0"/>
                <w:sz w:val="20"/>
              </w:rPr>
              <w:t>采用硬质PVC工程塑料挤塑形成。具体要求：</w:t>
            </w:r>
            <w:r>
              <w:rPr>
                <w:rFonts w:hint="eastAsia" w:ascii="宋体" w:hAnsi="宋体" w:cs="宋体"/>
                <w:bCs/>
                <w:color w:val="auto"/>
                <w:kern w:val="0"/>
                <w:sz w:val="20"/>
                <w:lang w:val="en-US" w:eastAsia="zh-CN"/>
              </w:rPr>
              <w:t>椅</w:t>
            </w:r>
            <w:r>
              <w:rPr>
                <w:rFonts w:hint="eastAsia" w:ascii="宋体" w:hAnsi="宋体" w:cs="宋体"/>
                <w:bCs/>
                <w:color w:val="auto"/>
                <w:kern w:val="0"/>
                <w:sz w:val="20"/>
              </w:rPr>
              <w:t>子</w:t>
            </w:r>
            <w:r>
              <w:rPr>
                <w:rFonts w:hint="eastAsia" w:ascii="宋体" w:hAnsi="宋体" w:cs="宋体"/>
                <w:bCs/>
                <w:color w:val="auto"/>
                <w:kern w:val="0"/>
                <w:sz w:val="20"/>
                <w:lang w:eastAsia="zh-CN"/>
              </w:rPr>
              <w:t>立柱</w:t>
            </w:r>
            <w:r>
              <w:rPr>
                <w:rFonts w:hint="eastAsia" w:ascii="宋体" w:hAnsi="宋体" w:cs="宋体"/>
                <w:bCs/>
                <w:color w:val="auto"/>
                <w:kern w:val="0"/>
                <w:sz w:val="20"/>
              </w:rPr>
              <w:t>不得低于宽</w:t>
            </w:r>
            <w:r>
              <w:rPr>
                <w:rFonts w:hint="eastAsia" w:ascii="宋体" w:hAnsi="宋体" w:cs="宋体"/>
                <w:bCs/>
                <w:color w:val="auto"/>
                <w:kern w:val="0"/>
                <w:sz w:val="20"/>
                <w:lang w:val="en-US" w:eastAsia="zh-CN"/>
              </w:rPr>
              <w:t>60</w:t>
            </w:r>
            <w:r>
              <w:rPr>
                <w:rFonts w:hint="eastAsia" w:ascii="宋体" w:hAnsi="宋体" w:cs="宋体"/>
                <w:bCs/>
                <w:color w:val="auto"/>
                <w:kern w:val="0"/>
                <w:sz w:val="20"/>
              </w:rPr>
              <w:t>X厚</w:t>
            </w:r>
            <w:r>
              <w:rPr>
                <w:rFonts w:hint="eastAsia" w:ascii="宋体" w:hAnsi="宋体" w:cs="宋体"/>
                <w:bCs/>
                <w:color w:val="auto"/>
                <w:kern w:val="0"/>
                <w:sz w:val="20"/>
                <w:lang w:val="en-US" w:eastAsia="zh-CN"/>
              </w:rPr>
              <w:t>30</w:t>
            </w:r>
            <w:r>
              <w:rPr>
                <w:rFonts w:hint="eastAsia" w:ascii="宋体" w:hAnsi="宋体" w:cs="宋体"/>
                <w:bCs/>
                <w:color w:val="auto"/>
                <w:kern w:val="0"/>
                <w:sz w:val="20"/>
              </w:rPr>
              <w:t>尺寸，保证学生课</w:t>
            </w:r>
            <w:r>
              <w:rPr>
                <w:rFonts w:hint="eastAsia" w:ascii="宋体" w:hAnsi="宋体" w:cs="宋体"/>
                <w:bCs/>
                <w:color w:val="auto"/>
                <w:kern w:val="0"/>
                <w:sz w:val="20"/>
                <w:lang w:val="en-US" w:eastAsia="zh-CN"/>
              </w:rPr>
              <w:t>椅</w:t>
            </w:r>
            <w:r>
              <w:rPr>
                <w:rFonts w:hint="eastAsia" w:ascii="宋体" w:hAnsi="宋体" w:cs="宋体"/>
                <w:bCs/>
                <w:color w:val="auto"/>
                <w:kern w:val="0"/>
                <w:sz w:val="20"/>
              </w:rPr>
              <w:t>安全性。</w:t>
            </w:r>
          </w:p>
          <w:p>
            <w:pPr>
              <w:widowControl/>
              <w:jc w:val="left"/>
              <w:textAlignment w:val="baseline"/>
              <w:rPr>
                <w:rFonts w:hint="eastAsia" w:ascii="仿宋" w:hAnsi="仿宋" w:eastAsia="仿宋" w:cs="仿宋"/>
                <w:color w:val="auto"/>
              </w:rPr>
            </w:pPr>
            <w:r>
              <w:rPr>
                <w:rFonts w:hint="eastAsia" w:ascii="宋体" w:hAnsi="宋体" w:cs="宋体"/>
                <w:bCs/>
                <w:color w:val="auto"/>
                <w:kern w:val="0"/>
                <w:sz w:val="20"/>
                <w:lang w:val="en-US" w:eastAsia="zh-CN"/>
              </w:rPr>
              <w:t>9、课椅及横梁：1、</w:t>
            </w:r>
            <w:r>
              <w:rPr>
                <w:rFonts w:hint="eastAsia" w:ascii="宋体" w:hAnsi="宋体" w:cs="宋体"/>
                <w:bCs/>
                <w:color w:val="auto"/>
                <w:kern w:val="0"/>
                <w:sz w:val="20"/>
              </w:rPr>
              <w:t>横梁（截面）的尺寸不低于:长</w:t>
            </w:r>
            <w:r>
              <w:rPr>
                <w:rFonts w:hint="eastAsia" w:ascii="宋体" w:hAnsi="宋体" w:cs="宋体"/>
                <w:bCs/>
                <w:color w:val="auto"/>
                <w:kern w:val="0"/>
                <w:sz w:val="20"/>
                <w:lang w:val="en-US" w:eastAsia="zh-CN"/>
              </w:rPr>
              <w:t>60</w:t>
            </w:r>
            <w:r>
              <w:rPr>
                <w:rFonts w:hint="eastAsia" w:ascii="宋体" w:hAnsi="宋体" w:cs="宋体"/>
                <w:bCs/>
                <w:color w:val="auto"/>
                <w:kern w:val="0"/>
                <w:sz w:val="20"/>
              </w:rPr>
              <w:t xml:space="preserve"> mm ×宽</w:t>
            </w:r>
            <w:r>
              <w:rPr>
                <w:rFonts w:hint="eastAsia" w:ascii="宋体" w:hAnsi="宋体" w:cs="宋体"/>
                <w:bCs/>
                <w:color w:val="auto"/>
                <w:kern w:val="0"/>
                <w:sz w:val="20"/>
                <w:lang w:val="en-US" w:eastAsia="zh-CN"/>
              </w:rPr>
              <w:t>30</w:t>
            </w:r>
            <w:r>
              <w:rPr>
                <w:rFonts w:hint="eastAsia" w:ascii="宋体" w:hAnsi="宋体" w:cs="宋体"/>
                <w:bCs/>
                <w:color w:val="auto"/>
                <w:kern w:val="0"/>
                <w:sz w:val="20"/>
              </w:rPr>
              <w:t>mm；2、</w:t>
            </w:r>
            <w:r>
              <w:rPr>
                <w:rFonts w:hint="eastAsia" w:ascii="宋体" w:hAnsi="宋体" w:cs="宋体"/>
                <w:bCs/>
                <w:color w:val="auto"/>
                <w:kern w:val="0"/>
                <w:sz w:val="20"/>
                <w:lang w:val="en-US" w:eastAsia="zh-CN"/>
              </w:rPr>
              <w:t>椅</w:t>
            </w:r>
            <w:r>
              <w:rPr>
                <w:rFonts w:hint="eastAsia" w:ascii="宋体" w:hAnsi="宋体" w:cs="宋体"/>
                <w:bCs/>
                <w:color w:val="auto"/>
                <w:kern w:val="0"/>
                <w:sz w:val="20"/>
              </w:rPr>
              <w:t>横梁采用环保PVC材料挤塑成型，3、</w:t>
            </w:r>
            <w:r>
              <w:rPr>
                <w:rFonts w:hint="eastAsia" w:ascii="宋体" w:hAnsi="宋体" w:cs="宋体"/>
                <w:bCs/>
                <w:color w:val="auto"/>
                <w:kern w:val="0"/>
                <w:sz w:val="20"/>
                <w:lang w:val="en-US" w:eastAsia="zh-CN"/>
              </w:rPr>
              <w:t>椅</w:t>
            </w:r>
            <w:r>
              <w:rPr>
                <w:rFonts w:hint="eastAsia" w:ascii="宋体" w:hAnsi="宋体" w:cs="宋体"/>
                <w:bCs/>
                <w:color w:val="auto"/>
                <w:kern w:val="0"/>
                <w:sz w:val="20"/>
              </w:rPr>
              <w:t>脚之间有横梁连接加固，横梁与</w:t>
            </w:r>
            <w:r>
              <w:rPr>
                <w:rFonts w:hint="eastAsia" w:ascii="宋体" w:hAnsi="宋体" w:cs="宋体"/>
                <w:bCs/>
                <w:color w:val="auto"/>
                <w:kern w:val="0"/>
                <w:sz w:val="20"/>
                <w:lang w:val="en-US" w:eastAsia="zh-CN"/>
              </w:rPr>
              <w:t>椅</w:t>
            </w:r>
            <w:r>
              <w:rPr>
                <w:rFonts w:hint="eastAsia" w:ascii="宋体" w:hAnsi="宋体" w:cs="宋体"/>
                <w:bCs/>
                <w:color w:val="auto"/>
                <w:kern w:val="0"/>
                <w:sz w:val="20"/>
              </w:rPr>
              <w:t>脚</w:t>
            </w:r>
            <w:r>
              <w:rPr>
                <w:rFonts w:hint="eastAsia" w:ascii="宋体" w:hAnsi="宋体" w:cs="宋体"/>
                <w:bCs/>
                <w:color w:val="auto"/>
                <w:kern w:val="0"/>
                <w:sz w:val="20"/>
                <w:lang w:val="en-US" w:eastAsia="zh-CN"/>
              </w:rPr>
              <w:t>不得</w:t>
            </w:r>
            <w:r>
              <w:rPr>
                <w:rFonts w:hint="eastAsia" w:ascii="宋体" w:hAnsi="宋体" w:cs="宋体"/>
                <w:bCs/>
                <w:color w:val="auto"/>
                <w:kern w:val="0"/>
                <w:sz w:val="20"/>
              </w:rPr>
              <w:t>采用螺丝连接</w:t>
            </w:r>
            <w:r>
              <w:rPr>
                <w:rFonts w:hint="eastAsia" w:ascii="宋体" w:hAnsi="宋体" w:cs="宋体"/>
                <w:bCs/>
                <w:color w:val="auto"/>
                <w:kern w:val="0"/>
                <w:sz w:val="20"/>
                <w:lang w:val="en-US" w:eastAsia="zh-CN"/>
              </w:rPr>
              <w:t>加固。</w:t>
            </w:r>
          </w:p>
        </w:tc>
        <w:tc>
          <w:tcPr>
            <w:tcW w:w="6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hint="default" w:ascii="仿宋" w:hAnsi="仿宋" w:eastAsia="仿宋" w:cs="仿宋"/>
                <w:color w:val="auto"/>
                <w:lang w:val="en-US" w:eastAsia="zh-CN"/>
              </w:rPr>
            </w:pPr>
            <w:r>
              <w:rPr>
                <w:rFonts w:hint="eastAsia" w:ascii="仿宋" w:hAnsi="仿宋" w:eastAsia="仿宋" w:cs="仿宋"/>
                <w:color w:val="auto"/>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衬布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100cm×200cm；棉、麻、丝、绒 </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7"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写生凳</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高度不低于40cm，可升降</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磁性白黑板</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不小于90cm×70cm</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展示画框</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60cm×45cm</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11</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小学美术教学挂图</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适合小学美术教学要求的绘画、手工、欣赏内容，不少于48幅，对开，应为国家正式出版物</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12</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美术教学软件</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乐画</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具备多种类数字画笔，支持数字化图形图像处理技术、支持美术课程局域网内多用户交互式教学和示范评价以及美术作品欣赏管理</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13</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美术教学网络系统</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乐画</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借助云平台收集美术教学资源和开展探究性美术学习，支持在线学习交流，支持美术作品点评、互评以及美术电子作业系统</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14</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影像资料</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幻灯片、光盘、数字化美术教学资源库、虚拟美术博物馆、美术展等</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15</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写生画板</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不小于45cm×32cm</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16</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云台</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直径不小于18cm，高3cm</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17</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泥工工具</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泥塑刀6把、环形刀3把、刮刀2把、切割线1套、刮板1件、拍板1件、型板1块、喷壶1个、海绵1块</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18</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民间美术欣赏及写生样本</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中国结、京剧脸谱、扎染、蜡染、皮影、年画、木板年画、剪纸、面具、泥塑、玩具、风车、纹样、风筝、唐三彩、彩陶器、瓷器等 </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19</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美术学具</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毛笔、小剪刀、调色盘、笔洗、美工刀、水溶性油墨、黑色胶滚、毛毡、刻纸刀、水粉画笔、调色盒、直尺 </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电子绘画板</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友基</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绘画区域不小于92mm×147mm,1024</w:t>
            </w:r>
            <w:r>
              <w:rPr>
                <w:rStyle w:val="256"/>
                <w:color w:val="auto"/>
                <w:lang w:val="en-US" w:eastAsia="zh-CN" w:bidi="ar"/>
              </w:rPr>
              <w:t>级压感以上，无线无源，配备与教材相应的软件</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21</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写生画箱</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箱体：47cm×33cm×8cm</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22</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写生教具（1）</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石膏像：阿古力巴（切面），腊空（半面），太阳神（头像），海盗（头像），小大卫（头像）</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23</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写生教具（2）</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石膏几何形体：圆球，长方体，正方体，圆柱体，六棱柱，圆锥，方锥</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24</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画架</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高度不低于142cm</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25</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画板</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不小于60cm×45cm</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26</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绘画工具</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水粉笔1～12#各1支，水彩笔1～12#各1支、大白云毛笔1支、小狼毫1支、勾线笔1支、斗笔1支、扁笔1支、调色盒1个、调色盘1个</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27</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制作工具</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美工刀1把、剪刀2把、木刻刀12把、尖钻1把、篆刻刀1把、油石1块、改锥2把、多用锯1把、锯条5根、推刨1把、木锉1把、尖嘴钳1把、铁锤1把、电烙铁1把、凿子2把、什锦锉1套、切割垫板1块、三用圆规1件、订书器1个、壁纸刀1把、U型锯1把、线锯条10根、手摇钻1个、刨子1把、盒尺1个、角尺1把、砂纸5张、小台钳1台、钢丝钳1把、钢锉1把、钢板尺1把、金属剪1把、铁砧子1件</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28</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国画和书法工具</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毛笔8支、画毡1块、调色盘1块、砚台1个、笔洗1个、笔架1个、镇尺1付、笔帘1个、墨1块、印盒1个、墨汁1瓶</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29</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电子绘画板</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友基</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fldChar w:fldCharType="begin"/>
            </w:r>
            <w:r>
              <w:rPr>
                <w:rFonts w:hint="eastAsia" w:ascii="宋体" w:hAnsi="宋体" w:eastAsia="宋体" w:cs="宋体"/>
                <w:i w:val="0"/>
                <w:color w:val="auto"/>
                <w:kern w:val="0"/>
                <w:sz w:val="22"/>
                <w:szCs w:val="22"/>
                <w:u w:val="none"/>
                <w:lang w:val="en-US" w:eastAsia="zh-CN" w:bidi="ar"/>
              </w:rPr>
              <w:instrText xml:space="preserve"> HYPERLINK "http://www.spsp.gov.cn/page/FO/1986/KS G5737-1986.shtml" </w:instrText>
            </w:r>
            <w:r>
              <w:rPr>
                <w:rFonts w:hint="eastAsia" w:ascii="宋体" w:hAnsi="宋体" w:eastAsia="宋体" w:cs="宋体"/>
                <w:i w:val="0"/>
                <w:color w:val="auto"/>
                <w:kern w:val="0"/>
                <w:sz w:val="22"/>
                <w:szCs w:val="22"/>
                <w:u w:val="none"/>
                <w:lang w:val="en-US" w:eastAsia="zh-CN" w:bidi="ar"/>
              </w:rPr>
              <w:fldChar w:fldCharType="separate"/>
            </w:r>
            <w:r>
              <w:rPr>
                <w:rStyle w:val="65"/>
                <w:rFonts w:hint="eastAsia" w:ascii="宋体" w:hAnsi="宋体" w:eastAsia="宋体" w:cs="宋体"/>
                <w:i w:val="0"/>
                <w:color w:val="auto"/>
                <w:sz w:val="22"/>
                <w:szCs w:val="22"/>
                <w:u w:val="none"/>
              </w:rPr>
              <w:t>绘画区域不小于135mm×200mm,压感级别1024级及以上,无线无源压感笔；配备与教材相应的软件</w:t>
            </w:r>
            <w:r>
              <w:rPr>
                <w:rFonts w:hint="eastAsia" w:ascii="宋体" w:hAnsi="宋体" w:eastAsia="宋体" w:cs="宋体"/>
                <w:i w:val="0"/>
                <w:color w:val="auto"/>
                <w:kern w:val="0"/>
                <w:sz w:val="22"/>
                <w:szCs w:val="22"/>
                <w:u w:val="none"/>
                <w:lang w:val="en-US" w:eastAsia="zh-CN" w:bidi="ar"/>
              </w:rPr>
              <w:fldChar w:fldCharType="end"/>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30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挂图</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书法教学挂图或书法名作欣赏挂图，应为国家正式出版物</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31</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书画桌</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不小于120cm×100cm</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32</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书法工具</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毛笔(斗笔、大白云、中白云、小白云、小狼毫、勾线笔) 、毛毡、镇尺、笔洗、墨汁、调色盘、笔架、名家字贴</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33</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篆刻工具</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篆刻刀、印床、章料、印泥等</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34</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数字书法教学系统</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乐书</w:t>
            </w:r>
          </w:p>
        </w:tc>
        <w:tc>
          <w:tcPr>
            <w:tcW w:w="72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包含逼真的软、硬笔书写笔触及数字化纸张，支持集字临摹及录制、回放、批注、讲解功能，虚拟水墨,可自由调整笔画及文字布局；含完整数字书法字帖，字体包含正楷、行楷等字库，书法动画资源，支持笔顺演示动态临摹功能</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35</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录音机</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熊猫</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有USB接口,能播放磁带、CD、U盘等音乐文件</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36</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音响系统</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JUFENG</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含音箱（或有源音箱）一对、功放和DVD机各一台</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37</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指挥台（含指挥棒）</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木制</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38</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合唱台</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木制，三阶，每阶高度差不小于20cm，每阶宽度不小于40cm</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39</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音乐节拍器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机械式</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音乐教育教学相关图书及杂志</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音乐基本理论、音乐教育学、心理学、音乐教学设计以及各种音乐专业杂志等</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41</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小学音乐教学挂图</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适合小学音乐教学要求的音乐家肖像、乐器图样、乐理知识等，需涵盖《义务教育音乐课程标准（2011年版）》规定及教材所涉及的内容。应为国家正式出版物</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42</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小学音乐教学软件</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具备小学音乐课堂教学、资料检索、学生自主学习等功能</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43</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小学音乐欣赏教学曲库</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小学阶段音乐欣赏教学资料（CD），应为国家正式出版物</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44</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小学音乐欣赏教学影像库</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各类小学音乐教学音像、歌舞剧等影像资料（VCD、DVD等），应为国家正式出版物</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45</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音筒</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8音一组</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46</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音条</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铝制，17音，高级品</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47</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钟琴</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钢制，木架，音域4个八度（高、中、低音）</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48</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摇铃（串铃）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5铃</w:t>
            </w:r>
          </w:p>
        </w:tc>
        <w:tc>
          <w:tcPr>
            <w:tcW w:w="67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49</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摇铃（串铃）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7铃</w:t>
            </w:r>
          </w:p>
        </w:tc>
        <w:tc>
          <w:tcPr>
            <w:tcW w:w="6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棒铃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21铃</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51</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卡巴撒</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大号</w:t>
            </w:r>
          </w:p>
        </w:tc>
        <w:tc>
          <w:tcPr>
            <w:tcW w:w="67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卡巴撒</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小号</w:t>
            </w:r>
          </w:p>
        </w:tc>
        <w:tc>
          <w:tcPr>
            <w:tcW w:w="6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53</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双响筒</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木制，长17cm～18cm，宽19cm～20cm，棍长18cm～19cm</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54</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响板</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木制，音色清脆、响亮，适合抓握</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55</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响棒</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硬木制，发音清脆，表面光滑</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刮棒</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木制，刮棱尺寸均匀，外表光滑</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57</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蛙鸣筒</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木制，刮棱尺寸均匀，外表光滑，筒长18cm～20cm</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58</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北梆子</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硬木制，坚实无疤节或劈裂，外表光滑无毛刺</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59</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南梆子</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红木制、枣木或其他硬木制，坚实无疤节或劈裂。直径4cm、长25cm的圆柱形和长20cm、宽5cm～6cm、厚4cm长方形为一副，外表光滑、圆弧和棱角适度</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铃鼓</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木框,铜钹,羊皮鼓面,鼓面直径20cm～25cm</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61</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碰铃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黄铜制，系绳</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62</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棒钟</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黄铜制，带棒</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63</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扁鼓</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圆形，木框，两面蒙羊皮，用绳索绷紧。鼓面直径37cm～45cm</w:t>
            </w:r>
          </w:p>
        </w:tc>
        <w:tc>
          <w:tcPr>
            <w:tcW w:w="67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扁鼓</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圆形，木框，两面蒙牛皮，用绳索绷紧。鼓面直径37cm～45cm</w:t>
            </w:r>
          </w:p>
        </w:tc>
        <w:tc>
          <w:tcPr>
            <w:tcW w:w="6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堂鼓</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木框，牛皮鼓面，直径22cm～32cm，高33cm,带架</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66</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口风琴</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32键，高级品</w:t>
            </w:r>
          </w:p>
        </w:tc>
        <w:tc>
          <w:tcPr>
            <w:tcW w:w="67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67</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口风琴</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37键，高级品</w:t>
            </w:r>
          </w:p>
        </w:tc>
        <w:tc>
          <w:tcPr>
            <w:tcW w:w="6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68</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竖笛</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六孔，高级品，塑料</w:t>
            </w:r>
          </w:p>
        </w:tc>
        <w:tc>
          <w:tcPr>
            <w:tcW w:w="67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69</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竖笛</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六孔，高级品，木制</w:t>
            </w:r>
          </w:p>
        </w:tc>
        <w:tc>
          <w:tcPr>
            <w:tcW w:w="6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70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竖笛</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八孔，高级品，塑料</w:t>
            </w:r>
          </w:p>
        </w:tc>
        <w:tc>
          <w:tcPr>
            <w:tcW w:w="6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71</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竖笛</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八孔，高级品，木制</w:t>
            </w:r>
          </w:p>
        </w:tc>
        <w:tc>
          <w:tcPr>
            <w:tcW w:w="6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72</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陶笛</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单管十二孔中音C调（AC）等</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73</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葫芦丝</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中音C调</w:t>
            </w:r>
          </w:p>
        </w:tc>
        <w:tc>
          <w:tcPr>
            <w:tcW w:w="67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74</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葫芦丝</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降B调</w:t>
            </w:r>
          </w:p>
        </w:tc>
        <w:tc>
          <w:tcPr>
            <w:tcW w:w="6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75</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吉它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四弦</w:t>
            </w:r>
          </w:p>
        </w:tc>
        <w:tc>
          <w:tcPr>
            <w:tcW w:w="67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76</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吉它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金音</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六弦 </w:t>
            </w:r>
          </w:p>
        </w:tc>
        <w:tc>
          <w:tcPr>
            <w:tcW w:w="6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77</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大军鼓</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66cm×30.5cm(26in×12in),含鼓槌</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78</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小军鼓</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35.5cm×14cm（14in×5.5in）,含鼓棒</w:t>
            </w:r>
          </w:p>
        </w:tc>
        <w:tc>
          <w:tcPr>
            <w:tcW w:w="6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79</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多音鼓</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25.4cm×12.5cm（10in×5in），三鼓，带架</w:t>
            </w:r>
          </w:p>
        </w:tc>
        <w:tc>
          <w:tcPr>
            <w:tcW w:w="67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80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多音鼓</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菏峰</w:t>
            </w:r>
          </w:p>
        </w:tc>
        <w:tc>
          <w:tcPr>
            <w:tcW w:w="7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25.4cm×12.5cm（10in×5in），四鼓，带架</w:t>
            </w:r>
          </w:p>
        </w:tc>
        <w:tc>
          <w:tcPr>
            <w:tcW w:w="6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bl>
    <w:p>
      <w:pPr>
        <w:pStyle w:val="5"/>
        <w:spacing w:before="0" w:after="0" w:line="360" w:lineRule="auto"/>
        <w:ind w:firstLine="643" w:firstLineChars="200"/>
        <w:rPr>
          <w:rFonts w:hint="eastAsia" w:ascii="黑体" w:hAnsi="黑体" w:eastAsia="黑体" w:cs="黑体"/>
          <w:color w:val="auto"/>
          <w:szCs w:val="32"/>
        </w:rPr>
      </w:pPr>
    </w:p>
    <w:p>
      <w:pPr>
        <w:pStyle w:val="5"/>
        <w:spacing w:before="0" w:after="0" w:line="360" w:lineRule="auto"/>
        <w:ind w:firstLine="643" w:firstLineChars="200"/>
        <w:rPr>
          <w:rFonts w:ascii="黑体" w:hAnsi="黑体" w:eastAsia="黑体" w:cs="黑体"/>
          <w:color w:val="auto"/>
          <w:szCs w:val="32"/>
        </w:rPr>
      </w:pPr>
      <w:r>
        <w:rPr>
          <w:rFonts w:hint="eastAsia" w:ascii="黑体" w:hAnsi="黑体" w:eastAsia="黑体" w:cs="黑体"/>
          <w:color w:val="auto"/>
          <w:szCs w:val="32"/>
        </w:rPr>
        <w:t>四、质量保证及售后服务要求</w:t>
      </w:r>
    </w:p>
    <w:p>
      <w:pPr>
        <w:snapToGrid w:val="0"/>
        <w:spacing w:line="360" w:lineRule="auto"/>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（一）质量标准：供应商所供产品名称、规格、数量、质量要求、生产企业与竞采文件</w:t>
      </w:r>
      <w:r>
        <w:rPr>
          <w:rFonts w:hint="eastAsia" w:ascii="仿宋_GB2312" w:hAnsi="仿宋_GB2312" w:eastAsia="仿宋_GB2312" w:cs="仿宋_GB2312"/>
          <w:color w:val="auto"/>
          <w:kern w:val="0"/>
          <w:sz w:val="32"/>
          <w:szCs w:val="32"/>
          <w:lang w:eastAsia="zh-Hans"/>
        </w:rPr>
        <w:t>要求</w:t>
      </w:r>
      <w:r>
        <w:rPr>
          <w:rFonts w:hint="eastAsia" w:ascii="仿宋_GB2312" w:hAnsi="仿宋_GB2312" w:eastAsia="仿宋_GB2312" w:cs="仿宋_GB2312"/>
          <w:color w:val="auto"/>
          <w:kern w:val="0"/>
          <w:sz w:val="32"/>
          <w:szCs w:val="32"/>
        </w:rPr>
        <w:t xml:space="preserve">相符。 </w:t>
      </w:r>
    </w:p>
    <w:p>
      <w:pPr>
        <w:snapToGrid w:val="0"/>
        <w:spacing w:line="360" w:lineRule="auto"/>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w:t>
      </w:r>
      <w:r>
        <w:rPr>
          <w:rFonts w:hint="eastAsia" w:ascii="仿宋_GB2312" w:hAnsi="仿宋_GB2312" w:eastAsia="仿宋_GB2312" w:cs="仿宋_GB2312"/>
          <w:color w:val="auto"/>
          <w:kern w:val="0"/>
          <w:sz w:val="32"/>
          <w:szCs w:val="32"/>
          <w:lang w:eastAsia="zh-Hans"/>
        </w:rPr>
        <w:t>自验收之日起</w:t>
      </w:r>
      <w:r>
        <w:rPr>
          <w:rFonts w:ascii="仿宋_GB2312" w:hAnsi="仿宋_GB2312" w:eastAsia="仿宋_GB2312" w:cs="仿宋_GB2312"/>
          <w:color w:val="auto"/>
          <w:kern w:val="0"/>
          <w:sz w:val="32"/>
          <w:szCs w:val="32"/>
          <w:lang w:eastAsia="zh-Hans"/>
        </w:rPr>
        <w:t>，</w:t>
      </w:r>
      <w:r>
        <w:rPr>
          <w:rFonts w:hint="eastAsia" w:ascii="仿宋_GB2312" w:hAnsi="仿宋_GB2312" w:eastAsia="仿宋_GB2312" w:cs="仿宋_GB2312"/>
          <w:color w:val="auto"/>
          <w:kern w:val="0"/>
          <w:sz w:val="32"/>
          <w:szCs w:val="32"/>
        </w:rPr>
        <w:t>产品质量保证期不低于</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年。</w:t>
      </w:r>
    </w:p>
    <w:p>
      <w:pPr>
        <w:snapToGrid w:val="0"/>
        <w:spacing w:line="360" w:lineRule="auto"/>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（三）产品属于国家规定“三包”范围的，其产品质量保证期不得低于“三包”规定。</w:t>
      </w:r>
    </w:p>
    <w:p>
      <w:pPr>
        <w:snapToGrid w:val="0"/>
        <w:spacing w:line="360" w:lineRule="auto"/>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（四）成交供应商须免费提供现场技术培训与技术支持。</w:t>
      </w:r>
    </w:p>
    <w:p>
      <w:pPr>
        <w:snapToGrid w:val="0"/>
        <w:spacing w:line="360" w:lineRule="auto"/>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（五）用户遇到使用及技术问题，电话咨询不能解决的，成交供应商或制造商应在2小时内采取相应响应措施；无法在2小时内解决的，应在24小时内派出专业人员进行技术支持。 </w:t>
      </w:r>
    </w:p>
    <w:p>
      <w:pPr>
        <w:pStyle w:val="5"/>
        <w:spacing w:before="0" w:after="0" w:line="360" w:lineRule="auto"/>
        <w:ind w:firstLine="643" w:firstLineChars="200"/>
        <w:rPr>
          <w:rFonts w:ascii="黑体" w:hAnsi="黑体" w:eastAsia="黑体" w:cs="黑体"/>
          <w:color w:val="auto"/>
          <w:szCs w:val="32"/>
        </w:rPr>
      </w:pPr>
      <w:r>
        <w:rPr>
          <w:rFonts w:hint="eastAsia" w:ascii="黑体" w:hAnsi="黑体" w:eastAsia="黑体" w:cs="黑体"/>
          <w:color w:val="auto"/>
          <w:szCs w:val="32"/>
        </w:rPr>
        <w:t>五、交货期限及地点</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（一）交货时间</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自合同签订之日起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20</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个工作日。</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（二）交货地点</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Cs/>
          <w:iCs/>
          <w:color w:val="auto"/>
          <w:sz w:val="32"/>
          <w:szCs w:val="32"/>
        </w:rPr>
        <w:t>重庆市荣昌区</w:t>
      </w:r>
      <w:r>
        <w:rPr>
          <w:rFonts w:hint="eastAsia" w:ascii="仿宋_GB2312" w:hAnsi="仿宋_GB2312" w:eastAsia="仿宋_GB2312" w:cs="仿宋_GB2312"/>
          <w:bCs/>
          <w:iCs/>
          <w:color w:val="auto"/>
          <w:sz w:val="32"/>
          <w:szCs w:val="32"/>
          <w:lang w:eastAsia="zh-CN"/>
        </w:rPr>
        <w:t>铜鼓</w:t>
      </w:r>
      <w:r>
        <w:rPr>
          <w:rFonts w:ascii="仿宋_GB2312" w:hAnsi="仿宋_GB2312" w:eastAsia="仿宋_GB2312" w:cs="仿宋_GB2312"/>
          <w:bCs/>
          <w:iCs/>
          <w:color w:val="auto"/>
          <w:sz w:val="32"/>
          <w:szCs w:val="32"/>
        </w:rPr>
        <w:t>镇中心小学校内</w:t>
      </w:r>
    </w:p>
    <w:p>
      <w:pPr>
        <w:pStyle w:val="5"/>
        <w:spacing w:before="0" w:after="0" w:line="360" w:lineRule="auto"/>
        <w:ind w:firstLine="643" w:firstLineChars="200"/>
        <w:rPr>
          <w:rFonts w:ascii="黑体" w:hAnsi="黑体" w:eastAsia="黑体" w:cs="黑体"/>
          <w:color w:val="auto"/>
          <w:szCs w:val="32"/>
        </w:rPr>
      </w:pPr>
      <w:r>
        <w:rPr>
          <w:rFonts w:hint="eastAsia" w:ascii="黑体" w:hAnsi="黑体" w:eastAsia="黑体" w:cs="黑体"/>
          <w:color w:val="auto"/>
          <w:szCs w:val="32"/>
        </w:rPr>
        <w:t>六、验货方式</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（一）货物到达现场后，成交供应商应在使用单位人员在场情况下当面开箱，共同清点、检查外观，作出开箱记录，双方签字确认。</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（二）成交供应商应保证货物到达采购人所在地完好无损，如有缺漏、损坏，由供应商负责调换、补齐或赔偿。</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（三）成交供应商应提供完备的技术资料、装箱单和合格证等，并派遣专业技术人员进行现场指导。验收合格条件如下：</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1、产品技术参数与采购合同一致，性能指标达到规定的标准。</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2、货物技术资料、装箱单、合格证等资料齐全。</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3、在规定时间内完成交货并验收，并经采购人确认。</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4、采购人随机抽取的样品检测结果为合格。</w:t>
      </w:r>
    </w:p>
    <w:p>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（四）产品在用户掌握使用技术要领，使用符合要求后，才作为最终验收。</w:t>
      </w:r>
    </w:p>
    <w:p>
      <w:pPr>
        <w:pStyle w:val="5"/>
        <w:spacing w:before="0" w:after="0" w:line="360" w:lineRule="auto"/>
        <w:ind w:firstLine="643" w:firstLineChars="200"/>
        <w:rPr>
          <w:rFonts w:ascii="黑体" w:hAnsi="黑体" w:eastAsia="黑体" w:cs="黑体"/>
          <w:color w:val="auto"/>
          <w:szCs w:val="32"/>
        </w:rPr>
      </w:pPr>
      <w:r>
        <w:rPr>
          <w:rFonts w:hint="eastAsia" w:ascii="黑体" w:hAnsi="黑体" w:eastAsia="黑体" w:cs="黑体"/>
          <w:color w:val="auto"/>
          <w:szCs w:val="32"/>
        </w:rPr>
        <w:t>七、报价要求</w:t>
      </w:r>
    </w:p>
    <w:p>
      <w:pPr>
        <w:snapToGrid w:val="0"/>
        <w:spacing w:line="360" w:lineRule="auto"/>
        <w:ind w:firstLine="640" w:firstLineChars="200"/>
        <w:rPr>
          <w:rFonts w:ascii="仿宋_GB2312" w:hAnsi="仿宋_GB2312" w:eastAsia="仿宋_GB2312" w:cs="仿宋_GB2312"/>
          <w:b/>
          <w:bCs/>
          <w:i/>
          <w:iCs/>
          <w:color w:val="auto"/>
          <w:sz w:val="32"/>
          <w:szCs w:val="32"/>
          <w:u w:val="single"/>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b/>
          <w:bCs/>
          <w:color w:val="auto"/>
          <w:sz w:val="32"/>
          <w:szCs w:val="32"/>
        </w:rPr>
        <w:t>本次竞采报价共分为两轮，供应商必须要参与第一轮报价方可参与第二轮报价。</w:t>
      </w:r>
      <w:r>
        <w:rPr>
          <w:rFonts w:hint="eastAsia" w:ascii="仿宋_GB2312" w:hAnsi="仿宋_GB2312" w:eastAsia="仿宋_GB2312" w:cs="仿宋_GB2312"/>
          <w:color w:val="auto"/>
          <w:sz w:val="32"/>
          <w:szCs w:val="32"/>
        </w:rPr>
        <w:t>每轮报价开始时间、报价截止时间、有效报价家数均以公告内容为准。</w:t>
      </w:r>
    </w:p>
    <w:p>
      <w:pPr>
        <w:snapToGrid w:val="0"/>
        <w:spacing w:line="360" w:lineRule="auto"/>
        <w:ind w:firstLine="640" w:firstLineChars="200"/>
        <w:rPr>
          <w:rFonts w:ascii="仿宋_GB2312" w:hAnsi="仿宋_GB2312" w:eastAsia="仿宋_GB2312" w:cs="仿宋_GB2312"/>
          <w:b/>
          <w:bCs/>
          <w:i/>
          <w:iCs/>
          <w:color w:val="auto"/>
          <w:sz w:val="32"/>
          <w:szCs w:val="32"/>
          <w:u w:val="single"/>
        </w:rPr>
      </w:pPr>
      <w:r>
        <w:rPr>
          <w:rFonts w:hint="eastAsia" w:ascii="仿宋_GB2312" w:hAnsi="仿宋_GB2312" w:eastAsia="仿宋_GB2312" w:cs="仿宋_GB2312"/>
          <w:color w:val="auto"/>
          <w:sz w:val="32"/>
          <w:szCs w:val="32"/>
        </w:rPr>
        <w:t>（二）本次报价为人民币报价，包含：货物费、运输费、安装调试费、装卸费、培训费、保险费、税费（含关税）等所有费用。</w:t>
      </w:r>
    </w:p>
    <w:p>
      <w:pPr>
        <w:pStyle w:val="5"/>
        <w:spacing w:before="0" w:after="0" w:line="360" w:lineRule="auto"/>
        <w:ind w:firstLine="643" w:firstLineChars="200"/>
        <w:rPr>
          <w:rFonts w:ascii="黑体" w:hAnsi="黑体" w:eastAsia="黑体" w:cs="黑体"/>
          <w:color w:val="auto"/>
          <w:szCs w:val="32"/>
        </w:rPr>
      </w:pPr>
      <w:r>
        <w:rPr>
          <w:rFonts w:hint="eastAsia" w:ascii="黑体" w:hAnsi="黑体" w:eastAsia="黑体" w:cs="黑体"/>
          <w:color w:val="auto"/>
          <w:szCs w:val="32"/>
        </w:rPr>
        <w:t>八、供应商响应文件要求</w:t>
      </w:r>
    </w:p>
    <w:p>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供应商必须在平台上按要求上传响应文件，未按要求提供的视为无效供应商。</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（一）响应文件内容</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盖鲜章的《报价函》《产品明细》各1份。</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盖鲜章的</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法定代表人身份证明书</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1份</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Hans"/>
        </w:rPr>
        <w:t>其中应包含法定代表人身份证复印件</w:t>
      </w:r>
      <w:r>
        <w:rPr>
          <w:rFonts w:hint="eastAsia" w:ascii="仿宋_GB2312" w:hAnsi="仿宋_GB2312" w:eastAsia="仿宋_GB2312" w:cs="仿宋_GB2312"/>
          <w:color w:val="auto"/>
          <w:sz w:val="32"/>
          <w:szCs w:val="32"/>
        </w:rPr>
        <w:t>。若法定代表人委托他人投标，</w:t>
      </w:r>
      <w:r>
        <w:rPr>
          <w:rFonts w:hint="eastAsia" w:ascii="仿宋_GB2312" w:hAnsi="仿宋_GB2312" w:eastAsia="仿宋_GB2312" w:cs="仿宋_GB2312"/>
          <w:color w:val="auto"/>
          <w:sz w:val="32"/>
          <w:szCs w:val="32"/>
          <w:lang w:eastAsia="zh-Hans"/>
        </w:rPr>
        <w:t>请</w:t>
      </w:r>
      <w:r>
        <w:rPr>
          <w:rFonts w:hint="eastAsia" w:ascii="仿宋_GB2312" w:hAnsi="仿宋_GB2312" w:eastAsia="仿宋_GB2312" w:cs="仿宋_GB2312"/>
          <w:color w:val="auto"/>
          <w:sz w:val="32"/>
          <w:szCs w:val="32"/>
        </w:rPr>
        <w:t>提供盖鲜章的《法定代表人授权委托书》</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Hans"/>
        </w:rPr>
        <w:t>份</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Hans"/>
        </w:rPr>
        <w:t>其中应包含</w:t>
      </w:r>
      <w:r>
        <w:rPr>
          <w:rFonts w:hint="eastAsia" w:ascii="仿宋_GB2312" w:hAnsi="仿宋_GB2312" w:eastAsia="仿宋_GB2312" w:cs="仿宋_GB2312"/>
          <w:color w:val="auto"/>
          <w:sz w:val="32"/>
          <w:szCs w:val="32"/>
        </w:rPr>
        <w:t>法定代表人及被授权人身份证复印件各1份。</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盖鲜章的基本资格条件承诺函。</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其他应提供的资料。</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（二）提交文件的要求</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供应商线上报名、报价时需上传盖鲜章后的电子文档一份。</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Hans"/>
        </w:rPr>
        <w:t>供应商在系统中报价</w:t>
      </w:r>
      <w:r>
        <w:rPr>
          <w:rFonts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采购人以</w:t>
      </w:r>
      <w:r>
        <w:rPr>
          <w:rFonts w:hint="eastAsia" w:ascii="仿宋_GB2312" w:hAnsi="仿宋_GB2312" w:eastAsia="仿宋_GB2312" w:cs="仿宋_GB2312"/>
          <w:color w:val="auto"/>
          <w:sz w:val="32"/>
          <w:szCs w:val="32"/>
          <w:lang w:eastAsia="zh-Hans"/>
        </w:rPr>
        <w:t>系统中供应商的报价作为评判依据</w:t>
      </w:r>
      <w:r>
        <w:rPr>
          <w:rFonts w:hint="eastAsia" w:ascii="仿宋_GB2312" w:hAnsi="仿宋_GB2312" w:eastAsia="仿宋_GB2312" w:cs="仿宋_GB2312"/>
          <w:color w:val="auto"/>
          <w:sz w:val="32"/>
          <w:szCs w:val="32"/>
        </w:rPr>
        <w:t>。</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供应商只能有一个有效报价，供应商只能以自己单位名义提交响应文件。</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 供应商制作的响应文件电子文档，须按照要求制作，规定签字、盖章的地方必须按规定签字、盖章，上传的文件需字迹清晰，未按要求制作响应文件的作废标处理。</w:t>
      </w:r>
    </w:p>
    <w:p>
      <w:pPr>
        <w:pStyle w:val="5"/>
        <w:spacing w:before="0" w:after="0" w:line="360" w:lineRule="auto"/>
        <w:ind w:firstLine="643" w:firstLineChars="200"/>
        <w:rPr>
          <w:rFonts w:ascii="黑体" w:hAnsi="黑体" w:eastAsia="黑体" w:cs="黑体"/>
          <w:color w:val="auto"/>
          <w:szCs w:val="32"/>
        </w:rPr>
      </w:pPr>
      <w:r>
        <w:rPr>
          <w:rFonts w:hint="eastAsia" w:ascii="黑体" w:hAnsi="黑体" w:eastAsia="黑体" w:cs="黑体"/>
          <w:color w:val="auto"/>
          <w:szCs w:val="32"/>
        </w:rPr>
        <w:t>九、成交规则</w:t>
      </w:r>
    </w:p>
    <w:p>
      <w:pPr>
        <w:spacing w:line="360" w:lineRule="auto"/>
        <w:ind w:firstLine="640" w:firstLineChars="200"/>
        <w:rPr>
          <w:rFonts w:ascii="仿宋_GB2312" w:hAnsi="仿宋_GB2312" w:eastAsia="仿宋_GB2312" w:cs="仿宋_GB2312"/>
          <w:b/>
          <w:bCs/>
          <w:i/>
          <w:iCs/>
          <w:color w:val="auto"/>
          <w:sz w:val="32"/>
          <w:szCs w:val="32"/>
          <w:u w:val="single"/>
        </w:rPr>
      </w:pPr>
      <w:r>
        <w:rPr>
          <w:rFonts w:hint="eastAsia" w:ascii="仿宋_GB2312" w:hAnsi="仿宋_GB2312" w:eastAsia="仿宋_GB2312" w:cs="仿宋_GB2312"/>
          <w:color w:val="auto"/>
          <w:sz w:val="32"/>
          <w:szCs w:val="32"/>
        </w:rPr>
        <w:t>采购人在符合审查的供应商中，手动确认报价最低的成为成交供应商。（如果最低的报价有两家以上，则通过暗竞质保期选择中标商家，质保期长者中）</w:t>
      </w:r>
    </w:p>
    <w:p>
      <w:pPr>
        <w:pStyle w:val="5"/>
        <w:spacing w:before="0" w:after="0" w:line="360" w:lineRule="auto"/>
        <w:ind w:firstLine="643" w:firstLineChars="200"/>
        <w:rPr>
          <w:rFonts w:ascii="黑体" w:hAnsi="黑体" w:eastAsia="黑体" w:cs="黑体"/>
          <w:color w:val="auto"/>
          <w:szCs w:val="32"/>
        </w:rPr>
      </w:pPr>
      <w:r>
        <w:rPr>
          <w:rFonts w:hint="eastAsia" w:ascii="黑体" w:hAnsi="黑体" w:eastAsia="黑体" w:cs="黑体"/>
          <w:color w:val="auto"/>
          <w:szCs w:val="32"/>
        </w:rPr>
        <w:t>十、付款方式</w:t>
      </w:r>
    </w:p>
    <w:p>
      <w:pPr>
        <w:snapToGrid w:val="0"/>
        <w:spacing w:line="360" w:lineRule="auto"/>
        <w:ind w:firstLine="420"/>
        <w:rPr>
          <w:rFonts w:ascii="仿宋_GB2312" w:hAnsi="仿宋_GB2312" w:eastAsia="仿宋_GB2312" w:cs="仿宋_GB2312"/>
          <w:bCs/>
          <w:iCs/>
          <w:color w:val="auto"/>
          <w:sz w:val="32"/>
          <w:szCs w:val="32"/>
        </w:rPr>
      </w:pPr>
      <w:r>
        <w:rPr>
          <w:rFonts w:hint="eastAsia" w:ascii="仿宋_GB2312" w:hAnsi="仿宋_GB2312" w:eastAsia="仿宋_GB2312" w:cs="仿宋_GB2312"/>
          <w:bCs/>
          <w:iCs/>
          <w:color w:val="auto"/>
          <w:sz w:val="32"/>
          <w:szCs w:val="32"/>
        </w:rPr>
        <w:t>1、转帐支付。</w:t>
      </w:r>
    </w:p>
    <w:p>
      <w:pPr>
        <w:snapToGrid w:val="0"/>
        <w:spacing w:line="360" w:lineRule="auto"/>
        <w:ind w:firstLine="105" w:firstLineChars="50"/>
        <w:rPr>
          <w:rFonts w:ascii="仿宋_GB2312" w:hAnsi="仿宋_GB2312" w:eastAsia="仿宋_GB2312" w:cs="仿宋_GB2312"/>
          <w:bCs/>
          <w:iCs/>
          <w:color w:val="auto"/>
          <w:sz w:val="32"/>
          <w:szCs w:val="32"/>
        </w:rPr>
      </w:pPr>
      <w:r>
        <w:rPr>
          <w:rFonts w:hint="eastAsia"/>
          <w:color w:val="auto"/>
        </w:rPr>
        <w:t xml:space="preserve"> </w:t>
      </w:r>
      <w:r>
        <w:rPr>
          <w:color w:val="auto"/>
        </w:rPr>
        <w:t xml:space="preserve">  </w:t>
      </w:r>
      <w:r>
        <w:rPr>
          <w:rFonts w:ascii="仿宋_GB2312" w:hAnsi="仿宋_GB2312" w:eastAsia="仿宋_GB2312" w:cs="仿宋_GB2312"/>
          <w:bCs/>
          <w:iCs/>
          <w:color w:val="auto"/>
          <w:sz w:val="32"/>
          <w:szCs w:val="32"/>
        </w:rPr>
        <w:t>2、安装调试完成</w:t>
      </w:r>
      <w:r>
        <w:rPr>
          <w:rFonts w:hint="eastAsia" w:ascii="仿宋_GB2312" w:hAnsi="仿宋_GB2312" w:eastAsia="仿宋_GB2312" w:cs="仿宋_GB2312"/>
          <w:bCs/>
          <w:iCs/>
          <w:color w:val="auto"/>
          <w:sz w:val="32"/>
          <w:szCs w:val="32"/>
          <w:lang w:eastAsia="zh-CN"/>
        </w:rPr>
        <w:t>，</w:t>
      </w:r>
      <w:r>
        <w:rPr>
          <w:rFonts w:ascii="仿宋_GB2312" w:hAnsi="仿宋_GB2312" w:eastAsia="仿宋_GB2312" w:cs="仿宋_GB2312"/>
          <w:bCs/>
          <w:iCs/>
          <w:color w:val="auto"/>
          <w:sz w:val="32"/>
          <w:szCs w:val="32"/>
        </w:rPr>
        <w:t>验收合格后</w:t>
      </w:r>
      <w:r>
        <w:rPr>
          <w:rFonts w:hint="eastAsia" w:ascii="仿宋_GB2312" w:hAnsi="仿宋_GB2312" w:eastAsia="仿宋_GB2312" w:cs="仿宋_GB2312"/>
          <w:bCs/>
          <w:iCs/>
          <w:color w:val="auto"/>
          <w:sz w:val="32"/>
          <w:szCs w:val="32"/>
          <w:lang w:eastAsia="zh-CN"/>
        </w:rPr>
        <w:t>，</w:t>
      </w:r>
      <w:r>
        <w:rPr>
          <w:rFonts w:hint="eastAsia" w:ascii="仿宋_GB2312" w:hAnsi="仿宋_GB2312" w:eastAsia="仿宋_GB2312" w:cs="仿宋_GB2312"/>
          <w:bCs/>
          <w:iCs/>
          <w:color w:val="auto"/>
          <w:sz w:val="32"/>
          <w:szCs w:val="32"/>
          <w:lang w:val="en-US" w:eastAsia="zh-CN"/>
        </w:rPr>
        <w:t>待财政部门款到帐后</w:t>
      </w:r>
      <w:r>
        <w:rPr>
          <w:rFonts w:hint="eastAsia" w:ascii="仿宋_GB2312" w:hAnsi="仿宋_GB2312" w:eastAsia="仿宋_GB2312" w:cs="仿宋_GB2312"/>
          <w:bCs/>
          <w:iCs/>
          <w:color w:val="auto"/>
          <w:sz w:val="32"/>
          <w:szCs w:val="32"/>
        </w:rPr>
        <w:t>1</w:t>
      </w:r>
      <w:r>
        <w:rPr>
          <w:rFonts w:hint="eastAsia" w:ascii="仿宋_GB2312" w:hAnsi="仿宋_GB2312" w:eastAsia="仿宋_GB2312" w:cs="仿宋_GB2312"/>
          <w:bCs/>
          <w:iCs/>
          <w:color w:val="auto"/>
          <w:sz w:val="32"/>
          <w:szCs w:val="32"/>
          <w:lang w:val="en-US" w:eastAsia="zh-CN"/>
        </w:rPr>
        <w:t>0</w:t>
      </w:r>
      <w:r>
        <w:rPr>
          <w:rFonts w:ascii="仿宋_GB2312" w:hAnsi="仿宋_GB2312" w:eastAsia="仿宋_GB2312" w:cs="仿宋_GB2312"/>
          <w:bCs/>
          <w:iCs/>
          <w:color w:val="auto"/>
          <w:sz w:val="32"/>
          <w:szCs w:val="32"/>
        </w:rPr>
        <w:t>个工作日内一次性支付合同款。</w:t>
      </w:r>
    </w:p>
    <w:p>
      <w:pPr>
        <w:pStyle w:val="5"/>
        <w:spacing w:before="0" w:after="0" w:line="360" w:lineRule="auto"/>
        <w:ind w:firstLine="643" w:firstLineChars="200"/>
        <w:rPr>
          <w:rFonts w:ascii="黑体" w:hAnsi="黑体" w:eastAsia="黑体" w:cs="黑体"/>
          <w:color w:val="auto"/>
          <w:szCs w:val="32"/>
        </w:rPr>
      </w:pPr>
      <w:r>
        <w:rPr>
          <w:rFonts w:hint="eastAsia" w:ascii="黑体" w:hAnsi="黑体" w:eastAsia="黑体" w:cs="黑体"/>
          <w:color w:val="auto"/>
          <w:szCs w:val="32"/>
        </w:rPr>
        <w:t>十一、联系方式</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采购单位：重庆市荣昌区</w:t>
      </w:r>
      <w:r>
        <w:rPr>
          <w:rFonts w:hint="eastAsia" w:ascii="仿宋_GB2312" w:hAnsi="仿宋_GB2312" w:eastAsia="仿宋_GB2312" w:cs="仿宋_GB2312"/>
          <w:color w:val="auto"/>
          <w:sz w:val="32"/>
          <w:szCs w:val="32"/>
          <w:lang w:eastAsia="zh-CN"/>
        </w:rPr>
        <w:t>铜鼓</w:t>
      </w:r>
      <w:r>
        <w:rPr>
          <w:rFonts w:hint="eastAsia" w:ascii="仿宋_GB2312" w:hAnsi="仿宋_GB2312" w:eastAsia="仿宋_GB2312" w:cs="仿宋_GB2312"/>
          <w:color w:val="auto"/>
          <w:sz w:val="32"/>
          <w:szCs w:val="32"/>
        </w:rPr>
        <w:t>镇中心小学</w:t>
      </w:r>
    </w:p>
    <w:p>
      <w:pPr>
        <w:snapToGrid w:val="0"/>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尹老师</w:t>
      </w:r>
    </w:p>
    <w:p>
      <w:pPr>
        <w:snapToGrid w:val="0"/>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电话：</w:t>
      </w:r>
      <w:r>
        <w:rPr>
          <w:rFonts w:hint="eastAsia" w:ascii="仿宋_GB2312" w:hAnsi="仿宋_GB2312" w:eastAsia="仿宋_GB2312" w:cs="仿宋_GB2312"/>
          <w:color w:val="auto"/>
          <w:sz w:val="32"/>
          <w:szCs w:val="32"/>
          <w:lang w:val="en-US" w:eastAsia="zh-CN"/>
        </w:rPr>
        <w:t>13996456368</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地址：重庆市荣昌区</w:t>
      </w:r>
      <w:r>
        <w:rPr>
          <w:rFonts w:hint="eastAsia" w:ascii="仿宋_GB2312" w:hAnsi="仿宋_GB2312" w:eastAsia="仿宋_GB2312" w:cs="仿宋_GB2312"/>
          <w:color w:val="auto"/>
          <w:sz w:val="32"/>
          <w:szCs w:val="32"/>
          <w:lang w:eastAsia="zh-CN"/>
        </w:rPr>
        <w:t>铜鼓</w:t>
      </w:r>
      <w:r>
        <w:rPr>
          <w:rFonts w:hint="eastAsia" w:ascii="仿宋_GB2312" w:hAnsi="仿宋_GB2312" w:eastAsia="仿宋_GB2312" w:cs="仿宋_GB2312"/>
          <w:color w:val="auto"/>
          <w:sz w:val="32"/>
          <w:szCs w:val="32"/>
        </w:rPr>
        <w:t>镇</w:t>
      </w:r>
      <w:r>
        <w:rPr>
          <w:rFonts w:hint="eastAsia" w:ascii="仿宋_GB2312" w:hAnsi="仿宋_GB2312" w:eastAsia="仿宋_GB2312" w:cs="仿宋_GB2312"/>
          <w:color w:val="auto"/>
          <w:sz w:val="32"/>
          <w:szCs w:val="32"/>
          <w:lang w:val="en-US" w:eastAsia="zh-CN"/>
        </w:rPr>
        <w:t>刘骥后街1</w:t>
      </w:r>
      <w:r>
        <w:rPr>
          <w:rFonts w:hint="eastAsia" w:ascii="仿宋_GB2312" w:hAnsi="仿宋_GB2312" w:eastAsia="仿宋_GB2312" w:cs="仿宋_GB2312"/>
          <w:color w:val="auto"/>
          <w:sz w:val="32"/>
          <w:szCs w:val="32"/>
        </w:rPr>
        <w:t>号</w:t>
      </w:r>
    </w:p>
    <w:p>
      <w:pPr>
        <w:pStyle w:val="5"/>
        <w:spacing w:before="0" w:after="0" w:line="360" w:lineRule="auto"/>
        <w:ind w:firstLine="643" w:firstLineChars="200"/>
        <w:rPr>
          <w:rFonts w:ascii="黑体" w:hAnsi="黑体" w:eastAsia="黑体" w:cs="黑体"/>
          <w:color w:val="auto"/>
          <w:szCs w:val="32"/>
        </w:rPr>
      </w:pPr>
      <w:r>
        <w:rPr>
          <w:rFonts w:hint="eastAsia" w:ascii="黑体" w:hAnsi="黑体" w:eastAsia="黑体" w:cs="黑体"/>
          <w:color w:val="auto"/>
          <w:szCs w:val="32"/>
        </w:rPr>
        <w:t>十二、其它有关规定</w:t>
      </w:r>
    </w:p>
    <w:p>
      <w:pPr>
        <w:spacing w:line="360" w:lineRule="auto"/>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Hans"/>
        </w:rPr>
        <w:t>一</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凡有意参加此项目的供应商，请于公告发布之日起至报价截止时间之前，在重庆市政府采购云平台网上竞采下载查看本项目竞采文件，无论供应商下载查看与否，均视为已知晓所有实质性要求内容。</w:t>
      </w:r>
    </w:p>
    <w:p>
      <w:pPr>
        <w:widowControl/>
        <w:wordWrap w:val="0"/>
        <w:autoSpaceDE w:val="0"/>
        <w:autoSpaceDN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Hans"/>
        </w:rPr>
        <w:t>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供应商应于报价开始前</w:t>
      </w:r>
      <w:r>
        <w:rPr>
          <w:rFonts w:hint="eastAsia" w:ascii="仿宋_GB2312" w:hAnsi="仿宋_GB2312" w:eastAsia="仿宋_GB2312" w:cs="仿宋_GB2312"/>
          <w:color w:val="auto"/>
          <w:sz w:val="32"/>
          <w:szCs w:val="32"/>
        </w:rPr>
        <w:t>完成政府采购网账号注册、政采云账号关联等操作</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提前学习网上竞采操作手册并检查账号是否可用</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遇到操作问题请及时咨询手册中的客服电话，如因账号注册关联、操作不熟练等原因导致供应商未成功报价，责任由供应商自行承担。</w:t>
      </w:r>
    </w:p>
    <w:p>
      <w:pPr>
        <w:widowControl/>
        <w:wordWrap w:val="0"/>
        <w:autoSpaceDE w:val="0"/>
        <w:autoSpaceDN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《网上竞采自行采购操作手册（供应商）》、《单点登录账号绑定操作手册》详见</w:t>
      </w:r>
      <w:r>
        <w:rPr>
          <w:color w:val="auto"/>
        </w:rPr>
        <w:fldChar w:fldCharType="begin"/>
      </w:r>
      <w:r>
        <w:rPr>
          <w:color w:val="auto"/>
        </w:rPr>
        <w:instrText xml:space="preserve"> HYPERLINK "https://xj.ccgp-chongqing.gov.cn/ge/content/yptczzn/list" </w:instrText>
      </w:r>
      <w:r>
        <w:rPr>
          <w:color w:val="auto"/>
        </w:rPr>
        <w:fldChar w:fldCharType="separate"/>
      </w:r>
      <w:r>
        <w:rPr>
          <w:rStyle w:val="65"/>
          <w:rFonts w:hint="eastAsia" w:ascii="仿宋_GB2312" w:hAnsi="仿宋_GB2312" w:eastAsia="仿宋_GB2312" w:cs="仿宋_GB2312"/>
          <w:color w:val="auto"/>
          <w:sz w:val="32"/>
          <w:szCs w:val="32"/>
        </w:rPr>
        <w:t>https://xj.ccgp-chongqing.gov.cn/ge/content/yptczzn/list</w:t>
      </w:r>
      <w:r>
        <w:rPr>
          <w:rStyle w:val="65"/>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w:t>
      </w:r>
    </w:p>
    <w:p>
      <w:pPr>
        <w:spacing w:line="360" w:lineRule="auto"/>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Hans"/>
        </w:rPr>
        <w:t>三</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无论竞采结果如何，供应商参与本项目的所有费用均自行承担。</w:t>
      </w:r>
    </w:p>
    <w:p>
      <w:pPr>
        <w:spacing w:line="360" w:lineRule="auto"/>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Hans"/>
        </w:rPr>
        <w:t>四</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其他未尽事宜由双方在采购合同中详细约定。</w:t>
      </w:r>
    </w:p>
    <w:p>
      <w:pPr>
        <w:rPr>
          <w:rFonts w:ascii="方正小标宋_GBK" w:eastAsia="方正小标宋_GBK"/>
          <w:color w:val="auto"/>
          <w:sz w:val="44"/>
          <w:szCs w:val="44"/>
        </w:rPr>
      </w:pPr>
      <w:r>
        <w:rPr>
          <w:rFonts w:hint="eastAsia" w:ascii="方正小标宋_GBK" w:eastAsia="方正小标宋_GBK"/>
          <w:color w:val="auto"/>
          <w:sz w:val="44"/>
          <w:szCs w:val="44"/>
        </w:rPr>
        <w:br w:type="page"/>
      </w:r>
    </w:p>
    <w:p>
      <w:pPr>
        <w:snapToGrid w:val="0"/>
        <w:spacing w:line="360" w:lineRule="auto"/>
        <w:jc w:val="center"/>
        <w:rPr>
          <w:color w:val="auto"/>
        </w:rPr>
      </w:pPr>
      <w:r>
        <w:rPr>
          <w:rFonts w:hint="eastAsia" w:ascii="方正小标宋_GBK" w:eastAsia="方正小标宋_GBK"/>
          <w:color w:val="auto"/>
          <w:sz w:val="44"/>
          <w:szCs w:val="44"/>
        </w:rPr>
        <w:t>供应商编制响应文件要求</w:t>
      </w:r>
    </w:p>
    <w:p>
      <w:pPr>
        <w:pStyle w:val="5"/>
        <w:spacing w:before="0" w:after="0" w:line="360" w:lineRule="auto"/>
        <w:ind w:firstLine="643" w:firstLineChars="200"/>
        <w:rPr>
          <w:rFonts w:ascii="黑体" w:hAnsi="黑体" w:eastAsia="黑体" w:cs="黑体"/>
          <w:color w:val="auto"/>
          <w:szCs w:val="32"/>
        </w:rPr>
      </w:pPr>
      <w:r>
        <w:rPr>
          <w:rFonts w:hint="eastAsia" w:ascii="黑体" w:hAnsi="黑体" w:eastAsia="黑体" w:cs="黑体"/>
          <w:color w:val="auto"/>
          <w:szCs w:val="32"/>
        </w:rPr>
        <w:t>一、报价</w:t>
      </w:r>
    </w:p>
    <w:p>
      <w:pPr>
        <w:snapToGrid w:val="0"/>
        <w:ind w:firstLine="420"/>
        <w:rPr>
          <w:rFonts w:ascii="宋体" w:hAnsi="宋体" w:cs="宋体"/>
          <w:color w:val="auto"/>
          <w:sz w:val="24"/>
          <w:szCs w:val="24"/>
        </w:rPr>
      </w:pPr>
      <w:r>
        <w:rPr>
          <w:rFonts w:hint="eastAsia" w:ascii="仿宋_GB2312" w:hAnsi="仿宋_GB2312" w:eastAsia="仿宋_GB2312" w:cs="仿宋_GB2312"/>
          <w:color w:val="auto"/>
          <w:sz w:val="32"/>
          <w:szCs w:val="32"/>
        </w:rPr>
        <w:t>（一）报价函</w:t>
      </w:r>
    </w:p>
    <w:p>
      <w:pPr>
        <w:pStyle w:val="5"/>
        <w:spacing w:before="0" w:after="0" w:line="240" w:lineRule="auto"/>
        <w:jc w:val="center"/>
        <w:rPr>
          <w:rFonts w:ascii="黑体" w:hAnsi="黑体" w:eastAsia="黑体" w:cs="黑体"/>
          <w:color w:val="auto"/>
          <w:szCs w:val="32"/>
        </w:rPr>
      </w:pPr>
      <w:r>
        <w:rPr>
          <w:rFonts w:hint="eastAsia" w:ascii="黑体" w:hAnsi="黑体" w:eastAsia="黑体" w:cs="黑体"/>
          <w:color w:val="auto"/>
          <w:szCs w:val="32"/>
        </w:rPr>
        <w:t>报 价 函</w:t>
      </w:r>
    </w:p>
    <w:p>
      <w:pPr>
        <w:rPr>
          <w:color w:val="auto"/>
        </w:rPr>
      </w:pPr>
    </w:p>
    <w:p>
      <w:pPr>
        <w:rPr>
          <w:color w:val="auto"/>
        </w:rPr>
      </w:pPr>
    </w:p>
    <w:p>
      <w:pPr>
        <w:spacing w:line="360" w:lineRule="auto"/>
        <w:rPr>
          <w:rStyle w:val="65"/>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Style w:val="65"/>
          <w:rFonts w:hint="eastAsia" w:ascii="仿宋_GB2312" w:hAnsi="仿宋_GB2312" w:eastAsia="仿宋_GB2312" w:cs="仿宋_GB2312"/>
          <w:color w:val="auto"/>
          <w:sz w:val="32"/>
          <w:szCs w:val="32"/>
        </w:rPr>
        <w:t>（采购单位名称）：</w:t>
      </w:r>
    </w:p>
    <w:p>
      <w:pPr>
        <w:spacing w:line="360" w:lineRule="auto"/>
        <w:ind w:firstLine="640" w:firstLineChars="200"/>
        <w:rPr>
          <w:rStyle w:val="65"/>
          <w:rFonts w:ascii="仿宋_GB2312" w:hAnsi="仿宋_GB2312" w:eastAsia="仿宋_GB2312" w:cs="仿宋_GB2312"/>
          <w:color w:val="auto"/>
          <w:sz w:val="32"/>
          <w:szCs w:val="32"/>
        </w:rPr>
      </w:pPr>
      <w:r>
        <w:rPr>
          <w:rStyle w:val="65"/>
          <w:rFonts w:hint="eastAsia" w:ascii="仿宋_GB2312" w:hAnsi="仿宋_GB2312" w:eastAsia="仿宋_GB2312" w:cs="仿宋_GB2312"/>
          <w:color w:val="auto"/>
          <w:sz w:val="32"/>
          <w:szCs w:val="32"/>
        </w:rPr>
        <w:t>我方收到</w:t>
      </w:r>
      <w:r>
        <w:rPr>
          <w:rStyle w:val="65"/>
          <w:rFonts w:ascii="仿宋_GB2312" w:hAnsi="仿宋_GB2312" w:eastAsia="仿宋_GB2312" w:cs="仿宋_GB2312"/>
          <w:color w:val="auto"/>
          <w:sz w:val="32"/>
          <w:szCs w:val="32"/>
          <w:u w:val="single"/>
        </w:rPr>
        <w:t xml:space="preserve">                         </w:t>
      </w:r>
      <w:r>
        <w:rPr>
          <w:rStyle w:val="65"/>
          <w:rFonts w:hint="eastAsia" w:ascii="仿宋_GB2312" w:hAnsi="仿宋_GB2312" w:eastAsia="仿宋_GB2312" w:cs="仿宋_GB2312"/>
          <w:color w:val="auto"/>
          <w:sz w:val="32"/>
          <w:szCs w:val="32"/>
        </w:rPr>
        <w:t>（项目名称）的竞采文件，经详细研究，决定参加该项目。</w:t>
      </w:r>
    </w:p>
    <w:p>
      <w:pPr>
        <w:spacing w:line="360" w:lineRule="auto"/>
        <w:ind w:firstLine="640" w:firstLineChars="200"/>
        <w:rPr>
          <w:rStyle w:val="65"/>
          <w:rFonts w:ascii="仿宋_GB2312" w:hAnsi="仿宋_GB2312" w:eastAsia="仿宋_GB2312" w:cs="仿宋_GB2312"/>
          <w:color w:val="auto"/>
          <w:sz w:val="32"/>
          <w:szCs w:val="32"/>
        </w:rPr>
      </w:pPr>
      <w:r>
        <w:rPr>
          <w:rStyle w:val="65"/>
          <w:rFonts w:ascii="仿宋_GB2312" w:hAnsi="仿宋_GB2312" w:eastAsia="仿宋_GB2312" w:cs="仿宋_GB2312"/>
          <w:color w:val="auto"/>
          <w:sz w:val="32"/>
          <w:szCs w:val="32"/>
        </w:rPr>
        <w:t>1</w:t>
      </w:r>
      <w:r>
        <w:rPr>
          <w:rStyle w:val="65"/>
          <w:rFonts w:hint="eastAsia" w:ascii="仿宋_GB2312" w:hAnsi="仿宋_GB2312" w:eastAsia="仿宋_GB2312" w:cs="仿宋_GB2312"/>
          <w:color w:val="auto"/>
          <w:sz w:val="32"/>
          <w:szCs w:val="32"/>
          <w:lang w:eastAsia="zh-Hans"/>
        </w:rPr>
        <w:t>.</w:t>
      </w:r>
      <w:r>
        <w:rPr>
          <w:rStyle w:val="65"/>
          <w:rFonts w:hint="eastAsia" w:ascii="仿宋_GB2312" w:hAnsi="仿宋_GB2312" w:eastAsia="仿宋_GB2312" w:cs="仿宋_GB2312"/>
          <w:color w:val="auto"/>
          <w:sz w:val="32"/>
          <w:szCs w:val="32"/>
        </w:rPr>
        <w:t>愿意按照竞采文件中的一切要求，提供本项目的商品、及服务，初始报价为人民币大写：</w:t>
      </w:r>
      <w:r>
        <w:rPr>
          <w:rStyle w:val="65"/>
          <w:rFonts w:ascii="仿宋_GB2312" w:hAnsi="仿宋_GB2312" w:eastAsia="仿宋_GB2312" w:cs="仿宋_GB2312"/>
          <w:color w:val="auto"/>
          <w:sz w:val="32"/>
          <w:szCs w:val="32"/>
          <w:u w:val="single"/>
        </w:rPr>
        <w:t xml:space="preserve">          </w:t>
      </w:r>
      <w:r>
        <w:rPr>
          <w:rStyle w:val="65"/>
          <w:rFonts w:hint="eastAsia" w:ascii="仿宋_GB2312" w:hAnsi="仿宋_GB2312" w:eastAsia="仿宋_GB2312" w:cs="仿宋_GB2312"/>
          <w:color w:val="auto"/>
          <w:sz w:val="32"/>
          <w:szCs w:val="32"/>
        </w:rPr>
        <w:t>元整；人民币小写</w:t>
      </w:r>
      <w:r>
        <w:rPr>
          <w:rStyle w:val="65"/>
          <w:rFonts w:ascii="仿宋_GB2312" w:hAnsi="仿宋_GB2312" w:eastAsia="仿宋_GB2312" w:cs="仿宋_GB2312"/>
          <w:color w:val="auto"/>
          <w:sz w:val="32"/>
          <w:szCs w:val="32"/>
          <w:u w:val="single"/>
        </w:rPr>
        <w:t xml:space="preserve">          </w:t>
      </w:r>
      <w:r>
        <w:rPr>
          <w:rStyle w:val="65"/>
          <w:rFonts w:hint="eastAsia" w:ascii="仿宋_GB2312" w:hAnsi="仿宋_GB2312" w:eastAsia="仿宋_GB2312" w:cs="仿宋_GB2312"/>
          <w:color w:val="auto"/>
          <w:sz w:val="32"/>
          <w:szCs w:val="32"/>
        </w:rPr>
        <w:t>元。</w:t>
      </w:r>
    </w:p>
    <w:p>
      <w:pPr>
        <w:spacing w:line="360" w:lineRule="auto"/>
        <w:ind w:firstLine="640" w:firstLineChars="200"/>
        <w:rPr>
          <w:rStyle w:val="65"/>
          <w:rFonts w:ascii="仿宋_GB2312" w:hAnsi="仿宋_GB2312" w:eastAsia="仿宋_GB2312" w:cs="仿宋_GB2312"/>
          <w:color w:val="auto"/>
          <w:sz w:val="32"/>
          <w:szCs w:val="32"/>
        </w:rPr>
      </w:pPr>
      <w:r>
        <w:rPr>
          <w:rStyle w:val="65"/>
          <w:rFonts w:hint="eastAsia" w:ascii="仿宋_GB2312" w:hAnsi="仿宋_GB2312" w:eastAsia="仿宋_GB2312" w:cs="仿宋_GB2312"/>
          <w:color w:val="auto"/>
          <w:sz w:val="32"/>
          <w:szCs w:val="32"/>
        </w:rPr>
        <w:t>2</w:t>
      </w:r>
      <w:r>
        <w:rPr>
          <w:rStyle w:val="65"/>
          <w:rFonts w:ascii="仿宋_GB2312" w:hAnsi="仿宋_GB2312" w:eastAsia="仿宋_GB2312" w:cs="仿宋_GB2312"/>
          <w:color w:val="auto"/>
          <w:sz w:val="32"/>
          <w:szCs w:val="32"/>
        </w:rPr>
        <w:t>.</w:t>
      </w:r>
      <w:r>
        <w:rPr>
          <w:rStyle w:val="65"/>
          <w:rFonts w:hint="eastAsia" w:ascii="仿宋_GB2312" w:hAnsi="仿宋_GB2312" w:eastAsia="仿宋_GB2312" w:cs="仿宋_GB2312"/>
          <w:color w:val="auto"/>
          <w:sz w:val="32"/>
          <w:szCs w:val="32"/>
        </w:rPr>
        <w:t>我方现提交的响应文件为：</w:t>
      </w:r>
      <w:r>
        <w:rPr>
          <w:rStyle w:val="65"/>
          <w:rFonts w:hint="eastAsia" w:ascii="仿宋_GB2312" w:hAnsi="仿宋_GB2312" w:eastAsia="仿宋_GB2312" w:cs="仿宋_GB2312"/>
          <w:color w:val="auto"/>
          <w:sz w:val="32"/>
          <w:szCs w:val="32"/>
        </w:rPr>
        <w:t>响应文件正本壹份</w:t>
      </w:r>
      <w:r>
        <w:rPr>
          <w:rStyle w:val="65"/>
          <w:rFonts w:hint="eastAsia" w:ascii="仿宋_GB2312" w:hAnsi="仿宋_GB2312" w:eastAsia="仿宋_GB2312" w:cs="仿宋_GB2312"/>
          <w:color w:val="auto"/>
          <w:sz w:val="32"/>
          <w:szCs w:val="32"/>
        </w:rPr>
        <w:t>。</w:t>
      </w:r>
    </w:p>
    <w:p>
      <w:pPr>
        <w:spacing w:line="360" w:lineRule="auto"/>
        <w:ind w:firstLine="640" w:firstLineChars="200"/>
        <w:rPr>
          <w:rStyle w:val="65"/>
          <w:rFonts w:ascii="仿宋_GB2312" w:hAnsi="仿宋_GB2312" w:eastAsia="仿宋_GB2312" w:cs="仿宋_GB2312"/>
          <w:color w:val="auto"/>
          <w:sz w:val="32"/>
          <w:szCs w:val="32"/>
        </w:rPr>
      </w:pPr>
      <w:r>
        <w:rPr>
          <w:rStyle w:val="65"/>
          <w:rFonts w:hint="eastAsia" w:ascii="仿宋_GB2312" w:hAnsi="仿宋_GB2312" w:eastAsia="仿宋_GB2312" w:cs="仿宋_GB2312"/>
          <w:color w:val="auto"/>
          <w:sz w:val="32"/>
          <w:szCs w:val="32"/>
        </w:rPr>
        <w:t>3</w:t>
      </w:r>
      <w:r>
        <w:rPr>
          <w:rStyle w:val="65"/>
          <w:rFonts w:ascii="仿宋_GB2312" w:hAnsi="仿宋_GB2312" w:eastAsia="仿宋_GB2312" w:cs="仿宋_GB2312"/>
          <w:color w:val="auto"/>
          <w:sz w:val="32"/>
          <w:szCs w:val="32"/>
        </w:rPr>
        <w:t>.</w:t>
      </w:r>
      <w:r>
        <w:rPr>
          <w:rStyle w:val="65"/>
          <w:rFonts w:hint="eastAsia" w:ascii="仿宋_GB2312" w:hAnsi="仿宋_GB2312" w:eastAsia="仿宋_GB2312" w:cs="仿宋_GB2312"/>
          <w:color w:val="auto"/>
          <w:sz w:val="32"/>
          <w:szCs w:val="32"/>
        </w:rPr>
        <w:t>我方承诺：本次报价的有效期为</w:t>
      </w:r>
      <w:r>
        <w:rPr>
          <w:rStyle w:val="65"/>
          <w:rFonts w:hint="eastAsia" w:ascii="仿宋_GB2312" w:hAnsi="仿宋_GB2312" w:eastAsia="仿宋_GB2312" w:cs="仿宋_GB2312"/>
          <w:color w:val="auto"/>
          <w:sz w:val="32"/>
          <w:szCs w:val="32"/>
        </w:rPr>
        <w:t>90</w:t>
      </w:r>
      <w:r>
        <w:rPr>
          <w:rStyle w:val="65"/>
          <w:rFonts w:hint="eastAsia" w:ascii="仿宋_GB2312" w:hAnsi="仿宋_GB2312" w:eastAsia="仿宋_GB2312" w:cs="仿宋_GB2312"/>
          <w:color w:val="auto"/>
          <w:sz w:val="32"/>
          <w:szCs w:val="32"/>
        </w:rPr>
        <w:t>天。</w:t>
      </w:r>
    </w:p>
    <w:p>
      <w:pPr>
        <w:spacing w:line="360" w:lineRule="auto"/>
        <w:ind w:firstLine="640" w:firstLineChars="200"/>
        <w:rPr>
          <w:rStyle w:val="65"/>
          <w:rFonts w:ascii="仿宋_GB2312" w:hAnsi="仿宋_GB2312" w:eastAsia="仿宋_GB2312" w:cs="仿宋_GB2312"/>
          <w:color w:val="auto"/>
          <w:sz w:val="32"/>
          <w:szCs w:val="32"/>
        </w:rPr>
      </w:pPr>
      <w:r>
        <w:rPr>
          <w:rStyle w:val="65"/>
          <w:rFonts w:hint="eastAsia" w:ascii="仿宋_GB2312" w:hAnsi="仿宋_GB2312" w:eastAsia="仿宋_GB2312" w:cs="仿宋_GB2312"/>
          <w:color w:val="auto"/>
          <w:sz w:val="32"/>
          <w:szCs w:val="32"/>
        </w:rPr>
        <w:t>4</w:t>
      </w:r>
      <w:r>
        <w:rPr>
          <w:rStyle w:val="65"/>
          <w:rFonts w:ascii="仿宋_GB2312" w:hAnsi="仿宋_GB2312" w:eastAsia="仿宋_GB2312" w:cs="仿宋_GB2312"/>
          <w:color w:val="auto"/>
          <w:sz w:val="32"/>
          <w:szCs w:val="32"/>
        </w:rPr>
        <w:t>.</w:t>
      </w:r>
      <w:r>
        <w:rPr>
          <w:rStyle w:val="65"/>
          <w:rFonts w:hint="eastAsia" w:ascii="仿宋_GB2312" w:hAnsi="仿宋_GB2312" w:eastAsia="仿宋_GB2312" w:cs="仿宋_GB2312"/>
          <w:color w:val="auto"/>
          <w:sz w:val="32"/>
          <w:szCs w:val="32"/>
        </w:rPr>
        <w:t>我方完全理解和接受竞采文件的一切规定、要求和评审办法。</w:t>
      </w:r>
    </w:p>
    <w:p>
      <w:pPr>
        <w:spacing w:line="360" w:lineRule="auto"/>
        <w:ind w:firstLine="640" w:firstLineChars="200"/>
        <w:rPr>
          <w:rStyle w:val="65"/>
          <w:rFonts w:ascii="仿宋_GB2312" w:hAnsi="仿宋_GB2312" w:eastAsia="仿宋_GB2312" w:cs="仿宋_GB2312"/>
          <w:color w:val="auto"/>
          <w:sz w:val="32"/>
          <w:szCs w:val="32"/>
        </w:rPr>
      </w:pPr>
      <w:r>
        <w:rPr>
          <w:rStyle w:val="65"/>
          <w:rFonts w:hint="eastAsia" w:ascii="仿宋_GB2312" w:hAnsi="仿宋_GB2312" w:eastAsia="仿宋_GB2312" w:cs="仿宋_GB2312"/>
          <w:color w:val="auto"/>
          <w:sz w:val="32"/>
          <w:szCs w:val="32"/>
        </w:rPr>
        <w:t>5</w:t>
      </w:r>
      <w:r>
        <w:rPr>
          <w:rStyle w:val="65"/>
          <w:rFonts w:ascii="仿宋_GB2312" w:hAnsi="仿宋_GB2312" w:eastAsia="仿宋_GB2312" w:cs="仿宋_GB2312"/>
          <w:color w:val="auto"/>
          <w:sz w:val="32"/>
          <w:szCs w:val="32"/>
        </w:rPr>
        <w:t>.</w:t>
      </w:r>
      <w:r>
        <w:rPr>
          <w:rStyle w:val="65"/>
          <w:rFonts w:hint="eastAsia" w:ascii="仿宋_GB2312" w:hAnsi="仿宋_GB2312" w:eastAsia="仿宋_GB2312" w:cs="仿宋_GB2312"/>
          <w:color w:val="auto"/>
          <w:sz w:val="32"/>
          <w:szCs w:val="32"/>
        </w:rPr>
        <w:t>在整个采购过程中，我方若有违规行为，愿意接受重庆市政府采购云平台相关管理方的</w:t>
      </w:r>
      <w:r>
        <w:rPr>
          <w:rStyle w:val="65"/>
          <w:rFonts w:hint="eastAsia" w:ascii="仿宋_GB2312" w:hAnsi="仿宋_GB2312" w:eastAsia="仿宋_GB2312" w:cs="仿宋_GB2312"/>
          <w:color w:val="auto"/>
          <w:sz w:val="32"/>
          <w:szCs w:val="32"/>
          <w:lang w:eastAsia="zh-Hans"/>
        </w:rPr>
        <w:t>处</w:t>
      </w:r>
      <w:r>
        <w:rPr>
          <w:rStyle w:val="65"/>
          <w:rFonts w:hint="eastAsia" w:ascii="仿宋_GB2312" w:hAnsi="仿宋_GB2312" w:eastAsia="仿宋_GB2312" w:cs="仿宋_GB2312"/>
          <w:color w:val="auto"/>
          <w:sz w:val="32"/>
          <w:szCs w:val="32"/>
        </w:rPr>
        <w:t>罚。</w:t>
      </w:r>
    </w:p>
    <w:p>
      <w:pPr>
        <w:spacing w:line="360" w:lineRule="auto"/>
        <w:ind w:firstLine="640" w:firstLineChars="200"/>
        <w:rPr>
          <w:rStyle w:val="65"/>
          <w:rFonts w:ascii="仿宋_GB2312" w:hAnsi="仿宋_GB2312" w:eastAsia="仿宋_GB2312" w:cs="仿宋_GB2312"/>
          <w:color w:val="auto"/>
          <w:sz w:val="32"/>
          <w:szCs w:val="32"/>
        </w:rPr>
      </w:pPr>
      <w:r>
        <w:rPr>
          <w:rStyle w:val="65"/>
          <w:rFonts w:hint="eastAsia" w:ascii="仿宋_GB2312" w:hAnsi="仿宋_GB2312" w:eastAsia="仿宋_GB2312" w:cs="仿宋_GB2312"/>
          <w:color w:val="auto"/>
          <w:sz w:val="32"/>
          <w:szCs w:val="32"/>
        </w:rPr>
        <w:t>6</w:t>
      </w:r>
      <w:r>
        <w:rPr>
          <w:rStyle w:val="65"/>
          <w:rFonts w:ascii="仿宋_GB2312" w:hAnsi="仿宋_GB2312" w:eastAsia="仿宋_GB2312" w:cs="仿宋_GB2312"/>
          <w:color w:val="auto"/>
          <w:sz w:val="32"/>
          <w:szCs w:val="32"/>
        </w:rPr>
        <w:t>.</w:t>
      </w:r>
      <w:r>
        <w:rPr>
          <w:rStyle w:val="65"/>
          <w:rFonts w:hint="eastAsia" w:ascii="仿宋_GB2312" w:hAnsi="仿宋_GB2312" w:eastAsia="仿宋_GB2312" w:cs="仿宋_GB2312"/>
          <w:color w:val="auto"/>
          <w:sz w:val="32"/>
          <w:szCs w:val="32"/>
        </w:rPr>
        <w:t>我方若中选，将按照竞采结果签订合同，并且严格履行合同义务。本承诺函将成为合同不可分割的一部分，与合同具有同等的法律效力。</w:t>
      </w:r>
    </w:p>
    <w:p>
      <w:pPr>
        <w:spacing w:line="360" w:lineRule="auto"/>
        <w:ind w:firstLine="640" w:firstLineChars="200"/>
        <w:rPr>
          <w:rStyle w:val="65"/>
          <w:rFonts w:ascii="仿宋_GB2312" w:hAnsi="仿宋_GB2312" w:eastAsia="仿宋_GB2312" w:cs="仿宋_GB2312"/>
          <w:color w:val="auto"/>
          <w:sz w:val="32"/>
          <w:szCs w:val="32"/>
        </w:rPr>
      </w:pPr>
      <w:r>
        <w:rPr>
          <w:rStyle w:val="65"/>
          <w:rFonts w:hint="eastAsia" w:ascii="仿宋_GB2312" w:hAnsi="仿宋_GB2312" w:eastAsia="仿宋_GB2312" w:cs="仿宋_GB2312"/>
          <w:color w:val="auto"/>
          <w:sz w:val="32"/>
          <w:szCs w:val="32"/>
        </w:rPr>
        <w:t>7</w:t>
      </w:r>
      <w:r>
        <w:rPr>
          <w:rStyle w:val="65"/>
          <w:rFonts w:ascii="仿宋_GB2312" w:hAnsi="仿宋_GB2312" w:eastAsia="仿宋_GB2312" w:cs="仿宋_GB2312"/>
          <w:color w:val="auto"/>
          <w:sz w:val="32"/>
          <w:szCs w:val="32"/>
        </w:rPr>
        <w:t>.</w:t>
      </w:r>
      <w:r>
        <w:rPr>
          <w:rStyle w:val="65"/>
          <w:rFonts w:hint="eastAsia" w:ascii="仿宋_GB2312" w:hAnsi="仿宋_GB2312" w:eastAsia="仿宋_GB2312" w:cs="仿宋_GB2312"/>
          <w:color w:val="auto"/>
          <w:sz w:val="32"/>
          <w:szCs w:val="32"/>
        </w:rPr>
        <w:t>我方理解，最低报价不是成交的唯一条件。</w:t>
      </w:r>
    </w:p>
    <w:p>
      <w:pPr>
        <w:pStyle w:val="2"/>
        <w:spacing w:line="360" w:lineRule="auto"/>
        <w:rPr>
          <w:color w:val="auto"/>
        </w:rPr>
      </w:pPr>
    </w:p>
    <w:p>
      <w:pPr>
        <w:ind w:firstLine="640" w:firstLineChars="200"/>
        <w:jc w:val="right"/>
        <w:rPr>
          <w:rStyle w:val="65"/>
          <w:rFonts w:ascii="仿宋_GB2312" w:hAnsi="仿宋_GB2312" w:eastAsia="仿宋_GB2312" w:cs="仿宋_GB2312"/>
          <w:color w:val="auto"/>
          <w:sz w:val="32"/>
          <w:szCs w:val="32"/>
        </w:rPr>
      </w:pPr>
      <w:r>
        <w:rPr>
          <w:rStyle w:val="65"/>
          <w:rFonts w:hint="eastAsia" w:ascii="仿宋_GB2312" w:hAnsi="仿宋_GB2312" w:eastAsia="仿宋_GB2312" w:cs="仿宋_GB2312"/>
          <w:color w:val="auto"/>
          <w:sz w:val="32"/>
          <w:szCs w:val="32"/>
        </w:rPr>
        <w:t>供应商名称（公章）：</w:t>
      </w:r>
    </w:p>
    <w:p>
      <w:pPr>
        <w:ind w:firstLine="640" w:firstLineChars="200"/>
        <w:jc w:val="center"/>
        <w:rPr>
          <w:rFonts w:ascii="仿宋" w:hAnsi="仿宋" w:eastAsia="仿宋" w:cs="宋体"/>
          <w:color w:val="auto"/>
          <w:sz w:val="24"/>
          <w:szCs w:val="24"/>
        </w:rPr>
        <w:sectPr>
          <w:footerReference r:id="rId3" w:type="default"/>
          <w:pgSz w:w="11907" w:h="16840"/>
          <w:pgMar w:top="1134" w:right="1191" w:bottom="1134" w:left="1304" w:header="851" w:footer="992" w:gutter="0"/>
          <w:pgNumType w:fmt="numberInDash" w:start="1"/>
          <w:cols w:space="720" w:num="1"/>
          <w:docGrid w:linePitch="380" w:charSpace="-5735"/>
        </w:sectPr>
      </w:pPr>
      <w:r>
        <w:rPr>
          <w:rStyle w:val="65"/>
          <w:rFonts w:ascii="仿宋_GB2312" w:hAnsi="仿宋_GB2312" w:eastAsia="仿宋_GB2312" w:cs="仿宋_GB2312"/>
          <w:color w:val="auto"/>
          <w:sz w:val="32"/>
          <w:szCs w:val="32"/>
        </w:rPr>
        <w:t xml:space="preserve">                                  </w:t>
      </w:r>
      <w:r>
        <w:rPr>
          <w:rStyle w:val="65"/>
          <w:rFonts w:hint="eastAsia" w:ascii="仿宋_GB2312" w:hAnsi="仿宋_GB2312" w:eastAsia="仿宋_GB2312" w:cs="仿宋_GB2312"/>
          <w:color w:val="auto"/>
          <w:sz w:val="32"/>
          <w:szCs w:val="32"/>
        </w:rPr>
        <w:t>年  月  日</w:t>
      </w:r>
      <w:r>
        <w:rPr>
          <w:rFonts w:hint="eastAsia" w:ascii="仿宋" w:hAnsi="仿宋" w:eastAsia="仿宋" w:cs="宋体"/>
          <w:color w:val="auto"/>
          <w:sz w:val="24"/>
          <w:szCs w:val="24"/>
        </w:rPr>
        <w:t xml:space="preserve">                                        </w:t>
      </w:r>
    </w:p>
    <w:p>
      <w:pPr>
        <w:snapToGrid w:val="0"/>
        <w:spacing w:line="360" w:lineRule="auto"/>
        <w:ind w:firstLine="420"/>
        <w:rPr>
          <w:rFonts w:ascii="方正仿宋_GBK" w:hAnsi="宋体" w:eastAsia="方正仿宋_GBK" w:cs="方正仿宋_GBK"/>
          <w:color w:val="auto"/>
          <w:sz w:val="24"/>
          <w:szCs w:val="24"/>
        </w:rPr>
      </w:pPr>
      <w:r>
        <w:rPr>
          <w:rFonts w:hint="eastAsia" w:ascii="仿宋_GB2312" w:hAnsi="仿宋_GB2312" w:eastAsia="仿宋_GB2312" w:cs="仿宋_GB2312"/>
          <w:color w:val="auto"/>
          <w:sz w:val="32"/>
          <w:szCs w:val="32"/>
        </w:rPr>
        <w:t xml:space="preserve">（二）产品明细   </w:t>
      </w:r>
      <w:r>
        <w:rPr>
          <w:rFonts w:hint="eastAsia" w:ascii="方正仿宋_GBK" w:hAnsi="宋体" w:eastAsia="方正仿宋_GBK" w:cs="方正仿宋_GBK"/>
          <w:color w:val="auto"/>
          <w:sz w:val="24"/>
          <w:szCs w:val="24"/>
        </w:rPr>
        <w:t xml:space="preserve">     </w:t>
      </w:r>
    </w:p>
    <w:p>
      <w:pPr>
        <w:pStyle w:val="5"/>
        <w:spacing w:before="0" w:after="0" w:line="360" w:lineRule="auto"/>
        <w:jc w:val="center"/>
        <w:rPr>
          <w:rFonts w:ascii="方正仿宋_GBK" w:hAnsi="宋体" w:eastAsia="方正仿宋_GBK" w:cs="方正仿宋_GBK"/>
          <w:color w:val="auto"/>
          <w:sz w:val="24"/>
          <w:szCs w:val="24"/>
        </w:rPr>
      </w:pPr>
      <w:r>
        <w:rPr>
          <w:rFonts w:hint="eastAsia" w:ascii="方正仿宋_GBK" w:hAnsi="宋体" w:eastAsia="方正仿宋_GBK" w:cs="方正仿宋_GBK"/>
          <w:color w:val="auto"/>
          <w:sz w:val="24"/>
          <w:szCs w:val="24"/>
        </w:rPr>
        <w:t xml:space="preserve">    </w:t>
      </w:r>
    </w:p>
    <w:p>
      <w:pPr>
        <w:pStyle w:val="5"/>
        <w:spacing w:before="0" w:after="0" w:line="360" w:lineRule="auto"/>
        <w:jc w:val="center"/>
        <w:rPr>
          <w:rFonts w:ascii="仿宋_GB2312" w:hAnsi="仿宋_GB2312" w:eastAsia="仿宋_GB2312" w:cs="仿宋_GB2312"/>
          <w:color w:val="auto"/>
          <w:szCs w:val="32"/>
        </w:rPr>
      </w:pPr>
      <w:r>
        <w:rPr>
          <w:rFonts w:hint="eastAsia" w:ascii="黑体" w:hAnsi="黑体" w:eastAsia="黑体" w:cs="黑体"/>
          <w:color w:val="auto"/>
          <w:szCs w:val="32"/>
        </w:rPr>
        <w:t>清单明细</w:t>
      </w:r>
    </w:p>
    <w:p>
      <w:pPr>
        <w:pStyle w:val="5"/>
        <w:spacing w:before="0" w:after="0" w:line="360" w:lineRule="auto"/>
        <w:jc w:val="left"/>
        <w:rPr>
          <w:rFonts w:ascii="黑体" w:hAnsi="黑体" w:eastAsia="黑体" w:cs="黑体"/>
          <w:color w:val="auto"/>
          <w:sz w:val="24"/>
          <w:szCs w:val="24"/>
        </w:rPr>
      </w:pPr>
      <w:r>
        <w:rPr>
          <w:rFonts w:hint="eastAsia" w:ascii="黑体" w:hAnsi="黑体" w:eastAsia="黑体" w:cs="黑体"/>
          <w:color w:val="auto"/>
          <w:sz w:val="24"/>
          <w:szCs w:val="24"/>
        </w:rPr>
        <w:t>项目名称：</w:t>
      </w:r>
    </w:p>
    <w:tbl>
      <w:tblPr>
        <w:tblStyle w:val="58"/>
        <w:tblW w:w="9354" w:type="dxa"/>
        <w:tblInd w:w="93" w:type="dxa"/>
        <w:tblLayout w:type="fixed"/>
        <w:tblCellMar>
          <w:top w:w="0" w:type="dxa"/>
          <w:left w:w="108" w:type="dxa"/>
          <w:bottom w:w="0" w:type="dxa"/>
          <w:right w:w="108" w:type="dxa"/>
        </w:tblCellMar>
      </w:tblPr>
      <w:tblGrid>
        <w:gridCol w:w="864"/>
        <w:gridCol w:w="3007"/>
        <w:gridCol w:w="883"/>
        <w:gridCol w:w="846"/>
        <w:gridCol w:w="1248"/>
        <w:gridCol w:w="1134"/>
        <w:gridCol w:w="1372"/>
      </w:tblGrid>
      <w:tr>
        <w:tblPrEx>
          <w:tblCellMar>
            <w:top w:w="0" w:type="dxa"/>
            <w:left w:w="108" w:type="dxa"/>
            <w:bottom w:w="0" w:type="dxa"/>
            <w:right w:w="108" w:type="dxa"/>
          </w:tblCellMar>
        </w:tblPrEx>
        <w:trPr>
          <w:trHeight w:val="309" w:hRule="atLeast"/>
        </w:trPr>
        <w:tc>
          <w:tcPr>
            <w:tcW w:w="86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8"/>
                <w:szCs w:val="28"/>
              </w:rPr>
            </w:pPr>
            <w:r>
              <w:rPr>
                <w:rFonts w:hint="eastAsia" w:ascii="方正仿宋_GBK" w:hAnsi="宋体" w:eastAsia="方正仿宋_GBK" w:cs="宋体"/>
                <w:b/>
                <w:bCs/>
                <w:color w:val="auto"/>
                <w:kern w:val="0"/>
                <w:sz w:val="28"/>
                <w:szCs w:val="28"/>
              </w:rPr>
              <w:t>序号</w:t>
            </w:r>
          </w:p>
        </w:tc>
        <w:tc>
          <w:tcPr>
            <w:tcW w:w="3007"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8"/>
                <w:szCs w:val="28"/>
              </w:rPr>
            </w:pPr>
            <w:r>
              <w:rPr>
                <w:rFonts w:hint="eastAsia" w:ascii="方正仿宋_GBK" w:hAnsi="宋体" w:eastAsia="方正仿宋_GBK" w:cs="宋体"/>
                <w:b/>
                <w:bCs/>
                <w:color w:val="auto"/>
                <w:kern w:val="0"/>
                <w:sz w:val="28"/>
                <w:szCs w:val="28"/>
              </w:rPr>
              <w:t>产品名称</w:t>
            </w:r>
          </w:p>
        </w:tc>
        <w:tc>
          <w:tcPr>
            <w:tcW w:w="88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8"/>
                <w:szCs w:val="28"/>
              </w:rPr>
            </w:pPr>
            <w:r>
              <w:rPr>
                <w:rFonts w:hint="eastAsia" w:ascii="方正仿宋_GBK" w:hAnsi="宋体" w:eastAsia="方正仿宋_GBK" w:cs="宋体"/>
                <w:b/>
                <w:bCs/>
                <w:color w:val="auto"/>
                <w:kern w:val="0"/>
                <w:sz w:val="28"/>
                <w:szCs w:val="28"/>
              </w:rPr>
              <w:t>数量</w:t>
            </w:r>
          </w:p>
        </w:tc>
        <w:tc>
          <w:tcPr>
            <w:tcW w:w="84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8"/>
                <w:szCs w:val="28"/>
              </w:rPr>
            </w:pPr>
            <w:r>
              <w:rPr>
                <w:rFonts w:hint="eastAsia" w:ascii="方正仿宋_GBK" w:hAnsi="宋体" w:eastAsia="方正仿宋_GBK" w:cs="宋体"/>
                <w:b/>
                <w:bCs/>
                <w:color w:val="auto"/>
                <w:kern w:val="0"/>
                <w:sz w:val="28"/>
                <w:szCs w:val="28"/>
              </w:rPr>
              <w:t>单位</w:t>
            </w:r>
          </w:p>
        </w:tc>
        <w:tc>
          <w:tcPr>
            <w:tcW w:w="1248"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color w:val="auto"/>
                <w:kern w:val="0"/>
                <w:sz w:val="28"/>
                <w:szCs w:val="28"/>
              </w:rPr>
            </w:pPr>
            <w:r>
              <w:rPr>
                <w:rFonts w:hint="eastAsia" w:ascii="方正仿宋_GBK" w:hAnsi="宋体" w:eastAsia="方正仿宋_GBK" w:cs="宋体"/>
                <w:b/>
                <w:bCs/>
                <w:color w:val="auto"/>
                <w:kern w:val="0"/>
                <w:sz w:val="28"/>
                <w:szCs w:val="28"/>
              </w:rPr>
              <w:t>品牌及产地</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color w:val="auto"/>
                <w:kern w:val="0"/>
                <w:sz w:val="28"/>
                <w:szCs w:val="28"/>
              </w:rPr>
            </w:pPr>
            <w:r>
              <w:rPr>
                <w:rFonts w:hint="eastAsia" w:ascii="方正仿宋_GBK" w:hAnsi="宋体" w:eastAsia="方正仿宋_GBK" w:cs="宋体"/>
                <w:b/>
                <w:bCs/>
                <w:color w:val="auto"/>
                <w:kern w:val="0"/>
                <w:sz w:val="28"/>
                <w:szCs w:val="28"/>
              </w:rPr>
              <w:t>制造商名称</w:t>
            </w:r>
          </w:p>
        </w:tc>
        <w:tc>
          <w:tcPr>
            <w:tcW w:w="1372"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color w:val="auto"/>
                <w:kern w:val="0"/>
                <w:sz w:val="28"/>
                <w:szCs w:val="28"/>
              </w:rPr>
            </w:pPr>
            <w:r>
              <w:rPr>
                <w:rFonts w:hint="eastAsia" w:ascii="方正仿宋_GBK" w:hAnsi="宋体" w:eastAsia="方正仿宋_GBK" w:cs="宋体"/>
                <w:b/>
                <w:bCs/>
                <w:color w:val="auto"/>
                <w:kern w:val="0"/>
                <w:sz w:val="28"/>
                <w:szCs w:val="28"/>
              </w:rPr>
              <w:t>规格型号</w:t>
            </w:r>
          </w:p>
        </w:tc>
      </w:tr>
      <w:tr>
        <w:tblPrEx>
          <w:tblCellMar>
            <w:top w:w="0" w:type="dxa"/>
            <w:left w:w="108" w:type="dxa"/>
            <w:bottom w:w="0" w:type="dxa"/>
            <w:right w:w="108" w:type="dxa"/>
          </w:tblCellMar>
        </w:tblPrEx>
        <w:trPr>
          <w:trHeight w:val="494" w:hRule="atLeast"/>
        </w:trPr>
        <w:tc>
          <w:tcPr>
            <w:tcW w:w="864" w:type="dxa"/>
            <w:tcBorders>
              <w:top w:val="nil"/>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3007"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883"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846"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1248"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color w:val="auto"/>
                <w:sz w:val="24"/>
                <w:szCs w:val="24"/>
              </w:rPr>
            </w:pPr>
          </w:p>
        </w:tc>
        <w:tc>
          <w:tcPr>
            <w:tcW w:w="1134"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color w:val="auto"/>
                <w:sz w:val="24"/>
                <w:szCs w:val="24"/>
              </w:rPr>
            </w:pPr>
          </w:p>
        </w:tc>
        <w:tc>
          <w:tcPr>
            <w:tcW w:w="137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color w:val="auto"/>
                <w:sz w:val="24"/>
                <w:szCs w:val="24"/>
              </w:rPr>
            </w:pPr>
          </w:p>
        </w:tc>
      </w:tr>
      <w:tr>
        <w:tblPrEx>
          <w:tblCellMar>
            <w:top w:w="0" w:type="dxa"/>
            <w:left w:w="108" w:type="dxa"/>
            <w:bottom w:w="0" w:type="dxa"/>
            <w:right w:w="108" w:type="dxa"/>
          </w:tblCellMar>
        </w:tblPrEx>
        <w:trPr>
          <w:trHeight w:val="494" w:hRule="atLeast"/>
        </w:trPr>
        <w:tc>
          <w:tcPr>
            <w:tcW w:w="864" w:type="dxa"/>
            <w:tcBorders>
              <w:top w:val="nil"/>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3007"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883"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846"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1248"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color w:val="auto"/>
                <w:sz w:val="24"/>
                <w:szCs w:val="24"/>
              </w:rPr>
            </w:pPr>
          </w:p>
        </w:tc>
        <w:tc>
          <w:tcPr>
            <w:tcW w:w="1134"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color w:val="auto"/>
                <w:sz w:val="24"/>
                <w:szCs w:val="24"/>
              </w:rPr>
            </w:pPr>
          </w:p>
        </w:tc>
        <w:tc>
          <w:tcPr>
            <w:tcW w:w="137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color w:val="auto"/>
                <w:sz w:val="24"/>
                <w:szCs w:val="24"/>
              </w:rPr>
            </w:pPr>
          </w:p>
        </w:tc>
      </w:tr>
      <w:tr>
        <w:tblPrEx>
          <w:tblCellMar>
            <w:top w:w="0" w:type="dxa"/>
            <w:left w:w="108" w:type="dxa"/>
            <w:bottom w:w="0" w:type="dxa"/>
            <w:right w:w="108" w:type="dxa"/>
          </w:tblCellMar>
        </w:tblPrEx>
        <w:trPr>
          <w:trHeight w:val="278" w:hRule="atLeast"/>
        </w:trPr>
        <w:tc>
          <w:tcPr>
            <w:tcW w:w="864" w:type="dxa"/>
            <w:tcBorders>
              <w:top w:val="nil"/>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3007"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883"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846"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1248"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color w:val="auto"/>
                <w:sz w:val="24"/>
                <w:szCs w:val="24"/>
              </w:rPr>
            </w:pPr>
          </w:p>
        </w:tc>
        <w:tc>
          <w:tcPr>
            <w:tcW w:w="1134"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color w:val="auto"/>
                <w:sz w:val="24"/>
                <w:szCs w:val="24"/>
              </w:rPr>
            </w:pPr>
          </w:p>
        </w:tc>
        <w:tc>
          <w:tcPr>
            <w:tcW w:w="137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color w:val="auto"/>
                <w:sz w:val="24"/>
                <w:szCs w:val="24"/>
              </w:rPr>
            </w:pPr>
          </w:p>
        </w:tc>
      </w:tr>
      <w:tr>
        <w:tblPrEx>
          <w:tblCellMar>
            <w:top w:w="0" w:type="dxa"/>
            <w:left w:w="108" w:type="dxa"/>
            <w:bottom w:w="0" w:type="dxa"/>
            <w:right w:w="108" w:type="dxa"/>
          </w:tblCellMar>
        </w:tblPrEx>
        <w:trPr>
          <w:trHeight w:val="278" w:hRule="atLeast"/>
        </w:trPr>
        <w:tc>
          <w:tcPr>
            <w:tcW w:w="864" w:type="dxa"/>
            <w:tcBorders>
              <w:top w:val="nil"/>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3007"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883"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846"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1248"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color w:val="auto"/>
                <w:sz w:val="24"/>
                <w:szCs w:val="24"/>
              </w:rPr>
            </w:pPr>
          </w:p>
        </w:tc>
        <w:tc>
          <w:tcPr>
            <w:tcW w:w="1134"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color w:val="auto"/>
                <w:sz w:val="24"/>
                <w:szCs w:val="24"/>
              </w:rPr>
            </w:pPr>
          </w:p>
        </w:tc>
        <w:tc>
          <w:tcPr>
            <w:tcW w:w="137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color w:val="auto"/>
                <w:sz w:val="24"/>
                <w:szCs w:val="24"/>
              </w:rPr>
            </w:pPr>
          </w:p>
        </w:tc>
      </w:tr>
    </w:tbl>
    <w:p>
      <w:pPr>
        <w:snapToGrid w:val="0"/>
        <w:spacing w:line="360" w:lineRule="auto"/>
        <w:ind w:firstLine="480" w:firstLineChars="200"/>
        <w:rPr>
          <w:rFonts w:ascii="方正仿宋_GBK" w:hAnsi="宋体" w:eastAsia="方正仿宋_GBK" w:cs="方正仿宋_GBK"/>
          <w:color w:val="auto"/>
          <w:sz w:val="24"/>
          <w:szCs w:val="24"/>
        </w:rPr>
      </w:pPr>
      <w:r>
        <w:rPr>
          <w:rFonts w:hint="eastAsia" w:ascii="方正仿宋_GBK" w:hAnsi="宋体" w:eastAsia="方正仿宋_GBK" w:cs="方正仿宋_GBK"/>
          <w:color w:val="auto"/>
          <w:sz w:val="24"/>
          <w:szCs w:val="24"/>
        </w:rPr>
        <w:t xml:space="preserve"> </w:t>
      </w:r>
    </w:p>
    <w:p>
      <w:pPr>
        <w:snapToGrid w:val="0"/>
        <w:spacing w:line="360" w:lineRule="auto"/>
        <w:ind w:firstLine="640" w:firstLineChars="200"/>
        <w:rPr>
          <w:rFonts w:ascii="方正仿宋_GBK" w:hAnsi="宋体" w:eastAsia="方正仿宋_GBK" w:cs="方正仿宋_GBK"/>
          <w:color w:val="auto"/>
          <w:sz w:val="32"/>
          <w:szCs w:val="32"/>
        </w:rPr>
      </w:pPr>
      <w:r>
        <w:rPr>
          <w:rFonts w:hint="eastAsia" w:ascii="方正仿宋_GBK" w:hAnsi="方正仿宋_GBK" w:eastAsia="方正仿宋_GBK" w:cs="方正仿宋_GBK"/>
          <w:color w:val="auto"/>
          <w:sz w:val="32"/>
          <w:szCs w:val="32"/>
        </w:rPr>
        <w:t>填写要求：</w:t>
      </w:r>
    </w:p>
    <w:p>
      <w:pPr>
        <w:snapToGrid w:val="0"/>
        <w:spacing w:line="360" w:lineRule="auto"/>
        <w:ind w:firstLine="640" w:firstLineChars="200"/>
        <w:rPr>
          <w:rFonts w:ascii="方正仿宋_GBK" w:hAnsi="宋体" w:eastAsia="方正仿宋_GBK" w:cs="方正仿宋_GBK"/>
          <w:color w:val="auto"/>
          <w:sz w:val="32"/>
          <w:szCs w:val="32"/>
        </w:rPr>
      </w:pPr>
      <w:r>
        <w:rPr>
          <w:rFonts w:hint="eastAsia" w:ascii="方正仿宋_GBK" w:hAnsi="宋体" w:eastAsia="方正仿宋_GBK" w:cs="方正仿宋_GBK"/>
          <w:color w:val="auto"/>
          <w:sz w:val="32"/>
          <w:szCs w:val="32"/>
        </w:rPr>
        <w:t>1</w:t>
      </w:r>
      <w:r>
        <w:rPr>
          <w:rFonts w:ascii="方正仿宋_GBK" w:hAnsi="宋体" w:eastAsia="方正仿宋_GBK" w:cs="方正仿宋_GBK"/>
          <w:color w:val="auto"/>
          <w:sz w:val="32"/>
          <w:szCs w:val="32"/>
        </w:rPr>
        <w:t>.</w:t>
      </w:r>
      <w:r>
        <w:rPr>
          <w:rFonts w:hint="eastAsia" w:ascii="方正仿宋_GBK" w:hAnsi="宋体" w:eastAsia="方正仿宋_GBK" w:cs="方正仿宋_GBK"/>
          <w:color w:val="auto"/>
          <w:sz w:val="32"/>
          <w:szCs w:val="32"/>
        </w:rPr>
        <w:t>供应商应完整填写本表，并逐页盖章。</w:t>
      </w:r>
    </w:p>
    <w:p>
      <w:pPr>
        <w:snapToGrid w:val="0"/>
        <w:spacing w:line="360" w:lineRule="auto"/>
        <w:ind w:firstLine="640" w:firstLineChars="200"/>
        <w:rPr>
          <w:rFonts w:ascii="方正仿宋_GBK" w:hAnsi="宋体" w:eastAsia="方正仿宋_GBK" w:cs="方正仿宋_GBK"/>
          <w:color w:val="auto"/>
          <w:sz w:val="32"/>
          <w:szCs w:val="32"/>
        </w:rPr>
      </w:pPr>
      <w:r>
        <w:rPr>
          <w:rFonts w:hint="eastAsia" w:ascii="方正仿宋_GBK" w:hAnsi="宋体" w:eastAsia="方正仿宋_GBK" w:cs="方正仿宋_GBK"/>
          <w:color w:val="auto"/>
          <w:sz w:val="32"/>
          <w:szCs w:val="32"/>
        </w:rPr>
        <w:t>2</w:t>
      </w:r>
      <w:r>
        <w:rPr>
          <w:rFonts w:ascii="方正仿宋_GBK" w:hAnsi="宋体" w:eastAsia="方正仿宋_GBK" w:cs="方正仿宋_GBK"/>
          <w:color w:val="auto"/>
          <w:sz w:val="32"/>
          <w:szCs w:val="32"/>
        </w:rPr>
        <w:t>.</w:t>
      </w:r>
      <w:r>
        <w:rPr>
          <w:rFonts w:hint="eastAsia" w:ascii="方正仿宋_GBK" w:hAnsi="宋体" w:eastAsia="方正仿宋_GBK" w:cs="方正仿宋_GBK"/>
          <w:color w:val="auto"/>
          <w:sz w:val="32"/>
          <w:szCs w:val="32"/>
        </w:rPr>
        <w:t>该表内容可扩展</w:t>
      </w:r>
      <w:r>
        <w:rPr>
          <w:rFonts w:hint="eastAsia" w:ascii="方正仿宋_GBK" w:hAnsi="方正仿宋_GBK" w:eastAsia="方正仿宋_GBK" w:cs="方正仿宋_GBK"/>
          <w:color w:val="auto"/>
          <w:sz w:val="32"/>
          <w:szCs w:val="32"/>
        </w:rPr>
        <w:t>、可变更。</w:t>
      </w:r>
    </w:p>
    <w:p>
      <w:pPr>
        <w:snapToGrid w:val="0"/>
        <w:spacing w:line="360" w:lineRule="auto"/>
        <w:rPr>
          <w:rFonts w:ascii="方正仿宋_GBK" w:hAnsi="宋体" w:eastAsia="方正仿宋_GBK" w:cs="方正仿宋_GBK"/>
          <w:color w:val="auto"/>
          <w:sz w:val="32"/>
          <w:szCs w:val="32"/>
        </w:rPr>
      </w:pPr>
      <w:r>
        <w:rPr>
          <w:rFonts w:hint="eastAsia" w:ascii="方正仿宋_GBK" w:hAnsi="宋体" w:eastAsia="方正仿宋_GBK" w:cs="方正仿宋_GBK"/>
          <w:color w:val="auto"/>
          <w:sz w:val="32"/>
          <w:szCs w:val="32"/>
        </w:rPr>
        <w:t xml:space="preserve"> </w:t>
      </w:r>
    </w:p>
    <w:p>
      <w:pPr>
        <w:pStyle w:val="252"/>
        <w:spacing w:line="360" w:lineRule="auto"/>
        <w:ind w:left="1600" w:hanging="480"/>
        <w:rPr>
          <w:rFonts w:ascii="方正仿宋_GBK" w:hAnsi="宋体" w:eastAsia="方正仿宋_GBK" w:cs="方正仿宋_GBK"/>
          <w:color w:val="auto"/>
          <w:sz w:val="32"/>
          <w:szCs w:val="32"/>
        </w:rPr>
      </w:pPr>
      <w:r>
        <w:rPr>
          <w:rFonts w:hint="eastAsia" w:ascii="方正仿宋_GBK" w:hAnsi="宋体" w:eastAsia="方正仿宋_GBK" w:cs="方正仿宋_GBK"/>
          <w:color w:val="auto"/>
          <w:sz w:val="32"/>
          <w:szCs w:val="32"/>
        </w:rPr>
        <w:t xml:space="preserve"> </w:t>
      </w:r>
    </w:p>
    <w:p>
      <w:pPr>
        <w:spacing w:line="360" w:lineRule="auto"/>
        <w:jc w:val="right"/>
        <w:rPr>
          <w:rFonts w:ascii="Times New Roman" w:hAnsi="Times New Roman"/>
          <w:color w:val="auto"/>
          <w:sz w:val="32"/>
          <w:szCs w:val="32"/>
        </w:rPr>
      </w:pPr>
      <w:r>
        <w:rPr>
          <w:rFonts w:hint="eastAsia" w:ascii="方正仿宋_GBK" w:hAnsi="方正仿宋_GBK" w:eastAsia="方正仿宋_GBK" w:cs="方正仿宋_GBK"/>
          <w:color w:val="auto"/>
          <w:sz w:val="32"/>
          <w:szCs w:val="32"/>
        </w:rPr>
        <w:t>供应商名称（公章）：</w:t>
      </w:r>
    </w:p>
    <w:p>
      <w:pPr>
        <w:spacing w:line="360" w:lineRule="auto"/>
        <w:jc w:val="center"/>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t>年</w:t>
      </w:r>
      <w:r>
        <w:rPr>
          <w:rFonts w:hint="eastAsia" w:ascii="方正仿宋_GBK" w:hAnsi="宋体"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t>月</w:t>
      </w:r>
      <w:r>
        <w:rPr>
          <w:rFonts w:hint="eastAsia" w:ascii="方正仿宋_GBK" w:hAnsi="宋体"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t>日</w:t>
      </w:r>
    </w:p>
    <w:p>
      <w:pPr>
        <w:pStyle w:val="5"/>
        <w:spacing w:line="360" w:lineRule="auto"/>
        <w:rPr>
          <w:rFonts w:ascii="方正仿宋_GBK" w:hAnsi="方正仿宋_GBK" w:eastAsia="方正仿宋_GBK" w:cs="Arial"/>
          <w:color w:val="auto"/>
        </w:rPr>
      </w:pPr>
      <w:r>
        <w:rPr>
          <w:color w:val="auto"/>
        </w:rPr>
        <w:br w:type="page"/>
      </w:r>
    </w:p>
    <w:p>
      <w:pPr>
        <w:tabs>
          <w:tab w:val="left" w:pos="6300"/>
        </w:tabs>
        <w:snapToGrid w:val="0"/>
        <w:spacing w:line="360" w:lineRule="auto"/>
        <w:ind w:firstLine="643" w:firstLineChars="200"/>
        <w:jc w:val="left"/>
        <w:rPr>
          <w:rFonts w:ascii="宋体" w:hAnsi="宋体" w:cs="宋体"/>
          <w:b/>
          <w:bCs/>
          <w:color w:val="auto"/>
          <w:sz w:val="24"/>
          <w:szCs w:val="24"/>
        </w:rPr>
      </w:pPr>
      <w:r>
        <w:rPr>
          <w:rFonts w:hint="eastAsia" w:ascii="黑体" w:hAnsi="黑体" w:eastAsia="黑体" w:cs="黑体"/>
          <w:b/>
          <w:color w:val="auto"/>
          <w:sz w:val="32"/>
          <w:szCs w:val="32"/>
        </w:rPr>
        <w:t>二、法定代表人身份证明书（格式）/法定代表人授权委托书（格式）</w:t>
      </w:r>
    </w:p>
    <w:p>
      <w:pPr>
        <w:tabs>
          <w:tab w:val="left" w:pos="6300"/>
        </w:tabs>
        <w:snapToGrid w:val="0"/>
        <w:spacing w:line="360" w:lineRule="auto"/>
        <w:jc w:val="center"/>
        <w:rPr>
          <w:rFonts w:ascii="宋体" w:hAnsi="宋体" w:cs="宋体"/>
          <w:b/>
          <w:bCs/>
          <w:color w:val="auto"/>
          <w:sz w:val="24"/>
          <w:szCs w:val="24"/>
        </w:rPr>
      </w:pPr>
    </w:p>
    <w:p>
      <w:pPr>
        <w:tabs>
          <w:tab w:val="left" w:pos="6300"/>
        </w:tabs>
        <w:snapToGrid w:val="0"/>
        <w:spacing w:line="360" w:lineRule="auto"/>
        <w:jc w:val="center"/>
        <w:rPr>
          <w:rFonts w:ascii="黑体" w:hAnsi="黑体" w:eastAsia="黑体" w:cs="黑体"/>
          <w:b/>
          <w:bCs/>
          <w:color w:val="auto"/>
          <w:sz w:val="32"/>
          <w:szCs w:val="32"/>
        </w:rPr>
      </w:pPr>
      <w:r>
        <w:rPr>
          <w:rFonts w:hint="eastAsia" w:ascii="黑体" w:hAnsi="黑体" w:eastAsia="黑体" w:cs="黑体"/>
          <w:b/>
          <w:bCs/>
          <w:color w:val="auto"/>
          <w:sz w:val="32"/>
          <w:szCs w:val="32"/>
        </w:rPr>
        <w:t>法定代表人身份证明书</w:t>
      </w:r>
    </w:p>
    <w:p>
      <w:pPr>
        <w:tabs>
          <w:tab w:val="left" w:pos="6300"/>
        </w:tabs>
        <w:snapToGrid w:val="0"/>
        <w:spacing w:line="360" w:lineRule="auto"/>
        <w:rPr>
          <w:rFonts w:ascii="仿宋_GB2312" w:hAnsi="仿宋_GB2312" w:eastAsia="仿宋_GB2312" w:cs="仿宋_GB2312"/>
          <w:color w:val="auto"/>
          <w:sz w:val="32"/>
          <w:szCs w:val="32"/>
          <w:u w:val="single"/>
        </w:rPr>
      </w:pPr>
    </w:p>
    <w:p>
      <w:pPr>
        <w:tabs>
          <w:tab w:val="left" w:pos="6300"/>
        </w:tabs>
        <w:snapToGrid w:val="0"/>
        <w:spacing w:line="360" w:lineRule="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Hans"/>
        </w:rPr>
        <w:t>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（采购单位名称）：</w:t>
      </w:r>
    </w:p>
    <w:p>
      <w:pPr>
        <w:tabs>
          <w:tab w:val="left" w:pos="6300"/>
        </w:tabs>
        <w:snapToGrid w:val="0"/>
        <w:spacing w:line="360" w:lineRule="auto"/>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（法定代表人名称及身份证代码）是</w:t>
      </w:r>
      <w:r>
        <w:rPr>
          <w:rFonts w:hint="eastAsia" w:ascii="仿宋_GB2312" w:hAnsi="仿宋_GB2312" w:eastAsia="仿宋_GB2312" w:cs="仿宋_GB2312"/>
          <w:color w:val="auto"/>
          <w:sz w:val="32"/>
          <w:szCs w:val="32"/>
          <w:u w:val="single"/>
        </w:rPr>
        <w:t>（供应商名称）</w:t>
      </w:r>
      <w:r>
        <w:rPr>
          <w:rFonts w:hint="eastAsia" w:ascii="仿宋_GB2312" w:hAnsi="仿宋_GB2312" w:eastAsia="仿宋_GB2312" w:cs="仿宋_GB2312"/>
          <w:color w:val="auto"/>
          <w:sz w:val="32"/>
          <w:szCs w:val="32"/>
        </w:rPr>
        <w:t>的法定代表人，电话</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代表我单位全权办理上述项目的竞采报价、签约等具体工作，并签署全部有关文件、协议及合同。签字负全部责任。</w:t>
      </w:r>
    </w:p>
    <w:p>
      <w:pPr>
        <w:tabs>
          <w:tab w:val="left" w:pos="6300"/>
        </w:tabs>
        <w:snapToGrid w:val="0"/>
        <w:spacing w:line="360" w:lineRule="auto"/>
        <w:ind w:firstLine="570"/>
        <w:rPr>
          <w:rFonts w:ascii="仿宋_GB2312" w:hAnsi="仿宋_GB2312" w:eastAsia="仿宋_GB2312" w:cs="仿宋_GB2312"/>
          <w:color w:val="auto"/>
          <w:sz w:val="32"/>
          <w:szCs w:val="32"/>
        </w:rPr>
      </w:pPr>
    </w:p>
    <w:p>
      <w:pPr>
        <w:tabs>
          <w:tab w:val="left" w:pos="6300"/>
        </w:tabs>
        <w:snapToGrid w:val="0"/>
        <w:spacing w:line="360" w:lineRule="auto"/>
        <w:ind w:firstLine="570"/>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 xml:space="preserve">法定代表人（签字或盖章）：                          </w:t>
      </w:r>
    </w:p>
    <w:p>
      <w:pPr>
        <w:tabs>
          <w:tab w:val="left" w:pos="6300"/>
        </w:tabs>
        <w:snapToGrid w:val="0"/>
        <w:spacing w:line="360" w:lineRule="auto"/>
        <w:ind w:firstLine="570"/>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供应商名称（公章）</w:t>
      </w:r>
    </w:p>
    <w:p>
      <w:pPr>
        <w:tabs>
          <w:tab w:val="left" w:pos="6300"/>
        </w:tabs>
        <w:snapToGrid w:val="0"/>
        <w:spacing w:line="360" w:lineRule="auto"/>
        <w:ind w:right="360" w:firstLine="570"/>
        <w:jc w:val="center"/>
        <w:rPr>
          <w:color w:val="auto"/>
        </w:rPr>
      </w:pP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年   月   日</w:t>
      </w:r>
    </w:p>
    <w:p>
      <w:pPr>
        <w:pStyle w:val="2"/>
        <w:spacing w:line="360" w:lineRule="auto"/>
        <w:rPr>
          <w:color w:val="auto"/>
        </w:rPr>
      </w:pPr>
    </w:p>
    <w:p>
      <w:pPr>
        <w:tabs>
          <w:tab w:val="left" w:pos="6300"/>
        </w:tabs>
        <w:snapToGrid w:val="0"/>
        <w:spacing w:line="360" w:lineRule="auto"/>
        <w:ind w:firstLine="57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（附：法定代表人身份证正反面复印件）</w:t>
      </w:r>
    </w:p>
    <w:p>
      <w:pPr>
        <w:pStyle w:val="5"/>
        <w:spacing w:line="360" w:lineRule="auto"/>
        <w:rPr>
          <w:color w:val="auto"/>
        </w:rPr>
      </w:pPr>
    </w:p>
    <w:p>
      <w:pPr>
        <w:rPr>
          <w:rFonts w:ascii="宋体" w:hAnsi="宋体" w:cs="宋体"/>
          <w:color w:val="auto"/>
          <w:sz w:val="24"/>
          <w:szCs w:val="24"/>
        </w:rPr>
      </w:pPr>
      <w:r>
        <w:rPr>
          <w:rFonts w:ascii="宋体" w:hAnsi="宋体" w:cs="宋体"/>
          <w:color w:val="auto"/>
          <w:sz w:val="24"/>
          <w:szCs w:val="24"/>
        </w:rPr>
        <w:br w:type="page"/>
      </w:r>
    </w:p>
    <w:p>
      <w:pPr>
        <w:pStyle w:val="2"/>
        <w:rPr>
          <w:color w:val="auto"/>
        </w:rPr>
      </w:pPr>
    </w:p>
    <w:p>
      <w:pPr>
        <w:tabs>
          <w:tab w:val="left" w:pos="6300"/>
        </w:tabs>
        <w:snapToGrid w:val="0"/>
        <w:spacing w:line="360" w:lineRule="auto"/>
        <w:jc w:val="center"/>
        <w:rPr>
          <w:rFonts w:ascii="黑体" w:hAnsi="黑体" w:eastAsia="黑体" w:cs="黑体"/>
          <w:b/>
          <w:bCs/>
          <w:color w:val="auto"/>
          <w:sz w:val="32"/>
          <w:szCs w:val="32"/>
        </w:rPr>
      </w:pPr>
      <w:r>
        <w:rPr>
          <w:rFonts w:hint="eastAsia" w:ascii="黑体" w:hAnsi="黑体" w:eastAsia="黑体" w:cs="黑体"/>
          <w:b/>
          <w:bCs/>
          <w:color w:val="auto"/>
          <w:sz w:val="32"/>
          <w:szCs w:val="32"/>
        </w:rPr>
        <w:t>法定代表人授权委托书</w:t>
      </w:r>
    </w:p>
    <w:p>
      <w:pPr>
        <w:tabs>
          <w:tab w:val="left" w:pos="6300"/>
        </w:tabs>
        <w:snapToGrid w:val="0"/>
        <w:spacing w:line="360" w:lineRule="auto"/>
        <w:rPr>
          <w:rFonts w:ascii="仿宋_GB2312" w:hAnsi="仿宋_GB2312" w:eastAsia="仿宋_GB2312" w:cs="仿宋_GB2312"/>
          <w:color w:val="auto"/>
          <w:sz w:val="32"/>
          <w:szCs w:val="32"/>
          <w:u w:val="single"/>
        </w:rPr>
      </w:pPr>
    </w:p>
    <w:p>
      <w:pPr>
        <w:tabs>
          <w:tab w:val="left" w:pos="6300"/>
        </w:tabs>
        <w:snapToGrid w:val="0"/>
        <w:spacing w:line="360" w:lineRule="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Hans"/>
        </w:rPr>
        <w:t>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（采购单位名称）：</w:t>
      </w:r>
    </w:p>
    <w:p>
      <w:pPr>
        <w:tabs>
          <w:tab w:val="left" w:pos="6300"/>
        </w:tabs>
        <w:wordWrap w:val="0"/>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（法定代表人名称）是</w:t>
      </w:r>
      <w:r>
        <w:rPr>
          <w:rFonts w:hint="eastAsia" w:ascii="仿宋_GB2312" w:hAnsi="仿宋_GB2312" w:eastAsia="仿宋_GB2312" w:cs="仿宋_GB2312"/>
          <w:color w:val="auto"/>
          <w:sz w:val="32"/>
          <w:szCs w:val="32"/>
          <w:u w:val="single"/>
        </w:rPr>
        <w:t>（供应商名称）</w:t>
      </w:r>
      <w:r>
        <w:rPr>
          <w:rFonts w:hint="eastAsia" w:ascii="仿宋_GB2312" w:hAnsi="仿宋_GB2312" w:eastAsia="仿宋_GB2312" w:cs="仿宋_GB2312"/>
          <w:color w:val="auto"/>
          <w:sz w:val="32"/>
          <w:szCs w:val="32"/>
        </w:rPr>
        <w:t>的法定代表人，特授权</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（被授权人姓名及身份证代码）电话</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代表我单位全权办理上述项目的竞采报价、签约等具体工作，并签署全部有关文件、协议及合同。</w:t>
      </w:r>
    </w:p>
    <w:p>
      <w:pPr>
        <w:tabs>
          <w:tab w:val="left" w:pos="6300"/>
        </w:tabs>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我单位对被授权人的签字负全部责任。</w:t>
      </w:r>
    </w:p>
    <w:p>
      <w:pPr>
        <w:tabs>
          <w:tab w:val="left" w:pos="6300"/>
        </w:tabs>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在撤消授权</w:t>
      </w:r>
      <w:r>
        <w:rPr>
          <w:rFonts w:hint="eastAsia" w:ascii="仿宋_GB2312" w:hAnsi="仿宋_GB2312" w:eastAsia="仿宋_GB2312" w:cs="仿宋_GB2312"/>
          <w:color w:val="auto"/>
          <w:sz w:val="32"/>
          <w:szCs w:val="32"/>
          <w:lang w:eastAsia="zh-Hans"/>
        </w:rPr>
        <w:t>的</w:t>
      </w:r>
      <w:r>
        <w:rPr>
          <w:rFonts w:hint="eastAsia" w:ascii="仿宋_GB2312" w:hAnsi="仿宋_GB2312" w:eastAsia="仿宋_GB2312" w:cs="仿宋_GB2312"/>
          <w:color w:val="auto"/>
          <w:sz w:val="32"/>
          <w:szCs w:val="32"/>
        </w:rPr>
        <w:t>书面通知以前，本授权书一直有效。被授权人在授权书有效期内签署的所有文件不因授权的撤消而失效。</w:t>
      </w:r>
    </w:p>
    <w:p>
      <w:pPr>
        <w:tabs>
          <w:tab w:val="left" w:pos="6300"/>
        </w:tabs>
        <w:snapToGrid w:val="0"/>
        <w:spacing w:line="360" w:lineRule="auto"/>
        <w:ind w:firstLine="570"/>
        <w:rPr>
          <w:rFonts w:ascii="仿宋_GB2312" w:hAnsi="仿宋_GB2312" w:eastAsia="仿宋_GB2312" w:cs="仿宋_GB2312"/>
          <w:color w:val="auto"/>
          <w:sz w:val="32"/>
          <w:szCs w:val="32"/>
        </w:rPr>
      </w:pPr>
    </w:p>
    <w:p>
      <w:pPr>
        <w:tabs>
          <w:tab w:val="left" w:pos="6300"/>
        </w:tabs>
        <w:snapToGrid w:val="0"/>
        <w:spacing w:line="360" w:lineRule="auto"/>
        <w:ind w:firstLine="57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被授权人：                          法定代表人：</w:t>
      </w:r>
    </w:p>
    <w:p>
      <w:pPr>
        <w:tabs>
          <w:tab w:val="left" w:pos="6300"/>
        </w:tabs>
        <w:snapToGrid w:val="0"/>
        <w:spacing w:line="360" w:lineRule="auto"/>
        <w:ind w:firstLine="57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（签字或盖章）                     </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（签字或盖章）</w:t>
      </w:r>
    </w:p>
    <w:p>
      <w:pPr>
        <w:tabs>
          <w:tab w:val="left" w:pos="6300"/>
        </w:tabs>
        <w:snapToGrid w:val="0"/>
        <w:spacing w:line="360" w:lineRule="auto"/>
        <w:ind w:firstLine="570"/>
        <w:rPr>
          <w:rFonts w:ascii="仿宋_GB2312" w:hAnsi="仿宋_GB2312" w:eastAsia="仿宋_GB2312" w:cs="仿宋_GB2312"/>
          <w:color w:val="auto"/>
          <w:sz w:val="32"/>
          <w:szCs w:val="32"/>
        </w:rPr>
      </w:pPr>
    </w:p>
    <w:p>
      <w:pPr>
        <w:tabs>
          <w:tab w:val="left" w:pos="6300"/>
        </w:tabs>
        <w:snapToGrid w:val="0"/>
        <w:spacing w:line="360" w:lineRule="auto"/>
        <w:ind w:firstLine="57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（附：被授权人、法定代表人身份证正反面复印件）</w:t>
      </w:r>
    </w:p>
    <w:p>
      <w:pPr>
        <w:tabs>
          <w:tab w:val="left" w:pos="6300"/>
        </w:tabs>
        <w:snapToGrid w:val="0"/>
        <w:spacing w:line="360" w:lineRule="auto"/>
        <w:ind w:firstLine="570"/>
        <w:rPr>
          <w:rFonts w:ascii="仿宋_GB2312" w:hAnsi="仿宋_GB2312" w:eastAsia="仿宋_GB2312" w:cs="仿宋_GB2312"/>
          <w:color w:val="auto"/>
          <w:sz w:val="32"/>
          <w:szCs w:val="32"/>
        </w:rPr>
      </w:pPr>
    </w:p>
    <w:p>
      <w:pPr>
        <w:tabs>
          <w:tab w:val="left" w:pos="6300"/>
        </w:tabs>
        <w:snapToGrid w:val="0"/>
        <w:spacing w:line="360" w:lineRule="auto"/>
        <w:ind w:right="480" w:firstLine="570"/>
        <w:jc w:val="righ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供应商名称（公章）</w:t>
      </w:r>
    </w:p>
    <w:p>
      <w:pPr>
        <w:tabs>
          <w:tab w:val="left" w:pos="6300"/>
        </w:tabs>
        <w:snapToGrid w:val="0"/>
        <w:spacing w:line="360" w:lineRule="auto"/>
        <w:ind w:right="480" w:firstLine="570"/>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年   月   日</w:t>
      </w:r>
    </w:p>
    <w:p>
      <w:pPr>
        <w:pStyle w:val="5"/>
        <w:spacing w:line="360" w:lineRule="auto"/>
        <w:rPr>
          <w:color w:val="auto"/>
        </w:rPr>
      </w:pPr>
      <w:r>
        <w:rPr>
          <w:color w:val="auto"/>
        </w:rPr>
        <w:br w:type="page"/>
      </w:r>
    </w:p>
    <w:p>
      <w:pPr>
        <w:numPr>
          <w:ilvl w:val="0"/>
          <w:numId w:val="14"/>
        </w:numPr>
        <w:tabs>
          <w:tab w:val="left" w:pos="6300"/>
        </w:tabs>
        <w:snapToGrid w:val="0"/>
        <w:spacing w:line="360" w:lineRule="auto"/>
        <w:ind w:firstLine="643" w:firstLineChars="200"/>
        <w:rPr>
          <w:rFonts w:ascii="黑体" w:hAnsi="黑体" w:eastAsia="黑体" w:cs="黑体"/>
          <w:b/>
          <w:color w:val="auto"/>
          <w:sz w:val="32"/>
          <w:szCs w:val="32"/>
        </w:rPr>
      </w:pPr>
      <w:r>
        <w:rPr>
          <w:rFonts w:hint="eastAsia" w:ascii="黑体" w:hAnsi="黑体" w:eastAsia="黑体" w:cs="黑体"/>
          <w:b/>
          <w:color w:val="auto"/>
          <w:sz w:val="32"/>
          <w:szCs w:val="32"/>
        </w:rPr>
        <w:t>基本资格条件承诺函</w:t>
      </w:r>
    </w:p>
    <w:p>
      <w:pPr>
        <w:pStyle w:val="2"/>
        <w:rPr>
          <w:color w:val="auto"/>
        </w:rPr>
      </w:pPr>
    </w:p>
    <w:p>
      <w:pPr>
        <w:snapToGrid w:val="0"/>
        <w:spacing w:line="360" w:lineRule="auto"/>
        <w:ind w:firstLine="570"/>
        <w:jc w:val="center"/>
        <w:rPr>
          <w:rFonts w:ascii="黑体" w:hAnsi="黑体" w:eastAsia="黑体" w:cs="黑体"/>
          <w:b/>
          <w:color w:val="auto"/>
          <w:sz w:val="32"/>
          <w:szCs w:val="32"/>
        </w:rPr>
      </w:pPr>
      <w:r>
        <w:rPr>
          <w:rFonts w:hint="eastAsia" w:ascii="黑体" w:hAnsi="黑体" w:eastAsia="黑体" w:cs="黑体"/>
          <w:b/>
          <w:color w:val="auto"/>
          <w:sz w:val="32"/>
          <w:szCs w:val="32"/>
        </w:rPr>
        <w:t>基本资格条件承诺函</w:t>
      </w:r>
    </w:p>
    <w:p>
      <w:pPr>
        <w:snapToGrid w:val="0"/>
        <w:spacing w:line="360" w:lineRule="auto"/>
        <w:rPr>
          <w:rFonts w:ascii="方正仿宋_GBK" w:hAnsi="宋体" w:eastAsia="方正仿宋_GBK" w:cs="方正仿宋_GBK"/>
          <w:b/>
          <w:color w:val="auto"/>
          <w:sz w:val="24"/>
          <w:szCs w:val="24"/>
        </w:rPr>
      </w:pPr>
      <w:r>
        <w:rPr>
          <w:rFonts w:ascii="方正仿宋_GBK" w:hAnsi="宋体" w:eastAsia="方正仿宋_GBK" w:cs="方正仿宋_GBK"/>
          <w:b/>
          <w:color w:val="auto"/>
          <w:sz w:val="24"/>
          <w:szCs w:val="24"/>
        </w:rPr>
        <w:t xml:space="preserve"> </w:t>
      </w:r>
    </w:p>
    <w:p>
      <w:pPr>
        <w:snapToGrid w:val="0"/>
        <w:spacing w:line="360" w:lineRule="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（采购单位名称）：</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（供应商名称）郑重承诺：</w:t>
      </w:r>
    </w:p>
    <w:p>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2.我方未列入在信用中国网站（www.creditchina.gov.cn）“失信被执行人”、“重大税收违法案件当事人名单”中，也未列入中国政府采购网（www.ccgp.gov.cn）“政府采购严重违法失信行为记录名单”中。</w:t>
      </w:r>
    </w:p>
    <w:p>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3.我方在项目评审环节结束后，随时接受采购人检查验证，配合提供相关证明材料，证明符合《中华人民共和国政府采购法》第二十二条规定的供应商基本资格条件。</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我方对以上承诺负全部法律责任。</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特此承诺。</w:t>
      </w:r>
    </w:p>
    <w:p>
      <w:pPr>
        <w:pStyle w:val="2"/>
        <w:rPr>
          <w:color w:val="auto"/>
        </w:rPr>
      </w:pPr>
    </w:p>
    <w:p>
      <w:pPr>
        <w:tabs>
          <w:tab w:val="left" w:pos="6300"/>
        </w:tabs>
        <w:snapToGrid w:val="0"/>
        <w:spacing w:line="360" w:lineRule="auto"/>
        <w:ind w:right="480" w:firstLine="570"/>
        <w:jc w:val="righ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供应商名称（公章）</w:t>
      </w:r>
    </w:p>
    <w:p>
      <w:pPr>
        <w:tabs>
          <w:tab w:val="left" w:pos="6300"/>
        </w:tabs>
        <w:snapToGrid w:val="0"/>
        <w:spacing w:line="360" w:lineRule="auto"/>
        <w:ind w:right="480" w:firstLine="570"/>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年   月   日</w:t>
      </w:r>
    </w:p>
    <w:p>
      <w:pPr>
        <w:tabs>
          <w:tab w:val="left" w:pos="6300"/>
        </w:tabs>
        <w:snapToGrid w:val="0"/>
        <w:spacing w:line="360" w:lineRule="auto"/>
        <w:ind w:right="480" w:firstLine="570"/>
        <w:jc w:val="center"/>
        <w:rPr>
          <w:rFonts w:hint="eastAsia" w:ascii="仿宋_GB2312" w:hAnsi="仿宋_GB2312" w:eastAsia="仿宋_GB2312" w:cs="仿宋_GB2312"/>
          <w:color w:val="auto"/>
          <w:sz w:val="32"/>
          <w:szCs w:val="32"/>
        </w:rPr>
      </w:pPr>
    </w:p>
    <w:p>
      <w:pPr>
        <w:tabs>
          <w:tab w:val="left" w:pos="6300"/>
        </w:tabs>
        <w:snapToGrid w:val="0"/>
        <w:spacing w:line="360" w:lineRule="auto"/>
        <w:ind w:right="480" w:firstLine="570"/>
        <w:jc w:val="center"/>
        <w:rPr>
          <w:rFonts w:hint="eastAsia" w:ascii="仿宋_GB2312" w:hAnsi="仿宋_GB2312" w:eastAsia="仿宋_GB2312" w:cs="仿宋_GB2312"/>
          <w:color w:val="auto"/>
          <w:sz w:val="32"/>
          <w:szCs w:val="32"/>
        </w:rPr>
      </w:pPr>
    </w:p>
    <w:p>
      <w:pPr>
        <w:tabs>
          <w:tab w:val="left" w:pos="6300"/>
        </w:tabs>
        <w:snapToGrid w:val="0"/>
        <w:spacing w:line="360" w:lineRule="auto"/>
        <w:ind w:right="480" w:firstLine="570"/>
        <w:jc w:val="center"/>
        <w:rPr>
          <w:rFonts w:hint="eastAsia" w:ascii="仿宋_GB2312" w:hAnsi="仿宋_GB2312" w:eastAsia="仿宋_GB2312" w:cs="仿宋_GB2312"/>
          <w:color w:val="auto"/>
          <w:sz w:val="32"/>
          <w:szCs w:val="32"/>
        </w:rPr>
      </w:pPr>
    </w:p>
    <w:p>
      <w:pPr>
        <w:numPr>
          <w:ilvl w:val="0"/>
          <w:numId w:val="14"/>
        </w:numPr>
        <w:tabs>
          <w:tab w:val="left" w:pos="6300"/>
        </w:tabs>
        <w:snapToGrid w:val="0"/>
        <w:spacing w:line="360" w:lineRule="auto"/>
        <w:ind w:left="0" w:leftChars="0" w:right="480" w:firstLine="640" w:firstLineChars="200"/>
        <w:jc w:val="left"/>
        <w:rPr>
          <w:rFonts w:hint="eastAsia" w:ascii="微软雅黑" w:hAnsi="微软雅黑" w:eastAsia="微软雅黑" w:cs="微软雅黑"/>
          <w:b/>
          <w:bCs/>
          <w:color w:val="auto"/>
          <w:sz w:val="32"/>
          <w:szCs w:val="32"/>
          <w:lang w:val="en-US" w:eastAsia="zh-CN"/>
        </w:rPr>
      </w:pPr>
      <w:r>
        <w:rPr>
          <w:rFonts w:hint="eastAsia" w:ascii="微软雅黑" w:hAnsi="微软雅黑" w:eastAsia="微软雅黑" w:cs="微软雅黑"/>
          <w:b/>
          <w:bCs/>
          <w:color w:val="auto"/>
          <w:sz w:val="32"/>
          <w:szCs w:val="32"/>
          <w:lang w:val="en-US" w:eastAsia="zh-CN"/>
        </w:rPr>
        <w:t>其他与项目相关资料（自附）。</w:t>
      </w:r>
    </w:p>
    <w:p>
      <w:pPr>
        <w:numPr>
          <w:ilvl w:val="0"/>
          <w:numId w:val="0"/>
        </w:numPr>
        <w:tabs>
          <w:tab w:val="left" w:pos="6300"/>
        </w:tabs>
        <w:snapToGrid w:val="0"/>
        <w:spacing w:line="360" w:lineRule="auto"/>
        <w:ind w:right="480" w:rightChars="0"/>
        <w:jc w:val="left"/>
        <w:rPr>
          <w:rFonts w:hint="eastAsia" w:ascii="仿宋_GB2312" w:hAnsi="仿宋_GB2312" w:eastAsia="仿宋_GB2312" w:cs="仿宋_GB2312"/>
          <w:color w:val="auto"/>
          <w:sz w:val="32"/>
          <w:szCs w:val="32"/>
        </w:rPr>
      </w:pPr>
    </w:p>
    <w:p>
      <w:pPr>
        <w:numPr>
          <w:ilvl w:val="0"/>
          <w:numId w:val="0"/>
        </w:numPr>
        <w:tabs>
          <w:tab w:val="left" w:pos="6300"/>
        </w:tabs>
        <w:snapToGrid w:val="0"/>
        <w:spacing w:line="360" w:lineRule="auto"/>
        <w:ind w:right="480" w:rightChars="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（结束）</w:t>
      </w:r>
    </w:p>
    <w:p>
      <w:pPr>
        <w:tabs>
          <w:tab w:val="left" w:pos="6300"/>
        </w:tabs>
        <w:snapToGrid w:val="0"/>
        <w:spacing w:line="360" w:lineRule="auto"/>
        <w:ind w:right="480" w:firstLine="570"/>
        <w:jc w:val="center"/>
        <w:rPr>
          <w:rFonts w:ascii="宋体" w:hAnsi="宋体" w:cs="宋体"/>
          <w:color w:val="auto"/>
          <w:sz w:val="24"/>
          <w:szCs w:val="24"/>
        </w:rPr>
      </w:pPr>
    </w:p>
    <w:bookmarkEnd w:id="0"/>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文鼎粗黑">
    <w:altName w:val="黑体"/>
    <w:panose1 w:val="00000000000000000000"/>
    <w:charset w:val="86"/>
    <w:family w:val="modern"/>
    <w:pitch w:val="default"/>
    <w:sig w:usb0="00000000" w:usb1="00000000" w:usb2="00000010" w:usb3="00000000" w:csb0="00040000" w:csb1="00000000"/>
  </w:font>
  <w:font w:name="pingfang sc">
    <w:altName w:val="宋体"/>
    <w:panose1 w:val="00000000000000000000"/>
    <w:charset w:val="86"/>
    <w:family w:val="auto"/>
    <w:pitch w:val="default"/>
    <w:sig w:usb0="00000000" w:usb1="00000000" w:usb2="00000017"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9bn7TRAAAAAwEAAA8AAAAAAAAAAQAgAAAA&#10;IgAAAGRycy9kb3ducmV2LnhtbFBLAQIUABQAAAAIAIdO4kDTp4FEEgIAAAUEAAAOAAAAAAAAAAEA&#10;IAAAACABAABkcnMvZTJvRG9jLnhtbFBLBQYAAAAABgAGAFkBAACkBQAAAAA=&#10;">
              <v:fill on="f" focussize="0,0"/>
              <v:stroke on="f" weight="0.5pt"/>
              <v:imagedata o:title=""/>
              <o:lock v:ext="edit" aspectratio="f"/>
              <v:textbox inset="0mm,0mm,0mm,0mm" style="mso-fit-shape-to-text:t;">
                <w:txbxContent>
                  <w:p>
                    <w:pPr>
                      <w:pStyle w:val="36"/>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singleLevel"/>
    <w:tmpl w:val="00000011"/>
    <w:lvl w:ilvl="0" w:tentative="0">
      <w:start w:val="1"/>
      <w:numFmt w:val="decimal"/>
      <w:pStyle w:val="14"/>
      <w:lvlText w:val="%1."/>
      <w:lvlJc w:val="left"/>
      <w:pPr>
        <w:tabs>
          <w:tab w:val="left" w:pos="425"/>
        </w:tabs>
        <w:ind w:left="425" w:hanging="425"/>
      </w:pPr>
      <w:rPr>
        <w:rFonts w:hint="default"/>
      </w:rPr>
    </w:lvl>
  </w:abstractNum>
  <w:abstractNum w:abstractNumId="8">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1">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54A47D3"/>
    <w:multiLevelType w:val="singleLevel"/>
    <w:tmpl w:val="254A47D3"/>
    <w:lvl w:ilvl="0" w:tentative="0">
      <w:start w:val="1"/>
      <w:numFmt w:val="decimal"/>
      <w:suff w:val="nothing"/>
      <w:lvlText w:val="%1、"/>
      <w:lvlJc w:val="left"/>
    </w:lvl>
  </w:abstractNum>
  <w:abstractNum w:abstractNumId="13">
    <w:nsid w:val="628F9547"/>
    <w:multiLevelType w:val="singleLevel"/>
    <w:tmpl w:val="628F9547"/>
    <w:lvl w:ilvl="0" w:tentative="0">
      <w:start w:val="3"/>
      <w:numFmt w:val="chineseCounting"/>
      <w:suff w:val="nothing"/>
      <w:lvlText w:val="%1、"/>
      <w:lvlJc w:val="left"/>
    </w:lvl>
  </w:abstractNum>
  <w:num w:numId="1">
    <w:abstractNumId w:val="7"/>
  </w:num>
  <w:num w:numId="2">
    <w:abstractNumId w:val="3"/>
  </w:num>
  <w:num w:numId="3">
    <w:abstractNumId w:val="9"/>
  </w:num>
  <w:num w:numId="4">
    <w:abstractNumId w:val="5"/>
  </w:num>
  <w:num w:numId="5">
    <w:abstractNumId w:val="1"/>
  </w:num>
  <w:num w:numId="6">
    <w:abstractNumId w:val="8"/>
  </w:num>
  <w:num w:numId="7">
    <w:abstractNumId w:val="10"/>
  </w:num>
  <w:num w:numId="8">
    <w:abstractNumId w:val="2"/>
  </w:num>
  <w:num w:numId="9">
    <w:abstractNumId w:val="6"/>
  </w:num>
  <w:num w:numId="10">
    <w:abstractNumId w:val="11"/>
  </w:num>
  <w:num w:numId="11">
    <w:abstractNumId w:val="0"/>
  </w:num>
  <w:num w:numId="12">
    <w:abstractNumId w:val="4"/>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BE6"/>
    <w:rsid w:val="0001050B"/>
    <w:rsid w:val="000144C9"/>
    <w:rsid w:val="0002088C"/>
    <w:rsid w:val="00033DAB"/>
    <w:rsid w:val="000342CA"/>
    <w:rsid w:val="000370BC"/>
    <w:rsid w:val="000401A2"/>
    <w:rsid w:val="00042D13"/>
    <w:rsid w:val="00056A6E"/>
    <w:rsid w:val="00072D29"/>
    <w:rsid w:val="000831AB"/>
    <w:rsid w:val="0008422C"/>
    <w:rsid w:val="00084C93"/>
    <w:rsid w:val="00086E2C"/>
    <w:rsid w:val="000B4CFC"/>
    <w:rsid w:val="000D5AC6"/>
    <w:rsid w:val="000E03C2"/>
    <w:rsid w:val="000E232C"/>
    <w:rsid w:val="000E3326"/>
    <w:rsid w:val="000F1833"/>
    <w:rsid w:val="0011647C"/>
    <w:rsid w:val="00116BB6"/>
    <w:rsid w:val="00117275"/>
    <w:rsid w:val="001173E3"/>
    <w:rsid w:val="001306AD"/>
    <w:rsid w:val="00136D0F"/>
    <w:rsid w:val="001435CF"/>
    <w:rsid w:val="001445A2"/>
    <w:rsid w:val="0015070D"/>
    <w:rsid w:val="0015525F"/>
    <w:rsid w:val="00165915"/>
    <w:rsid w:val="00166EEA"/>
    <w:rsid w:val="00172A27"/>
    <w:rsid w:val="00173214"/>
    <w:rsid w:val="001765E3"/>
    <w:rsid w:val="001829E7"/>
    <w:rsid w:val="00191E27"/>
    <w:rsid w:val="00192985"/>
    <w:rsid w:val="001A3E64"/>
    <w:rsid w:val="001A5706"/>
    <w:rsid w:val="001E44D9"/>
    <w:rsid w:val="001E73E2"/>
    <w:rsid w:val="001F74AE"/>
    <w:rsid w:val="002122FC"/>
    <w:rsid w:val="0021327B"/>
    <w:rsid w:val="0021595A"/>
    <w:rsid w:val="00223B9B"/>
    <w:rsid w:val="0022691C"/>
    <w:rsid w:val="00226A1A"/>
    <w:rsid w:val="00227B9B"/>
    <w:rsid w:val="002676F5"/>
    <w:rsid w:val="00297EC4"/>
    <w:rsid w:val="002B0676"/>
    <w:rsid w:val="002C7EDF"/>
    <w:rsid w:val="002F2847"/>
    <w:rsid w:val="002F5C86"/>
    <w:rsid w:val="00313FC6"/>
    <w:rsid w:val="00314FE1"/>
    <w:rsid w:val="00316DF3"/>
    <w:rsid w:val="00330491"/>
    <w:rsid w:val="003332D6"/>
    <w:rsid w:val="00333713"/>
    <w:rsid w:val="0033562A"/>
    <w:rsid w:val="003375D0"/>
    <w:rsid w:val="003453EB"/>
    <w:rsid w:val="003609C0"/>
    <w:rsid w:val="003702C0"/>
    <w:rsid w:val="00375908"/>
    <w:rsid w:val="00382DE2"/>
    <w:rsid w:val="003876E3"/>
    <w:rsid w:val="003878EB"/>
    <w:rsid w:val="003A0967"/>
    <w:rsid w:val="003B48D3"/>
    <w:rsid w:val="003C62F8"/>
    <w:rsid w:val="003D7E49"/>
    <w:rsid w:val="003E69B4"/>
    <w:rsid w:val="003E7CAB"/>
    <w:rsid w:val="003F7078"/>
    <w:rsid w:val="003F75E7"/>
    <w:rsid w:val="00415960"/>
    <w:rsid w:val="00421287"/>
    <w:rsid w:val="0043243B"/>
    <w:rsid w:val="00442270"/>
    <w:rsid w:val="0044680D"/>
    <w:rsid w:val="00460545"/>
    <w:rsid w:val="00470F51"/>
    <w:rsid w:val="004916E8"/>
    <w:rsid w:val="00493794"/>
    <w:rsid w:val="00495D1A"/>
    <w:rsid w:val="0049754E"/>
    <w:rsid w:val="004A1198"/>
    <w:rsid w:val="004A2061"/>
    <w:rsid w:val="004A6CE1"/>
    <w:rsid w:val="004B4D5B"/>
    <w:rsid w:val="004C55B8"/>
    <w:rsid w:val="004D15E1"/>
    <w:rsid w:val="004D1A23"/>
    <w:rsid w:val="004D4610"/>
    <w:rsid w:val="00507899"/>
    <w:rsid w:val="005106F8"/>
    <w:rsid w:val="00521F48"/>
    <w:rsid w:val="00531162"/>
    <w:rsid w:val="00537A61"/>
    <w:rsid w:val="00544AC9"/>
    <w:rsid w:val="0055266E"/>
    <w:rsid w:val="0055762B"/>
    <w:rsid w:val="0056207B"/>
    <w:rsid w:val="00562F84"/>
    <w:rsid w:val="00580744"/>
    <w:rsid w:val="005C530A"/>
    <w:rsid w:val="005C7A84"/>
    <w:rsid w:val="005F22A3"/>
    <w:rsid w:val="00610016"/>
    <w:rsid w:val="0062081E"/>
    <w:rsid w:val="00625F79"/>
    <w:rsid w:val="00643888"/>
    <w:rsid w:val="006447E2"/>
    <w:rsid w:val="006452FB"/>
    <w:rsid w:val="0065313C"/>
    <w:rsid w:val="00664DC0"/>
    <w:rsid w:val="00667DF3"/>
    <w:rsid w:val="00675CDE"/>
    <w:rsid w:val="006802F3"/>
    <w:rsid w:val="00684D9B"/>
    <w:rsid w:val="006A2801"/>
    <w:rsid w:val="006A3401"/>
    <w:rsid w:val="006C353F"/>
    <w:rsid w:val="006C7CD3"/>
    <w:rsid w:val="006F70D8"/>
    <w:rsid w:val="00723BC4"/>
    <w:rsid w:val="00727536"/>
    <w:rsid w:val="00731090"/>
    <w:rsid w:val="00740692"/>
    <w:rsid w:val="007442A0"/>
    <w:rsid w:val="00755658"/>
    <w:rsid w:val="00764963"/>
    <w:rsid w:val="00766058"/>
    <w:rsid w:val="00773049"/>
    <w:rsid w:val="00791D34"/>
    <w:rsid w:val="00794A8C"/>
    <w:rsid w:val="007A3A16"/>
    <w:rsid w:val="007B6393"/>
    <w:rsid w:val="007D57AF"/>
    <w:rsid w:val="007E13BD"/>
    <w:rsid w:val="007E1D36"/>
    <w:rsid w:val="007F2A53"/>
    <w:rsid w:val="00854CC0"/>
    <w:rsid w:val="00854ED3"/>
    <w:rsid w:val="00862785"/>
    <w:rsid w:val="00872901"/>
    <w:rsid w:val="008825DA"/>
    <w:rsid w:val="008937A6"/>
    <w:rsid w:val="00894E75"/>
    <w:rsid w:val="008E2E10"/>
    <w:rsid w:val="008F3680"/>
    <w:rsid w:val="009261F0"/>
    <w:rsid w:val="009302D1"/>
    <w:rsid w:val="00936181"/>
    <w:rsid w:val="00936197"/>
    <w:rsid w:val="00940646"/>
    <w:rsid w:val="009415FC"/>
    <w:rsid w:val="009546D9"/>
    <w:rsid w:val="009570EF"/>
    <w:rsid w:val="00962AED"/>
    <w:rsid w:val="00962B1E"/>
    <w:rsid w:val="009710AF"/>
    <w:rsid w:val="0097589B"/>
    <w:rsid w:val="009858DD"/>
    <w:rsid w:val="0099728C"/>
    <w:rsid w:val="009A317C"/>
    <w:rsid w:val="009A770F"/>
    <w:rsid w:val="009B4011"/>
    <w:rsid w:val="009B5C25"/>
    <w:rsid w:val="009C25EB"/>
    <w:rsid w:val="009C273F"/>
    <w:rsid w:val="009C6297"/>
    <w:rsid w:val="009E4DB9"/>
    <w:rsid w:val="009E62CD"/>
    <w:rsid w:val="00A06259"/>
    <w:rsid w:val="00A13D05"/>
    <w:rsid w:val="00A3078D"/>
    <w:rsid w:val="00A56F1E"/>
    <w:rsid w:val="00A614CD"/>
    <w:rsid w:val="00A72706"/>
    <w:rsid w:val="00A80AB7"/>
    <w:rsid w:val="00A8591D"/>
    <w:rsid w:val="00A9133B"/>
    <w:rsid w:val="00AB6465"/>
    <w:rsid w:val="00AC755D"/>
    <w:rsid w:val="00AF3E34"/>
    <w:rsid w:val="00AF70BC"/>
    <w:rsid w:val="00B000A7"/>
    <w:rsid w:val="00B01F29"/>
    <w:rsid w:val="00B0513E"/>
    <w:rsid w:val="00B3337A"/>
    <w:rsid w:val="00B43355"/>
    <w:rsid w:val="00B47D95"/>
    <w:rsid w:val="00B47F90"/>
    <w:rsid w:val="00B60CC0"/>
    <w:rsid w:val="00B60F1F"/>
    <w:rsid w:val="00B730A8"/>
    <w:rsid w:val="00B85F50"/>
    <w:rsid w:val="00B93A95"/>
    <w:rsid w:val="00BA1F2C"/>
    <w:rsid w:val="00BB0DB0"/>
    <w:rsid w:val="00BB3E0F"/>
    <w:rsid w:val="00BB3F7A"/>
    <w:rsid w:val="00BC4CA6"/>
    <w:rsid w:val="00BD5A39"/>
    <w:rsid w:val="00BF23A8"/>
    <w:rsid w:val="00BF771D"/>
    <w:rsid w:val="00C0607C"/>
    <w:rsid w:val="00C14479"/>
    <w:rsid w:val="00C34570"/>
    <w:rsid w:val="00C428FA"/>
    <w:rsid w:val="00C83661"/>
    <w:rsid w:val="00C909A2"/>
    <w:rsid w:val="00CA2562"/>
    <w:rsid w:val="00CB395B"/>
    <w:rsid w:val="00CC15A7"/>
    <w:rsid w:val="00CC4F85"/>
    <w:rsid w:val="00CD3B75"/>
    <w:rsid w:val="00CD410E"/>
    <w:rsid w:val="00CD444E"/>
    <w:rsid w:val="00D10115"/>
    <w:rsid w:val="00D216E7"/>
    <w:rsid w:val="00D21D58"/>
    <w:rsid w:val="00D226A5"/>
    <w:rsid w:val="00D2377C"/>
    <w:rsid w:val="00D40159"/>
    <w:rsid w:val="00D858CC"/>
    <w:rsid w:val="00DA4850"/>
    <w:rsid w:val="00DC044C"/>
    <w:rsid w:val="00DC165B"/>
    <w:rsid w:val="00DC5631"/>
    <w:rsid w:val="00DD52AC"/>
    <w:rsid w:val="00DF02E6"/>
    <w:rsid w:val="00E02B47"/>
    <w:rsid w:val="00E17A14"/>
    <w:rsid w:val="00E2740B"/>
    <w:rsid w:val="00E40564"/>
    <w:rsid w:val="00E45B7C"/>
    <w:rsid w:val="00E46A0A"/>
    <w:rsid w:val="00E54E2D"/>
    <w:rsid w:val="00E670E8"/>
    <w:rsid w:val="00E863F1"/>
    <w:rsid w:val="00E90390"/>
    <w:rsid w:val="00EA4FB6"/>
    <w:rsid w:val="00EB6C11"/>
    <w:rsid w:val="00ED6923"/>
    <w:rsid w:val="00F10101"/>
    <w:rsid w:val="00F22C22"/>
    <w:rsid w:val="00F91500"/>
    <w:rsid w:val="00FC7767"/>
    <w:rsid w:val="00FD14FB"/>
    <w:rsid w:val="00FD1C1C"/>
    <w:rsid w:val="00FD2836"/>
    <w:rsid w:val="00FF7DDB"/>
    <w:rsid w:val="03B304B1"/>
    <w:rsid w:val="07282D85"/>
    <w:rsid w:val="07610150"/>
    <w:rsid w:val="08ED3546"/>
    <w:rsid w:val="0B76511C"/>
    <w:rsid w:val="0B783E80"/>
    <w:rsid w:val="0BAA1613"/>
    <w:rsid w:val="0EFE3F6B"/>
    <w:rsid w:val="101E0686"/>
    <w:rsid w:val="19317FFC"/>
    <w:rsid w:val="1BB562F9"/>
    <w:rsid w:val="1C0E01AF"/>
    <w:rsid w:val="27C33D38"/>
    <w:rsid w:val="2A9A00C1"/>
    <w:rsid w:val="2D743EA7"/>
    <w:rsid w:val="2F616C65"/>
    <w:rsid w:val="31D874D8"/>
    <w:rsid w:val="34CC3626"/>
    <w:rsid w:val="39D961DF"/>
    <w:rsid w:val="3EDB7D99"/>
    <w:rsid w:val="3FCD46EF"/>
    <w:rsid w:val="402D260C"/>
    <w:rsid w:val="411B1F4A"/>
    <w:rsid w:val="427A6CBF"/>
    <w:rsid w:val="43260821"/>
    <w:rsid w:val="45FB04BF"/>
    <w:rsid w:val="4AEE7463"/>
    <w:rsid w:val="4BC9209C"/>
    <w:rsid w:val="4E99569F"/>
    <w:rsid w:val="5A9515D1"/>
    <w:rsid w:val="5AB34F7B"/>
    <w:rsid w:val="5B8C0E98"/>
    <w:rsid w:val="5BFDB513"/>
    <w:rsid w:val="60B563FF"/>
    <w:rsid w:val="639635F7"/>
    <w:rsid w:val="652A4768"/>
    <w:rsid w:val="65F91B55"/>
    <w:rsid w:val="67B15328"/>
    <w:rsid w:val="71287CA7"/>
    <w:rsid w:val="7183443D"/>
    <w:rsid w:val="751E519F"/>
    <w:rsid w:val="75C25B65"/>
    <w:rsid w:val="76DB3120"/>
    <w:rsid w:val="774852B6"/>
    <w:rsid w:val="7927265A"/>
    <w:rsid w:val="7B214D90"/>
    <w:rsid w:val="7DAB6BB7"/>
    <w:rsid w:val="7F315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93"/>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97"/>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5"/>
    <w:qFormat/>
    <w:uiPriority w:val="0"/>
    <w:pPr>
      <w:adjustRightInd w:val="0"/>
      <w:spacing w:line="360" w:lineRule="atLeast"/>
      <w:jc w:val="left"/>
      <w:textAlignment w:val="baseline"/>
    </w:pPr>
    <w:rPr>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w:basedOn w:val="1"/>
    <w:qFormat/>
    <w:uiPriority w:val="0"/>
    <w:rPr>
      <w:rFonts w:ascii="仿宋_GB2312" w:eastAsia="仿宋_GB2312"/>
      <w:sz w:val="32"/>
    </w:rPr>
  </w:style>
  <w:style w:type="paragraph" w:styleId="24">
    <w:name w:val="Body Text Indent"/>
    <w:basedOn w:val="1"/>
    <w:link w:val="82"/>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89"/>
    <w:qFormat/>
    <w:uiPriority w:val="0"/>
    <w:rPr>
      <w:rFonts w:ascii="宋体" w:hAnsi="Courier New"/>
    </w:rPr>
  </w:style>
  <w:style w:type="paragraph" w:styleId="32">
    <w:name w:val="toc 8"/>
    <w:basedOn w:val="1"/>
    <w:next w:val="1"/>
    <w:qFormat/>
    <w:uiPriority w:val="0"/>
    <w:pPr>
      <w:ind w:left="2940" w:leftChars="1400"/>
    </w:pPr>
  </w:style>
  <w:style w:type="paragraph" w:styleId="33">
    <w:name w:val="Date"/>
    <w:basedOn w:val="1"/>
    <w:next w:val="1"/>
    <w:link w:val="109"/>
    <w:qFormat/>
    <w:uiPriority w:val="99"/>
  </w:style>
  <w:style w:type="paragraph" w:styleId="34">
    <w:name w:val="Body Text Indent 2"/>
    <w:basedOn w:val="1"/>
    <w:link w:val="71"/>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85"/>
    <w:qFormat/>
    <w:uiPriority w:val="0"/>
    <w:pPr>
      <w:tabs>
        <w:tab w:val="center" w:pos="4153"/>
        <w:tab w:val="right" w:pos="8306"/>
      </w:tabs>
      <w:snapToGrid w:val="0"/>
      <w:jc w:val="left"/>
    </w:pPr>
    <w:rPr>
      <w:sz w:val="18"/>
    </w:rPr>
  </w:style>
  <w:style w:type="paragraph" w:styleId="37">
    <w:name w:val="header"/>
    <w:basedOn w:val="1"/>
    <w:link w:val="11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69"/>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link w:val="74"/>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1"/>
    <w:qFormat/>
    <w:uiPriority w:val="0"/>
    <w:pPr>
      <w:spacing w:after="120" w:line="240" w:lineRule="auto"/>
      <w:ind w:left="420" w:leftChars="200" w:firstLine="420" w:firstLineChars="200"/>
    </w:pPr>
  </w:style>
  <w:style w:type="table" w:styleId="59">
    <w:name w:val="Table Grid"/>
    <w:basedOn w:val="5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basedOn w:val="60"/>
    <w:qFormat/>
    <w:uiPriority w:val="0"/>
  </w:style>
  <w:style w:type="character" w:styleId="63">
    <w:name w:val="FollowedHyperlink"/>
    <w:qFormat/>
    <w:uiPriority w:val="0"/>
    <w:rPr>
      <w:color w:val="333333"/>
      <w:u w:val="none"/>
    </w:rPr>
  </w:style>
  <w:style w:type="character" w:styleId="64">
    <w:name w:val="Emphasis"/>
    <w:qFormat/>
    <w:uiPriority w:val="0"/>
    <w:rPr>
      <w:i/>
    </w:rPr>
  </w:style>
  <w:style w:type="character" w:styleId="65">
    <w:name w:val="Hyperlink"/>
    <w:qFormat/>
    <w:uiPriority w:val="99"/>
    <w:rPr>
      <w:color w:val="333333"/>
      <w:u w:val="non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Char Char6"/>
    <w:qFormat/>
    <w:uiPriority w:val="0"/>
    <w:rPr>
      <w:rFonts w:ascii="仿宋_GB2312" w:eastAsia="仿宋_GB2312"/>
      <w:kern w:val="2"/>
      <w:sz w:val="32"/>
    </w:rPr>
  </w:style>
  <w:style w:type="character" w:customStyle="1" w:styleId="69">
    <w:name w:val="脚注文本 字符"/>
    <w:link w:val="41"/>
    <w:qFormat/>
    <w:uiPriority w:val="0"/>
    <w:rPr>
      <w:kern w:val="2"/>
      <w:sz w:val="18"/>
    </w:rPr>
  </w:style>
  <w:style w:type="character" w:customStyle="1" w:styleId="70">
    <w:name w:val="Char Char2"/>
    <w:qFormat/>
    <w:uiPriority w:val="0"/>
    <w:rPr>
      <w:rFonts w:eastAsia="宋体"/>
      <w:kern w:val="2"/>
      <w:sz w:val="18"/>
      <w:lang w:val="en-US" w:eastAsia="zh-CN"/>
    </w:rPr>
  </w:style>
  <w:style w:type="character" w:customStyle="1" w:styleId="71">
    <w:name w:val="正文文本缩进 2 字符"/>
    <w:link w:val="34"/>
    <w:qFormat/>
    <w:uiPriority w:val="0"/>
    <w:rPr>
      <w:kern w:val="2"/>
      <w:sz w:val="28"/>
    </w:rPr>
  </w:style>
  <w:style w:type="character" w:customStyle="1" w:styleId="72">
    <w:name w:val="Char Char"/>
    <w:qFormat/>
    <w:uiPriority w:val="0"/>
    <w:rPr>
      <w:rFonts w:ascii="宋体" w:hAnsi="宋体" w:eastAsia="宋体"/>
      <w:kern w:val="2"/>
      <w:sz w:val="24"/>
      <w:lang w:val="en-US" w:eastAsia="zh-CN" w:bidi="ar-SA"/>
    </w:rPr>
  </w:style>
  <w:style w:type="character" w:customStyle="1" w:styleId="73">
    <w:name w:val="Table Text Char"/>
    <w:qFormat/>
    <w:uiPriority w:val="0"/>
    <w:rPr>
      <w:rFonts w:ascii="Arial" w:hAnsi="Arial"/>
      <w:kern w:val="2"/>
      <w:sz w:val="18"/>
      <w:lang w:val="en-US" w:eastAsia="zh-CN" w:bidi="ar-SA"/>
    </w:rPr>
  </w:style>
  <w:style w:type="character" w:customStyle="1" w:styleId="74">
    <w:name w:val="批注主题 字符"/>
    <w:basedOn w:val="75"/>
    <w:link w:val="55"/>
    <w:qFormat/>
    <w:uiPriority w:val="0"/>
    <w:rPr>
      <w:sz w:val="24"/>
    </w:rPr>
  </w:style>
  <w:style w:type="character" w:customStyle="1" w:styleId="75">
    <w:name w:val="批注文字 字符1"/>
    <w:link w:val="20"/>
    <w:qFormat/>
    <w:uiPriority w:val="0"/>
    <w:rPr>
      <w:sz w:val="24"/>
    </w:rPr>
  </w:style>
  <w:style w:type="character" w:customStyle="1" w:styleId="76">
    <w:name w:val="标书正文:  0.74 厘米 Char1"/>
    <w:qFormat/>
    <w:uiPriority w:val="0"/>
    <w:rPr>
      <w:rFonts w:eastAsia="宋体"/>
      <w:kern w:val="2"/>
      <w:sz w:val="24"/>
      <w:lang w:val="en-US" w:eastAsia="zh-CN"/>
    </w:rPr>
  </w:style>
  <w:style w:type="character" w:customStyle="1" w:styleId="77">
    <w:name w:val="Char Char11"/>
    <w:qFormat/>
    <w:uiPriority w:val="0"/>
    <w:rPr>
      <w:rFonts w:ascii="宋体"/>
      <w:kern w:val="2"/>
      <w:sz w:val="28"/>
    </w:rPr>
  </w:style>
  <w:style w:type="character" w:customStyle="1" w:styleId="78">
    <w:name w:val="Char Char7"/>
    <w:qFormat/>
    <w:uiPriority w:val="0"/>
    <w:rPr>
      <w:rFonts w:ascii="宋体" w:hAnsi="宋体" w:eastAsia="宋体"/>
      <w:kern w:val="2"/>
      <w:sz w:val="28"/>
    </w:rPr>
  </w:style>
  <w:style w:type="character" w:customStyle="1" w:styleId="79">
    <w:name w:val="文字 Char"/>
    <w:qFormat/>
    <w:uiPriority w:val="0"/>
    <w:rPr>
      <w:rFonts w:ascii="宋体"/>
      <w:kern w:val="2"/>
      <w:sz w:val="28"/>
    </w:rPr>
  </w:style>
  <w:style w:type="character" w:customStyle="1" w:styleId="80">
    <w:name w:val="Char Char5"/>
    <w:qFormat/>
    <w:uiPriority w:val="0"/>
    <w:rPr>
      <w:rFonts w:ascii="Arial" w:hAnsi="Arial" w:eastAsia="宋体"/>
      <w:b/>
      <w:smallCaps/>
      <w:kern w:val="28"/>
      <w:sz w:val="36"/>
      <w:lang w:val="en-US" w:eastAsia="en-US"/>
    </w:rPr>
  </w:style>
  <w:style w:type="character" w:customStyle="1" w:styleId="81">
    <w:name w:val="正文首行缩进 2 字符"/>
    <w:basedOn w:val="82"/>
    <w:link w:val="57"/>
    <w:qFormat/>
    <w:uiPriority w:val="0"/>
    <w:rPr>
      <w:kern w:val="2"/>
      <w:sz w:val="44"/>
    </w:rPr>
  </w:style>
  <w:style w:type="character" w:customStyle="1" w:styleId="82">
    <w:name w:val="正文文本缩进 字符"/>
    <w:link w:val="24"/>
    <w:qFormat/>
    <w:uiPriority w:val="0"/>
    <w:rPr>
      <w:kern w:val="2"/>
      <w:sz w:val="44"/>
    </w:rPr>
  </w:style>
  <w:style w:type="character" w:customStyle="1" w:styleId="83">
    <w:name w:val="font61"/>
    <w:qFormat/>
    <w:uiPriority w:val="0"/>
    <w:rPr>
      <w:rFonts w:hint="eastAsia" w:ascii="微软雅黑" w:hAnsi="微软雅黑" w:eastAsia="微软雅黑" w:cs="微软雅黑"/>
      <w:color w:val="000000"/>
      <w:sz w:val="24"/>
      <w:szCs w:val="24"/>
      <w:u w:val="none"/>
    </w:rPr>
  </w:style>
  <w:style w:type="character" w:customStyle="1" w:styleId="84">
    <w:name w:val="title_emph1"/>
    <w:qFormat/>
    <w:uiPriority w:val="0"/>
    <w:rPr>
      <w:rFonts w:hint="default" w:ascii="Arial" w:hAnsi="Arial"/>
      <w:b/>
      <w:sz w:val="20"/>
    </w:rPr>
  </w:style>
  <w:style w:type="character" w:customStyle="1" w:styleId="85">
    <w:name w:val="页脚 字符"/>
    <w:link w:val="36"/>
    <w:qFormat/>
    <w:uiPriority w:val="99"/>
    <w:rPr>
      <w:kern w:val="2"/>
      <w:sz w:val="18"/>
    </w:rPr>
  </w:style>
  <w:style w:type="character" w:customStyle="1" w:styleId="86">
    <w:name w:val="Comment Text Char"/>
    <w:semiHidden/>
    <w:qFormat/>
    <w:locked/>
    <w:uiPriority w:val="0"/>
    <w:rPr>
      <w:rFonts w:ascii="Times New Roman" w:hAnsi="Times New Roman" w:cs="Times New Roman"/>
      <w:sz w:val="20"/>
      <w:szCs w:val="20"/>
    </w:rPr>
  </w:style>
  <w:style w:type="character" w:customStyle="1" w:styleId="87">
    <w:name w:val="v151"/>
    <w:qFormat/>
    <w:uiPriority w:val="0"/>
    <w:rPr>
      <w:sz w:val="18"/>
    </w:rPr>
  </w:style>
  <w:style w:type="character" w:customStyle="1" w:styleId="88">
    <w:name w:val="font1"/>
    <w:qFormat/>
    <w:uiPriority w:val="0"/>
    <w:rPr>
      <w:color w:val="000000"/>
      <w:sz w:val="18"/>
    </w:rPr>
  </w:style>
  <w:style w:type="character" w:customStyle="1" w:styleId="89">
    <w:name w:val="纯文本 字符"/>
    <w:link w:val="31"/>
    <w:qFormat/>
    <w:locked/>
    <w:uiPriority w:val="99"/>
    <w:rPr>
      <w:rFonts w:ascii="宋体" w:hAnsi="Courier New"/>
      <w:kern w:val="2"/>
      <w:sz w:val="21"/>
    </w:rPr>
  </w:style>
  <w:style w:type="character" w:customStyle="1" w:styleId="90">
    <w:name w:val="Char Char Char Char Char Char Char Char Char"/>
    <w:qFormat/>
    <w:uiPriority w:val="0"/>
    <w:rPr>
      <w:rFonts w:ascii="宋体" w:hAnsi="宋体" w:eastAsia="宋体"/>
      <w:kern w:val="2"/>
      <w:sz w:val="24"/>
      <w:lang w:val="en-US" w:eastAsia="zh-CN" w:bidi="ar-SA"/>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字符1"/>
    <w:link w:val="4"/>
    <w:qFormat/>
    <w:uiPriority w:val="0"/>
    <w:rPr>
      <w:rFonts w:ascii="Arial" w:hAnsi="Arial" w:eastAsia="黑体"/>
      <w:b/>
      <w:kern w:val="2"/>
      <w:sz w:val="32"/>
    </w:rPr>
  </w:style>
  <w:style w:type="character" w:customStyle="1" w:styleId="94">
    <w:name w:val="H2 Char"/>
    <w:qFormat/>
    <w:uiPriority w:val="0"/>
    <w:rPr>
      <w:rFonts w:ascii="Arial" w:hAnsi="Arial" w:eastAsia="宋体"/>
      <w:kern w:val="2"/>
      <w:sz w:val="28"/>
      <w:lang w:val="en-US" w:eastAsia="zh-CN"/>
    </w:rPr>
  </w:style>
  <w:style w:type="character" w:customStyle="1" w:styleId="95">
    <w:name w:val="top-det1"/>
    <w:qFormat/>
    <w:uiPriority w:val="0"/>
    <w:rPr>
      <w:b/>
      <w:color w:val="000000"/>
    </w:rPr>
  </w:style>
  <w:style w:type="character" w:customStyle="1" w:styleId="96">
    <w:name w:val="批注文字 字符"/>
    <w:qFormat/>
    <w:uiPriority w:val="0"/>
    <w:rPr>
      <w:sz w:val="24"/>
    </w:rPr>
  </w:style>
  <w:style w:type="character" w:customStyle="1" w:styleId="97">
    <w:name w:val="标题 3 字符1"/>
    <w:link w:val="5"/>
    <w:qFormat/>
    <w:uiPriority w:val="0"/>
    <w:rPr>
      <w:rFonts w:eastAsia="宋体"/>
      <w:b/>
      <w:kern w:val="2"/>
      <w:sz w:val="32"/>
      <w:lang w:val="en-US" w:eastAsia="zh-CN"/>
    </w:rPr>
  </w:style>
  <w:style w:type="character" w:customStyle="1" w:styleId="98">
    <w:name w:val="crowed11"/>
    <w:qFormat/>
    <w:uiPriority w:val="0"/>
    <w:rPr>
      <w:rFonts w:hint="default"/>
      <w:sz w:val="24"/>
    </w:rPr>
  </w:style>
  <w:style w:type="character" w:customStyle="1" w:styleId="99">
    <w:name w:val="Table Text Char1 Char"/>
    <w:qFormat/>
    <w:uiPriority w:val="0"/>
    <w:rPr>
      <w:rFonts w:ascii="Arial" w:hAnsi="Arial"/>
      <w:kern w:val="2"/>
      <w:sz w:val="18"/>
      <w:lang w:val="en-US" w:eastAsia="zh-CN" w:bidi="ar-SA"/>
    </w:rPr>
  </w:style>
  <w:style w:type="character" w:customStyle="1" w:styleId="100">
    <w:name w:val="标题 2 字符"/>
    <w:qFormat/>
    <w:uiPriority w:val="99"/>
    <w:rPr>
      <w:rFonts w:ascii="Arial" w:hAnsi="Arial" w:eastAsia="黑体"/>
      <w:b/>
      <w:kern w:val="2"/>
      <w:sz w:val="32"/>
    </w:rPr>
  </w:style>
  <w:style w:type="character" w:customStyle="1" w:styleId="101">
    <w:name w:val="Table Heading Char Char"/>
    <w:qFormat/>
    <w:uiPriority w:val="0"/>
    <w:rPr>
      <w:rFonts w:ascii="Arial" w:hAnsi="Arial" w:eastAsia="黑体"/>
      <w:kern w:val="2"/>
      <w:sz w:val="18"/>
      <w:lang w:val="en-US" w:eastAsia="zh-CN"/>
    </w:rPr>
  </w:style>
  <w:style w:type="character" w:customStyle="1" w:styleId="102">
    <w:name w:val="文字 Char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样式 宋体"/>
    <w:qFormat/>
    <w:uiPriority w:val="0"/>
    <w:rPr>
      <w:rFonts w:ascii="宋体" w:hAnsi="宋体" w:eastAsia="宋体"/>
      <w:sz w:val="28"/>
    </w:rPr>
  </w:style>
  <w:style w:type="character" w:customStyle="1" w:styleId="105">
    <w:name w:val="正文 + 三号 Char"/>
    <w:qFormat/>
    <w:uiPriority w:val="0"/>
    <w:rPr>
      <w:rFonts w:eastAsia="宋体"/>
      <w:kern w:val="2"/>
      <w:sz w:val="21"/>
      <w:lang w:val="en-US" w:eastAsia="zh-CN"/>
    </w:rPr>
  </w:style>
  <w:style w:type="character" w:customStyle="1" w:styleId="106">
    <w:name w:val="小 Char"/>
    <w:qFormat/>
    <w:uiPriority w:val="0"/>
    <w:rPr>
      <w:rFonts w:ascii="宋体" w:hAnsi="Courier New" w:eastAsia="宋体"/>
      <w:kern w:val="2"/>
      <w:sz w:val="21"/>
      <w:lang w:val="en-US" w:eastAsia="zh-CN" w:bidi="ar-SA"/>
    </w:rPr>
  </w:style>
  <w:style w:type="character" w:customStyle="1" w:styleId="107">
    <w:name w:val="标题 3 字符"/>
    <w:qFormat/>
    <w:uiPriority w:val="0"/>
    <w:rPr>
      <w:rFonts w:eastAsia="宋体"/>
      <w:b/>
      <w:kern w:val="2"/>
      <w:sz w:val="32"/>
      <w:lang w:val="en-US" w:eastAsia="zh-CN"/>
    </w:rPr>
  </w:style>
  <w:style w:type="character" w:customStyle="1" w:styleId="108">
    <w:name w:val="content-white1"/>
    <w:qFormat/>
    <w:uiPriority w:val="0"/>
    <w:rPr>
      <w:color w:val="auto"/>
      <w:sz w:val="18"/>
      <w:u w:val="none"/>
    </w:rPr>
  </w:style>
  <w:style w:type="character" w:customStyle="1" w:styleId="109">
    <w:name w:val="日期 字符"/>
    <w:link w:val="33"/>
    <w:qFormat/>
    <w:uiPriority w:val="99"/>
    <w:rPr>
      <w:kern w:val="2"/>
      <w:sz w:val="28"/>
    </w:rPr>
  </w:style>
  <w:style w:type="character" w:customStyle="1" w:styleId="110">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字符"/>
    <w:link w:val="37"/>
    <w:qFormat/>
    <w:uiPriority w:val="99"/>
    <w:rPr>
      <w:kern w:val="2"/>
      <w:sz w:val="18"/>
    </w:rPr>
  </w:style>
  <w:style w:type="character" w:customStyle="1" w:styleId="112">
    <w:name w:val="Char Char4"/>
    <w:qFormat/>
    <w:uiPriority w:val="0"/>
    <w:rPr>
      <w:rFonts w:eastAsia="宋体"/>
      <w:b/>
      <w:kern w:val="2"/>
      <w:sz w:val="21"/>
      <w:lang w:val="en-US" w:eastAsia="zh-CN"/>
    </w:rPr>
  </w:style>
  <w:style w:type="character" w:customStyle="1" w:styleId="113">
    <w:name w:val="未命名11"/>
    <w:qFormat/>
    <w:uiPriority w:val="0"/>
    <w:rPr>
      <w:color w:val="77FFFF"/>
      <w:sz w:val="24"/>
    </w:rPr>
  </w:style>
  <w:style w:type="character" w:customStyle="1" w:styleId="114">
    <w:name w:val="font21"/>
    <w:qFormat/>
    <w:uiPriority w:val="0"/>
    <w:rPr>
      <w:rFonts w:hint="default" w:ascii="Times New Roman" w:hAnsi="Times New Roman" w:cs="Times New Roman"/>
      <w:color w:val="000000"/>
      <w:sz w:val="24"/>
      <w:szCs w:val="24"/>
      <w:u w:val="none"/>
    </w:rPr>
  </w:style>
  <w:style w:type="character" w:customStyle="1" w:styleId="115">
    <w:name w:val="Char Char3"/>
    <w:qFormat/>
    <w:uiPriority w:val="0"/>
    <w:rPr>
      <w:rFonts w:eastAsia="宋体"/>
      <w:kern w:val="2"/>
      <w:sz w:val="18"/>
      <w:lang w:val="en-US" w:eastAsia="zh-CN"/>
    </w:rPr>
  </w:style>
  <w:style w:type="character" w:customStyle="1" w:styleId="116">
    <w:name w:val="Table Text Char1 Char Char"/>
    <w:qFormat/>
    <w:uiPriority w:val="0"/>
    <w:rPr>
      <w:rFonts w:ascii="Arial" w:hAnsi="Arial"/>
      <w:kern w:val="2"/>
      <w:sz w:val="18"/>
      <w:lang w:val="en-US" w:eastAsia="zh-CN" w:bidi="ar-SA"/>
    </w:rPr>
  </w:style>
  <w:style w:type="paragraph" w:customStyle="1" w:styleId="11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8"/>
    <w:qFormat/>
    <w:uiPriority w:val="0"/>
    <w:rPr>
      <w:rFonts w:ascii="Tahoma" w:hAnsi="Tahoma"/>
      <w:sz w:val="24"/>
    </w:rPr>
  </w:style>
  <w:style w:type="paragraph" w:customStyle="1" w:styleId="12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qFormat/>
    <w:uiPriority w:val="0"/>
    <w:pPr>
      <w:widowControl/>
      <w:spacing w:before="100" w:beforeAutospacing="1" w:after="100" w:afterAutospacing="1"/>
      <w:jc w:val="left"/>
    </w:pPr>
    <w:rPr>
      <w:rFonts w:ascii="宋体" w:hAnsi="宋体"/>
      <w:kern w:val="0"/>
    </w:rPr>
  </w:style>
  <w:style w:type="paragraph" w:customStyle="1" w:styleId="124">
    <w:name w:val="样式 宋体 五号 行距: 单倍行距"/>
    <w:basedOn w:val="1"/>
    <w:qFormat/>
    <w:uiPriority w:val="0"/>
    <w:pPr>
      <w:adjustRightInd w:val="0"/>
      <w:jc w:val="left"/>
    </w:pPr>
    <w:rPr>
      <w:rFonts w:ascii="宋体" w:hAnsi="宋体"/>
      <w:kern w:val="0"/>
    </w:rPr>
  </w:style>
  <w:style w:type="paragraph" w:customStyle="1" w:styleId="125">
    <w:name w:val="正文表格"/>
    <w:basedOn w:val="1"/>
    <w:qFormat/>
    <w:uiPriority w:val="0"/>
    <w:pPr>
      <w:adjustRightInd w:val="0"/>
      <w:spacing w:before="40" w:after="40"/>
    </w:pPr>
    <w:rPr>
      <w:sz w:val="24"/>
    </w:rPr>
  </w:style>
  <w:style w:type="paragraph" w:customStyle="1" w:styleId="126">
    <w:name w:val="Char1 Char Char Char"/>
    <w:basedOn w:val="1"/>
    <w:qFormat/>
    <w:uiPriority w:val="0"/>
    <w:rPr>
      <w:rFonts w:ascii="Tahoma" w:hAnsi="Tahoma"/>
      <w:sz w:val="24"/>
    </w:rPr>
  </w:style>
  <w:style w:type="paragraph" w:customStyle="1" w:styleId="127">
    <w:name w:val="af"/>
    <w:basedOn w:val="1"/>
    <w:qFormat/>
    <w:uiPriority w:val="0"/>
    <w:pPr>
      <w:widowControl/>
      <w:spacing w:line="300" w:lineRule="atLeast"/>
      <w:jc w:val="left"/>
    </w:pPr>
    <w:rPr>
      <w:rFonts w:ascii="宋体" w:hAnsi="宋体"/>
      <w:kern w:val="0"/>
      <w:sz w:val="18"/>
    </w:rPr>
  </w:style>
  <w:style w:type="paragraph" w:customStyle="1" w:styleId="128">
    <w:name w:val="Title - Revision"/>
    <w:basedOn w:val="54"/>
    <w:qFormat/>
    <w:uiPriority w:val="0"/>
    <w:pPr>
      <w:spacing w:before="720"/>
    </w:p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Title - Date"/>
    <w:basedOn w:val="54"/>
    <w:next w:val="1"/>
    <w:qFormat/>
    <w:uiPriority w:val="0"/>
    <w:pPr>
      <w:spacing w:before="240" w:after="720"/>
    </w:pPr>
    <w:rPr>
      <w:sz w:val="28"/>
    </w:rPr>
  </w:style>
  <w:style w:type="paragraph" w:customStyle="1" w:styleId="131">
    <w:name w:val="00"/>
    <w:basedOn w:val="1"/>
    <w:qFormat/>
    <w:uiPriority w:val="0"/>
    <w:pPr>
      <w:autoSpaceDE w:val="0"/>
      <w:autoSpaceDN w:val="0"/>
      <w:adjustRightInd w:val="0"/>
      <w:jc w:val="left"/>
    </w:pPr>
    <w:rPr>
      <w:rFonts w:ascii="黑体" w:eastAsia="黑体"/>
      <w:b/>
      <w:kern w:val="0"/>
      <w:sz w:val="20"/>
    </w:rPr>
  </w:style>
  <w:style w:type="paragraph" w:customStyle="1" w:styleId="13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6">
    <w:name w:val="正文文本缩进 21"/>
    <w:basedOn w:val="1"/>
    <w:qFormat/>
    <w:uiPriority w:val="0"/>
    <w:pPr>
      <w:adjustRightInd w:val="0"/>
      <w:spacing w:before="120"/>
      <w:ind w:firstLine="420"/>
      <w:textAlignment w:val="baseline"/>
    </w:pPr>
    <w:rPr>
      <w:sz w:val="24"/>
    </w:rPr>
  </w:style>
  <w:style w:type="paragraph" w:customStyle="1" w:styleId="137">
    <w:name w:val="IN Step"/>
    <w:basedOn w:val="1"/>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4"/>
    <w:qFormat/>
    <w:uiPriority w:val="0"/>
    <w:pPr>
      <w:spacing w:before="60" w:after="60" w:line="360" w:lineRule="auto"/>
      <w:ind w:left="0" w:firstLine="482"/>
    </w:pPr>
    <w:rPr>
      <w:rFonts w:ascii="Arial" w:hAnsi="Arial"/>
      <w:sz w:val="24"/>
    </w:rPr>
  </w:style>
  <w:style w:type="paragraph" w:customStyle="1" w:styleId="141">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42">
    <w:name w:val="表头文本"/>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6">
    <w:name w:val="Char Char Char Char Char Char Char Char Char Char Char Char Char Char Char Char"/>
    <w:basedOn w:val="1"/>
    <w:qFormat/>
    <w:uiPriority w:val="0"/>
    <w:pPr>
      <w:tabs>
        <w:tab w:val="left" w:pos="360"/>
      </w:tabs>
    </w:pPr>
    <w:rPr>
      <w:sz w:val="24"/>
    </w:rPr>
  </w:style>
  <w:style w:type="paragraph" w:customStyle="1" w:styleId="147">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表头样式"/>
    <w:basedOn w:val="1"/>
    <w:qFormat/>
    <w:uiPriority w:val="0"/>
    <w:pPr>
      <w:autoSpaceDE w:val="0"/>
      <w:autoSpaceDN w:val="0"/>
      <w:adjustRightInd w:val="0"/>
      <w:spacing w:line="360" w:lineRule="auto"/>
      <w:jc w:val="left"/>
    </w:pPr>
    <w:rPr>
      <w:b/>
      <w:kern w:val="0"/>
    </w:rPr>
  </w:style>
  <w:style w:type="paragraph" w:customStyle="1" w:styleId="15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1"/>
    <w:qFormat/>
    <w:uiPriority w:val="0"/>
    <w:pPr>
      <w:adjustRightInd w:val="0"/>
    </w:pPr>
    <w:rPr>
      <w:color w:val="000000"/>
      <w:lang w:val="en-GB"/>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qFormat/>
    <w:uiPriority w:val="0"/>
    <w:pPr>
      <w:spacing w:before="156" w:beforeLines="50" w:line="360" w:lineRule="auto"/>
      <w:ind w:firstLine="200" w:firstLineChars="200"/>
    </w:pPr>
    <w:rPr>
      <w:spacing w:val="2"/>
      <w:sz w:val="24"/>
    </w:rPr>
  </w:style>
  <w:style w:type="paragraph" w:customStyle="1" w:styleId="159">
    <w:name w:val="文章正文"/>
    <w:basedOn w:val="1"/>
    <w:qFormat/>
    <w:uiPriority w:val="0"/>
    <w:pPr>
      <w:ind w:firstLine="560" w:firstLineChars="200"/>
    </w:pPr>
    <w:rPr>
      <w:rFonts w:ascii="仿宋_GB2312" w:hAnsi="宋体" w:eastAsia="仿宋_GB2312"/>
      <w:color w:val="000000"/>
    </w:rPr>
  </w:style>
  <w:style w:type="paragraph" w:customStyle="1" w:styleId="160">
    <w:name w:val="Char"/>
    <w:basedOn w:val="1"/>
    <w:qFormat/>
    <w:uiPriority w:val="0"/>
    <w:pPr>
      <w:spacing w:line="240" w:lineRule="atLeast"/>
      <w:ind w:left="420" w:firstLine="420"/>
    </w:pPr>
    <w:rPr>
      <w:kern w:val="0"/>
    </w:rPr>
  </w:style>
  <w:style w:type="paragraph" w:customStyle="1" w:styleId="161">
    <w:name w:val="列表项目"/>
    <w:basedOn w:val="1"/>
    <w:qFormat/>
    <w:uiPriority w:val="0"/>
    <w:pPr>
      <w:tabs>
        <w:tab w:val="left" w:pos="420"/>
      </w:tabs>
      <w:spacing w:line="288" w:lineRule="auto"/>
      <w:ind w:left="840" w:leftChars="200" w:hanging="420" w:hangingChars="200"/>
    </w:pPr>
  </w:style>
  <w:style w:type="paragraph" w:customStyle="1" w:styleId="162">
    <w:name w:val="列出段落1"/>
    <w:next w:val="17"/>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可研正文"/>
    <w:basedOn w:val="23"/>
    <w:qFormat/>
    <w:uiPriority w:val="0"/>
    <w:pPr>
      <w:adjustRightInd w:val="0"/>
      <w:snapToGrid w:val="0"/>
      <w:spacing w:line="440" w:lineRule="exact"/>
      <w:ind w:firstLine="567"/>
    </w:pPr>
    <w:rPr>
      <w:sz w:val="28"/>
    </w:rPr>
  </w:style>
  <w:style w:type="paragraph" w:customStyle="1" w:styleId="167">
    <w:name w:val="标书正文:  0.74 厘米"/>
    <w:basedOn w:val="1"/>
    <w:qFormat/>
    <w:uiPriority w:val="0"/>
    <w:pPr>
      <w:snapToGrid w:val="0"/>
      <w:spacing w:line="360" w:lineRule="auto"/>
      <w:ind w:firstLine="420"/>
    </w:pPr>
    <w:rPr>
      <w:sz w:val="24"/>
    </w:rPr>
  </w:style>
  <w:style w:type="paragraph" w:customStyle="1" w:styleId="168">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69">
    <w:name w:val="1"/>
    <w:basedOn w:val="1"/>
    <w:next w:val="31"/>
    <w:qFormat/>
    <w:uiPriority w:val="0"/>
    <w:rPr>
      <w:rFonts w:ascii="宋体" w:hAnsi="Courier New"/>
    </w:rPr>
  </w:style>
  <w:style w:type="paragraph" w:customStyle="1" w:styleId="170">
    <w:name w:val="没有缩进（为图形使用）"/>
    <w:basedOn w:val="1"/>
    <w:qFormat/>
    <w:uiPriority w:val="0"/>
    <w:pPr>
      <w:spacing w:before="120" w:after="120" w:line="360" w:lineRule="auto"/>
    </w:pPr>
    <w:rPr>
      <w:sz w:val="24"/>
    </w:rPr>
  </w:style>
  <w:style w:type="paragraph" w:customStyle="1" w:styleId="171">
    <w:name w:val="标题无"/>
    <w:basedOn w:val="1"/>
    <w:qFormat/>
    <w:uiPriority w:val="0"/>
    <w:pPr>
      <w:spacing w:line="360" w:lineRule="auto"/>
    </w:pPr>
    <w:rPr>
      <w:sz w:val="24"/>
    </w:rPr>
  </w:style>
  <w:style w:type="paragraph" w:customStyle="1" w:styleId="172">
    <w:name w:val="修订1"/>
    <w:qFormat/>
    <w:uiPriority w:val="0"/>
    <w:rPr>
      <w:rFonts w:ascii="Calibri" w:hAnsi="Calibri" w:eastAsia="宋体" w:cs="Times New Roman"/>
      <w:kern w:val="2"/>
      <w:sz w:val="21"/>
      <w:lang w:val="en-US" w:eastAsia="zh-CN" w:bidi="ar-SA"/>
    </w:rPr>
  </w:style>
  <w:style w:type="paragraph" w:customStyle="1" w:styleId="173">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qFormat/>
    <w:uiPriority w:val="0"/>
    <w:pPr>
      <w:spacing w:before="120" w:after="120" w:line="360" w:lineRule="auto"/>
      <w:jc w:val="center"/>
    </w:pPr>
    <w:rPr>
      <w:rFonts w:eastAsia="仿宋_GB2312"/>
      <w:b/>
      <w:sz w:val="24"/>
    </w:rPr>
  </w:style>
  <w:style w:type="paragraph" w:customStyle="1" w:styleId="175">
    <w:name w:val="Char Char14 Char Char"/>
    <w:basedOn w:val="1"/>
    <w:qFormat/>
    <w:uiPriority w:val="0"/>
    <w:rPr>
      <w:szCs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qFormat/>
    <w:uiPriority w:val="0"/>
  </w:style>
  <w:style w:type="paragraph" w:customStyle="1" w:styleId="178">
    <w:name w:val="正文1"/>
    <w:basedOn w:val="1"/>
    <w:qFormat/>
    <w:uiPriority w:val="0"/>
    <w:pPr>
      <w:spacing w:line="300" w:lineRule="auto"/>
      <w:ind w:firstLine="200" w:firstLineChars="200"/>
    </w:pPr>
    <w:rPr>
      <w:sz w:val="24"/>
    </w:rPr>
  </w:style>
  <w:style w:type="paragraph" w:customStyle="1" w:styleId="179">
    <w:name w:val="正文字缩2字"/>
    <w:basedOn w:val="1"/>
    <w:qFormat/>
    <w:uiPriority w:val="0"/>
    <w:pPr>
      <w:spacing w:before="60" w:after="60" w:line="360" w:lineRule="auto"/>
      <w:ind w:left="200" w:leftChars="200" w:firstLine="200" w:firstLineChars="200"/>
    </w:pPr>
    <w:rPr>
      <w:sz w:val="24"/>
    </w:rPr>
  </w:style>
  <w:style w:type="paragraph" w:customStyle="1" w:styleId="18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qFormat/>
    <w:uiPriority w:val="0"/>
    <w:rPr>
      <w:rFonts w:ascii="Tahoma" w:hAnsi="Tahoma"/>
      <w:sz w:val="24"/>
    </w:rPr>
  </w:style>
  <w:style w:type="paragraph" w:customStyle="1" w:styleId="182">
    <w:name w:val="正文文本 21"/>
    <w:basedOn w:val="1"/>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qFormat/>
    <w:uiPriority w:val="0"/>
    <w:rPr>
      <w:rFonts w:ascii="仿宋_GB2312"/>
      <w:b/>
      <w:sz w:val="30"/>
    </w:rPr>
  </w:style>
  <w:style w:type="paragraph" w:customStyle="1" w:styleId="184">
    <w:name w:val="Char Char Char Char Char"/>
    <w:basedOn w:val="1"/>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qFormat/>
    <w:uiPriority w:val="0"/>
    <w:pPr>
      <w:tabs>
        <w:tab w:val="left" w:pos="851"/>
      </w:tabs>
      <w:ind w:left="425" w:hanging="425"/>
      <w:outlineLvl w:val="2"/>
    </w:pPr>
    <w:rPr>
      <w:rFonts w:eastAsia="黑体"/>
      <w:b/>
      <w:sz w:val="32"/>
    </w:rPr>
  </w:style>
  <w:style w:type="paragraph" w:customStyle="1" w:styleId="187">
    <w:name w:val="二级条标题"/>
    <w:basedOn w:val="188"/>
    <w:next w:val="189"/>
    <w:qFormat/>
    <w:uiPriority w:val="0"/>
    <w:pPr>
      <w:ind w:left="840"/>
      <w:outlineLvl w:val="3"/>
    </w:pPr>
  </w:style>
  <w:style w:type="paragraph" w:customStyle="1" w:styleId="188">
    <w:name w:val="一级条标题"/>
    <w:basedOn w:val="173"/>
    <w:next w:val="189"/>
    <w:qFormat/>
    <w:uiPriority w:val="0"/>
    <w:pPr>
      <w:numPr>
        <w:numId w:val="0"/>
      </w:numPr>
      <w:spacing w:before="0" w:beforeLines="0" w:after="0" w:afterLines="0"/>
      <w:ind w:left="525"/>
      <w:outlineLvl w:val="2"/>
    </w:pPr>
    <w:rPr>
      <w:sz w:val="21"/>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qFormat/>
    <w:uiPriority w:val="0"/>
    <w:pPr>
      <w:spacing w:line="240" w:lineRule="atLeast"/>
      <w:ind w:left="420" w:firstLine="420"/>
    </w:pPr>
    <w:rPr>
      <w:kern w:val="0"/>
    </w:rPr>
  </w:style>
  <w:style w:type="paragraph" w:customStyle="1" w:styleId="191">
    <w:name w:val="样式 宋体 五号 两端对齐 行距: 单倍行距"/>
    <w:basedOn w:val="1"/>
    <w:qFormat/>
    <w:uiPriority w:val="0"/>
    <w:pPr>
      <w:adjustRightInd w:val="0"/>
      <w:textAlignment w:val="baseline"/>
    </w:pPr>
    <w:rPr>
      <w:rFonts w:ascii="宋体" w:hAnsi="宋体"/>
      <w:kern w:val="0"/>
    </w:rPr>
  </w:style>
  <w:style w:type="paragraph" w:customStyle="1" w:styleId="19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qFormat/>
    <w:uiPriority w:val="0"/>
    <w:pPr>
      <w:spacing w:after="120" w:line="360" w:lineRule="auto"/>
      <w:ind w:firstLine="200" w:firstLineChars="200"/>
    </w:pPr>
    <w:rPr>
      <w:sz w:val="24"/>
    </w:rPr>
  </w:style>
  <w:style w:type="paragraph" w:customStyle="1" w:styleId="195">
    <w:name w:val="文本1"/>
    <w:basedOn w:val="1"/>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6"/>
    <w:qFormat/>
    <w:uiPriority w:val="0"/>
    <w:pPr>
      <w:ind w:firstLine="480" w:firstLineChars="200"/>
    </w:pPr>
  </w:style>
  <w:style w:type="paragraph" w:customStyle="1" w:styleId="197">
    <w:name w:val="表文字"/>
    <w:qFormat/>
    <w:uiPriority w:val="0"/>
    <w:rPr>
      <w:rFonts w:ascii="宋体" w:hAnsi="Times New Roman" w:eastAsia="宋体" w:cs="Times New Roman"/>
      <w:kern w:val="2"/>
      <w:lang w:val="en-US" w:eastAsia="zh-CN" w:bidi="ar-SA"/>
    </w:rPr>
  </w:style>
  <w:style w:type="paragraph" w:customStyle="1" w:styleId="198">
    <w:name w:val="IN Feature"/>
    <w:next w:val="13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6"/>
    <w:qFormat/>
    <w:uiPriority w:val="0"/>
    <w:pPr>
      <w:tabs>
        <w:tab w:val="left" w:pos="720"/>
      </w:tabs>
      <w:spacing w:before="500" w:after="260" w:line="560" w:lineRule="atLeast"/>
      <w:ind w:left="420" w:hanging="420"/>
    </w:pPr>
  </w:style>
  <w:style w:type="paragraph" w:customStyle="1" w:styleId="200">
    <w:name w:val="样式 行距: 1.5 倍行距1"/>
    <w:basedOn w:val="1"/>
    <w:qFormat/>
    <w:uiPriority w:val="0"/>
    <w:pPr>
      <w:snapToGrid w:val="0"/>
    </w:pPr>
  </w:style>
  <w:style w:type="paragraph" w:customStyle="1" w:styleId="201">
    <w:name w:val="Style Heading 3h3Heading 3 - oldLevel 3 HeadH3level_3PIM 3se..."/>
    <w:basedOn w:val="5"/>
    <w:qFormat/>
    <w:uiPriority w:val="0"/>
    <w:pPr>
      <w:numPr>
        <w:ilvl w:val="2"/>
        <w:numId w:val="9"/>
      </w:numPr>
      <w:tabs>
        <w:tab w:val="left" w:pos="709"/>
        <w:tab w:val="left" w:pos="1620"/>
      </w:tabs>
    </w:pPr>
  </w:style>
  <w:style w:type="paragraph" w:customStyle="1" w:styleId="20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6"/>
    <w:qFormat/>
    <w:uiPriority w:val="0"/>
    <w:pPr>
      <w:numPr>
        <w:ilvl w:val="0"/>
        <w:numId w:val="10"/>
      </w:numPr>
      <w:spacing w:before="560" w:line="400" w:lineRule="exact"/>
      <w:jc w:val="center"/>
      <w:outlineLvl w:val="0"/>
    </w:pPr>
    <w:rPr>
      <w:b w:val="0"/>
      <w:sz w:val="44"/>
    </w:rPr>
  </w:style>
  <w:style w:type="paragraph" w:customStyle="1" w:styleId="20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qFormat/>
    <w:uiPriority w:val="0"/>
    <w:pPr>
      <w:adjustRightInd w:val="0"/>
      <w:spacing w:line="360" w:lineRule="auto"/>
    </w:pPr>
    <w:rPr>
      <w:kern w:val="0"/>
      <w:sz w:val="24"/>
    </w:rPr>
  </w:style>
  <w:style w:type="paragraph" w:customStyle="1" w:styleId="206">
    <w:name w:val="编号正文"/>
    <w:basedOn w:val="207"/>
    <w:qFormat/>
    <w:uiPriority w:val="0"/>
    <w:pPr>
      <w:snapToGrid/>
      <w:spacing w:line="360" w:lineRule="auto"/>
      <w:ind w:left="1407" w:hanging="1047"/>
      <w:jc w:val="left"/>
    </w:pPr>
    <w:rPr>
      <w:rFonts w:eastAsia="仿宋_GB2312"/>
    </w:rPr>
  </w:style>
  <w:style w:type="paragraph" w:customStyle="1" w:styleId="20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qFormat/>
    <w:uiPriority w:val="0"/>
    <w:rPr>
      <w:rFonts w:ascii="Tahoma" w:hAnsi="Tahoma"/>
      <w:sz w:val="24"/>
      <w:szCs w:val="24"/>
    </w:rPr>
  </w:style>
  <w:style w:type="paragraph" w:customStyle="1" w:styleId="210">
    <w:name w:val="Char Char Char Char Char Char Char"/>
    <w:basedOn w:val="1"/>
    <w:qFormat/>
    <w:uiPriority w:val="0"/>
    <w:rPr>
      <w:rFonts w:ascii="Tahoma" w:hAnsi="Tahoma"/>
      <w:sz w:val="24"/>
    </w:rPr>
  </w:style>
  <w:style w:type="paragraph" w:customStyle="1" w:styleId="211">
    <w:name w:val="二级列表"/>
    <w:basedOn w:val="158"/>
    <w:next w:val="158"/>
    <w:qFormat/>
    <w:uiPriority w:val="0"/>
    <w:pPr>
      <w:tabs>
        <w:tab w:val="left" w:pos="2120"/>
      </w:tabs>
      <w:ind w:firstLine="0" w:firstLineChars="0"/>
    </w:pPr>
    <w:rPr>
      <w:b/>
    </w:rPr>
  </w:style>
  <w:style w:type="paragraph" w:customStyle="1" w:styleId="212">
    <w:name w:val="Note"/>
    <w:basedOn w:val="1"/>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qFormat/>
    <w:uiPriority w:val="0"/>
    <w:pPr>
      <w:spacing w:line="360" w:lineRule="auto"/>
      <w:ind w:firstLine="420"/>
    </w:pPr>
    <w:rPr>
      <w:sz w:val="24"/>
    </w:rPr>
  </w:style>
  <w:style w:type="paragraph" w:customStyle="1" w:styleId="219">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qFormat/>
    <w:uiPriority w:val="0"/>
    <w:pPr>
      <w:adjustRightInd w:val="0"/>
      <w:snapToGrid w:val="0"/>
      <w:spacing w:after="120"/>
      <w:ind w:firstLine="540" w:firstLineChars="257"/>
    </w:pPr>
  </w:style>
  <w:style w:type="paragraph" w:customStyle="1" w:styleId="223">
    <w:name w:val="简单回函地址"/>
    <w:basedOn w:val="1"/>
    <w:qFormat/>
    <w:uiPriority w:val="0"/>
    <w:pPr>
      <w:adjustRightInd w:val="0"/>
      <w:snapToGrid w:val="0"/>
      <w:spacing w:line="360" w:lineRule="auto"/>
    </w:pPr>
    <w:rPr>
      <w:sz w:val="24"/>
    </w:rPr>
  </w:style>
  <w:style w:type="paragraph" w:customStyle="1" w:styleId="224">
    <w:name w:val="正文 + 三号"/>
    <w:basedOn w:val="1"/>
    <w:qFormat/>
    <w:uiPriority w:val="0"/>
  </w:style>
  <w:style w:type="paragraph" w:customStyle="1" w:styleId="22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图片文字"/>
    <w:basedOn w:val="1"/>
    <w:qFormat/>
    <w:uiPriority w:val="0"/>
    <w:pPr>
      <w:spacing w:line="240" w:lineRule="atLeast"/>
      <w:jc w:val="center"/>
    </w:pPr>
  </w:style>
  <w:style w:type="paragraph" w:customStyle="1" w:styleId="228">
    <w:name w:val="摘要"/>
    <w:basedOn w:val="1"/>
    <w:next w:val="4"/>
    <w:qFormat/>
    <w:uiPriority w:val="0"/>
    <w:pPr>
      <w:spacing w:line="360" w:lineRule="auto"/>
    </w:pPr>
    <w:rPr>
      <w:rFonts w:eastAsia="黑体"/>
      <w:sz w:val="20"/>
    </w:rPr>
  </w:style>
  <w:style w:type="paragraph" w:customStyle="1" w:styleId="229">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0">
    <w:name w:val="标题5"/>
    <w:basedOn w:val="1"/>
    <w:qFormat/>
    <w:uiPriority w:val="0"/>
    <w:pPr>
      <w:tabs>
        <w:tab w:val="left" w:pos="0"/>
      </w:tabs>
      <w:autoSpaceDE w:val="0"/>
      <w:autoSpaceDN w:val="0"/>
      <w:adjustRightInd w:val="0"/>
      <w:snapToGrid w:val="0"/>
      <w:spacing w:line="320" w:lineRule="atLeast"/>
    </w:pPr>
    <w:rPr>
      <w:rFonts w:ascii="宋体"/>
      <w:kern w:val="0"/>
    </w:rPr>
  </w:style>
  <w:style w:type="paragraph" w:customStyle="1" w:styleId="231">
    <w:name w:val="Table Contents"/>
    <w:basedOn w:val="23"/>
    <w:qFormat/>
    <w:uiPriority w:val="0"/>
    <w:pPr>
      <w:suppressAutoHyphens/>
      <w:jc w:val="left"/>
    </w:pPr>
    <w:rPr>
      <w:rFonts w:ascii="Times New Roman" w:eastAsia="Times New Roman"/>
      <w:kern w:val="0"/>
      <w:sz w:val="24"/>
    </w:rPr>
  </w:style>
  <w:style w:type="paragraph" w:customStyle="1" w:styleId="2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qFormat/>
    <w:uiPriority w:val="0"/>
    <w:pPr>
      <w:adjustRightInd w:val="0"/>
      <w:snapToGrid w:val="0"/>
      <w:spacing w:before="60" w:line="180" w:lineRule="exact"/>
      <w:jc w:val="center"/>
    </w:pPr>
  </w:style>
  <w:style w:type="paragraph" w:customStyle="1" w:styleId="236">
    <w:name w:val="Char Char Char Char Char Char Char1"/>
    <w:basedOn w:val="18"/>
    <w:qFormat/>
    <w:uiPriority w:val="0"/>
    <w:rPr>
      <w:rFonts w:ascii="宋体" w:hAnsi="Tahoma"/>
    </w:rPr>
  </w:style>
  <w:style w:type="paragraph" w:customStyle="1" w:styleId="23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6"/>
    <w:qFormat/>
    <w:uiPriority w:val="0"/>
    <w:pPr>
      <w:adjustRightInd w:val="0"/>
      <w:snapToGrid w:val="0"/>
    </w:pPr>
  </w:style>
  <w:style w:type="paragraph" w:customStyle="1" w:styleId="239">
    <w:name w:val="正文（首行不缩进）"/>
    <w:basedOn w:val="1"/>
    <w:qFormat/>
    <w:uiPriority w:val="0"/>
    <w:pPr>
      <w:autoSpaceDE w:val="0"/>
      <w:autoSpaceDN w:val="0"/>
      <w:adjustRightInd w:val="0"/>
      <w:spacing w:line="360" w:lineRule="auto"/>
      <w:jc w:val="left"/>
    </w:pPr>
    <w:rPr>
      <w:kern w:val="0"/>
    </w:rPr>
  </w:style>
  <w:style w:type="paragraph" w:customStyle="1" w:styleId="24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qFormat/>
    <w:uiPriority w:val="0"/>
    <w:rPr>
      <w:rFonts w:ascii="Tahoma" w:hAnsi="Tahoma"/>
      <w:sz w:val="30"/>
    </w:rPr>
  </w:style>
  <w:style w:type="paragraph" w:customStyle="1" w:styleId="243">
    <w:name w:val="彩色底纹1"/>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24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5"/>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49">
    <w:name w:val="首行缩进"/>
    <w:basedOn w:val="1"/>
    <w:qFormat/>
    <w:uiPriority w:val="0"/>
    <w:pPr>
      <w:numPr>
        <w:ilvl w:val="0"/>
        <w:numId w:val="12"/>
      </w:numPr>
      <w:spacing w:line="360" w:lineRule="auto"/>
    </w:pPr>
    <w:rPr>
      <w:rFonts w:eastAsia="仿宋_GB2312"/>
    </w:rPr>
  </w:style>
  <w:style w:type="paragraph" w:customStyle="1" w:styleId="250">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1">
    <w:name w:val="Unresolved Mention"/>
    <w:basedOn w:val="60"/>
    <w:qFormat/>
    <w:uiPriority w:val="0"/>
    <w:rPr>
      <w:color w:val="605E5C"/>
      <w:shd w:val="clear" w:color="auto" w:fill="E1DFDD"/>
    </w:rPr>
  </w:style>
  <w:style w:type="paragraph" w:customStyle="1" w:styleId="252">
    <w:name w:val="目录 11"/>
    <w:basedOn w:val="1"/>
    <w:next w:val="1"/>
    <w:qFormat/>
    <w:uiPriority w:val="0"/>
    <w:pPr>
      <w:jc w:val="center"/>
    </w:pPr>
    <w:rPr>
      <w:sz w:val="30"/>
      <w:szCs w:val="30"/>
    </w:rPr>
  </w:style>
  <w:style w:type="paragraph" w:customStyle="1" w:styleId="253">
    <w:name w:val="p1"/>
    <w:basedOn w:val="1"/>
    <w:qFormat/>
    <w:uiPriority w:val="0"/>
    <w:pPr>
      <w:jc w:val="left"/>
    </w:pPr>
    <w:rPr>
      <w:rFonts w:ascii="pingfang sc" w:hAnsi="pingfang sc" w:eastAsia="pingfang sc"/>
      <w:color w:val="121416"/>
      <w:kern w:val="0"/>
      <w:sz w:val="28"/>
      <w:szCs w:val="28"/>
    </w:rPr>
  </w:style>
  <w:style w:type="character" w:customStyle="1" w:styleId="254">
    <w:name w:val="NormalCharacter"/>
    <w:qFormat/>
    <w:uiPriority w:val="0"/>
    <w:rPr>
      <w:rFonts w:ascii="等线" w:hAnsi="等线" w:eastAsia="等线" w:cs="Times New Roman"/>
      <w:kern w:val="2"/>
      <w:sz w:val="21"/>
      <w:szCs w:val="24"/>
      <w:lang w:val="en-US" w:eastAsia="zh-CN" w:bidi="ar-SA"/>
    </w:rPr>
  </w:style>
  <w:style w:type="paragraph" w:styleId="255">
    <w:name w:val="List Paragraph"/>
    <w:basedOn w:val="1"/>
    <w:qFormat/>
    <w:uiPriority w:val="99"/>
    <w:pPr>
      <w:ind w:firstLine="420" w:firstLineChars="200"/>
    </w:pPr>
  </w:style>
  <w:style w:type="character" w:customStyle="1" w:styleId="256">
    <w:name w:val="font81"/>
    <w:basedOn w:val="6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18</Pages>
  <Words>193</Words>
  <Characters>197</Characters>
  <Lines>105</Lines>
  <Paragraphs>29</Paragraphs>
  <TotalTime>22</TotalTime>
  <ScaleCrop>false</ScaleCrop>
  <LinksUpToDate>false</LinksUpToDate>
  <CharactersWithSpaces>199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2022-05-26T17:13:00Z</dcterms:created>
  <dc:creator>罗成</dc:creator>
  <cp:lastModifiedBy>吕银彬</cp:lastModifiedBy>
  <cp:lastPrinted>2018-08-06T16:28:00Z</cp:lastPrinted>
  <dcterms:modified xsi:type="dcterms:W3CDTF">2025-07-06T09:42:59Z</dcterms:modified>
  <dc:title>竞争性谈判文件</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KSOTemplateDocerSaveRecord">
    <vt:lpwstr>eyJoZGlkIjoiZWNjYWQ3NjE1YmFkNDY4OGUwZTc5MTU1YjdjNGQ3ZTAiLCJ1c2VySWQiOiI0NDU2OTkyNTgifQ==</vt:lpwstr>
  </property>
  <property fmtid="{D5CDD505-2E9C-101B-9397-08002B2CF9AE}" pid="4" name="ICV">
    <vt:lpwstr>BF564F9A3AB5408FB050066445B8CDF0_12</vt:lpwstr>
  </property>
</Properties>
</file>