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仿宋" w:hAnsi="仿宋" w:eastAsia="仿宋"/>
          <w:b/>
          <w:sz w:val="72"/>
          <w:szCs w:val="72"/>
          <w:highlight w:val="none"/>
        </w:rPr>
      </w:pPr>
      <w:r>
        <w:rPr>
          <w:rFonts w:hint="eastAsia" w:ascii="仿宋" w:hAnsi="仿宋" w:eastAsia="仿宋"/>
          <w:b/>
          <w:sz w:val="72"/>
          <w:szCs w:val="72"/>
          <w:highlight w:val="none"/>
        </w:rPr>
        <w:t>网上竞采文件</w:t>
      </w:r>
    </w:p>
    <w:p>
      <w:pPr>
        <w:snapToGrid w:val="0"/>
        <w:ind w:firstLine="1590" w:firstLineChars="495"/>
        <w:rPr>
          <w:rFonts w:ascii="仿宋" w:hAnsi="仿宋" w:eastAsia="仿宋"/>
          <w:b/>
          <w:bCs/>
          <w:sz w:val="32"/>
          <w:szCs w:val="32"/>
          <w:highlight w:val="none"/>
        </w:rPr>
      </w:pPr>
    </w:p>
    <w:p>
      <w:pPr>
        <w:snapToGrid w:val="0"/>
        <w:ind w:firstLine="1584" w:firstLineChars="495"/>
        <w:rPr>
          <w:rFonts w:ascii="仿宋" w:hAnsi="仿宋" w:eastAsia="仿宋"/>
          <w:bCs/>
          <w:sz w:val="32"/>
          <w:szCs w:val="32"/>
          <w:highlight w:val="none"/>
        </w:rPr>
      </w:pPr>
    </w:p>
    <w:p>
      <w:pPr>
        <w:snapToGrid w:val="0"/>
        <w:ind w:firstLine="1584" w:firstLineChars="495"/>
        <w:rPr>
          <w:rFonts w:ascii="仿宋" w:hAnsi="仿宋" w:eastAsia="仿宋"/>
          <w:bCs/>
          <w:sz w:val="32"/>
          <w:szCs w:val="32"/>
          <w:highlight w:val="none"/>
        </w:rPr>
      </w:pPr>
    </w:p>
    <w:p>
      <w:pPr>
        <w:snapToGrid w:val="0"/>
        <w:spacing w:line="600" w:lineRule="auto"/>
        <w:ind w:left="3519" w:leftChars="314" w:hanging="2640" w:hangingChars="600"/>
        <w:rPr>
          <w:rFonts w:ascii="仿宋" w:hAnsi="仿宋" w:eastAsia="仿宋"/>
          <w:bCs/>
          <w:sz w:val="44"/>
          <w:szCs w:val="44"/>
          <w:highlight w:val="none"/>
        </w:rPr>
      </w:pPr>
    </w:p>
    <w:p>
      <w:pPr>
        <w:snapToGrid w:val="0"/>
        <w:spacing w:line="600" w:lineRule="auto"/>
        <w:ind w:left="3519" w:leftChars="314" w:hanging="2640" w:hangingChars="600"/>
        <w:rPr>
          <w:rFonts w:ascii="仿宋" w:hAnsi="仿宋" w:eastAsia="仿宋"/>
          <w:bCs/>
          <w:sz w:val="44"/>
          <w:szCs w:val="44"/>
          <w:highlight w:val="none"/>
        </w:rPr>
      </w:pPr>
    </w:p>
    <w:p>
      <w:pPr>
        <w:snapToGrid w:val="0"/>
        <w:spacing w:after="120" w:afterLines="50" w:line="480" w:lineRule="auto"/>
        <w:ind w:left="277" w:leftChars="99"/>
        <w:jc w:val="left"/>
        <w:rPr>
          <w:rFonts w:ascii="仿宋" w:hAnsi="仿宋" w:eastAsia="仿宋"/>
          <w:b/>
          <w:bCs/>
          <w:sz w:val="32"/>
          <w:szCs w:val="32"/>
          <w:highlight w:val="none"/>
        </w:rPr>
      </w:pPr>
      <w:r>
        <w:rPr>
          <w:rFonts w:hint="eastAsia" w:ascii="仿宋" w:hAnsi="仿宋" w:eastAsia="仿宋"/>
          <w:b/>
          <w:bCs/>
          <w:sz w:val="32"/>
          <w:szCs w:val="32"/>
          <w:highlight w:val="none"/>
        </w:rPr>
        <w:t>项目名称：</w:t>
      </w:r>
      <w:r>
        <w:rPr>
          <w:rFonts w:hint="eastAsia" w:ascii="仿宋" w:hAnsi="仿宋" w:eastAsia="仿宋"/>
          <w:b/>
          <w:bCs/>
          <w:sz w:val="32"/>
          <w:szCs w:val="32"/>
          <w:highlight w:val="none"/>
          <w:lang w:eastAsia="zh-CN"/>
        </w:rPr>
        <w:t>重庆市黔江区武陵小学校</w:t>
      </w:r>
      <w:r>
        <w:rPr>
          <w:rFonts w:hint="eastAsia" w:ascii="仿宋" w:hAnsi="仿宋" w:eastAsia="仿宋"/>
          <w:b/>
          <w:bCs/>
          <w:sz w:val="32"/>
          <w:szCs w:val="32"/>
          <w:highlight w:val="none"/>
        </w:rPr>
        <w:t>“儿童社会主义核心价值观A</w:t>
      </w:r>
      <w:r>
        <w:rPr>
          <w:rFonts w:ascii="仿宋" w:hAnsi="仿宋" w:eastAsia="仿宋"/>
          <w:b/>
          <w:bCs/>
          <w:sz w:val="32"/>
          <w:szCs w:val="32"/>
          <w:highlight w:val="none"/>
        </w:rPr>
        <w:t>I</w:t>
      </w:r>
      <w:r>
        <w:rPr>
          <w:rFonts w:hint="eastAsia" w:ascii="仿宋" w:hAnsi="仿宋" w:eastAsia="仿宋"/>
          <w:b/>
          <w:bCs/>
          <w:sz w:val="32"/>
          <w:szCs w:val="32"/>
          <w:highlight w:val="none"/>
        </w:rPr>
        <w:t>互动中心”项目</w:t>
      </w:r>
    </w:p>
    <w:p>
      <w:pPr>
        <w:snapToGrid w:val="0"/>
        <w:spacing w:after="120" w:afterLines="50" w:line="480" w:lineRule="auto"/>
        <w:ind w:left="277" w:leftChars="99"/>
        <w:jc w:val="left"/>
        <w:rPr>
          <w:rFonts w:hint="eastAsia" w:ascii="仿宋" w:hAnsi="仿宋" w:eastAsia="仿宋"/>
          <w:bCs/>
          <w:sz w:val="32"/>
          <w:szCs w:val="32"/>
          <w:highlight w:val="none"/>
          <w:lang w:eastAsia="zh-CN"/>
        </w:rPr>
      </w:pPr>
      <w:r>
        <w:rPr>
          <w:rFonts w:hint="eastAsia" w:ascii="仿宋" w:hAnsi="仿宋" w:eastAsia="仿宋"/>
          <w:b/>
          <w:bCs/>
          <w:sz w:val="32"/>
          <w:szCs w:val="32"/>
          <w:highlight w:val="none"/>
        </w:rPr>
        <w:t>采购单位：</w:t>
      </w:r>
      <w:r>
        <w:rPr>
          <w:rFonts w:hint="eastAsia" w:ascii="仿宋" w:hAnsi="仿宋" w:eastAsia="仿宋"/>
          <w:b/>
          <w:bCs/>
          <w:sz w:val="32"/>
          <w:szCs w:val="32"/>
          <w:highlight w:val="none"/>
          <w:lang w:eastAsia="zh-CN"/>
        </w:rPr>
        <w:t>重庆市黔江区武陵小学校</w:t>
      </w:r>
    </w:p>
    <w:p>
      <w:pPr>
        <w:autoSpaceDE w:val="0"/>
        <w:autoSpaceDN w:val="0"/>
        <w:adjustRightInd w:val="0"/>
        <w:spacing w:after="200"/>
        <w:ind w:firstLine="320" w:firstLineChars="100"/>
        <w:jc w:val="left"/>
        <w:rPr>
          <w:rFonts w:ascii="仿宋" w:hAnsi="仿宋" w:eastAsia="仿宋"/>
          <w:bCs/>
          <w:sz w:val="32"/>
          <w:szCs w:val="32"/>
          <w:highlight w:val="none"/>
        </w:rPr>
      </w:pPr>
    </w:p>
    <w:p>
      <w:pPr>
        <w:autoSpaceDE w:val="0"/>
        <w:autoSpaceDN w:val="0"/>
        <w:adjustRightInd w:val="0"/>
        <w:spacing w:after="200"/>
        <w:ind w:firstLine="320" w:firstLineChars="100"/>
        <w:jc w:val="left"/>
        <w:rPr>
          <w:rFonts w:ascii="仿宋" w:hAnsi="仿宋" w:eastAsia="仿宋"/>
          <w:bCs/>
          <w:sz w:val="32"/>
          <w:szCs w:val="32"/>
          <w:highlight w:val="none"/>
        </w:rPr>
      </w:pPr>
    </w:p>
    <w:p>
      <w:pPr>
        <w:autoSpaceDE w:val="0"/>
        <w:autoSpaceDN w:val="0"/>
        <w:adjustRightInd w:val="0"/>
        <w:spacing w:after="200"/>
        <w:ind w:firstLine="320" w:firstLineChars="100"/>
        <w:jc w:val="left"/>
        <w:rPr>
          <w:rFonts w:ascii="仿宋" w:hAnsi="仿宋" w:eastAsia="仿宋"/>
          <w:bCs/>
          <w:sz w:val="32"/>
          <w:szCs w:val="32"/>
          <w:highlight w:val="none"/>
        </w:rPr>
      </w:pPr>
    </w:p>
    <w:p>
      <w:pPr>
        <w:autoSpaceDE w:val="0"/>
        <w:autoSpaceDN w:val="0"/>
        <w:adjustRightInd w:val="0"/>
        <w:spacing w:after="200"/>
        <w:ind w:firstLine="320" w:firstLineChars="100"/>
        <w:jc w:val="left"/>
        <w:rPr>
          <w:rFonts w:ascii="仿宋" w:hAnsi="仿宋" w:eastAsia="仿宋"/>
          <w:bCs/>
          <w:sz w:val="32"/>
          <w:szCs w:val="32"/>
          <w:highlight w:val="none"/>
        </w:rPr>
      </w:pPr>
    </w:p>
    <w:p>
      <w:pPr>
        <w:autoSpaceDE w:val="0"/>
        <w:autoSpaceDN w:val="0"/>
        <w:adjustRightInd w:val="0"/>
        <w:spacing w:after="200"/>
        <w:ind w:firstLine="320" w:firstLineChars="100"/>
        <w:jc w:val="left"/>
        <w:rPr>
          <w:rFonts w:ascii="仿宋" w:hAnsi="仿宋" w:eastAsia="仿宋"/>
          <w:bCs/>
          <w:sz w:val="32"/>
          <w:szCs w:val="32"/>
          <w:highlight w:val="none"/>
        </w:rPr>
      </w:pPr>
    </w:p>
    <w:p>
      <w:pPr>
        <w:snapToGrid w:val="0"/>
        <w:spacing w:after="120" w:afterLines="50" w:line="480" w:lineRule="auto"/>
        <w:jc w:val="center"/>
        <w:rPr>
          <w:rFonts w:ascii="仿宋" w:hAnsi="仿宋" w:eastAsia="仿宋"/>
          <w:b/>
          <w:bCs/>
          <w:sz w:val="32"/>
          <w:szCs w:val="32"/>
          <w:highlight w:val="none"/>
          <w:lang w:val="zh-CN"/>
        </w:rPr>
      </w:pPr>
      <w:r>
        <w:rPr>
          <w:rFonts w:hint="eastAsia" w:ascii="仿宋" w:hAnsi="仿宋" w:eastAsia="仿宋"/>
          <w:b/>
          <w:bCs/>
          <w:sz w:val="32"/>
          <w:szCs w:val="32"/>
          <w:highlight w:val="none"/>
        </w:rPr>
        <w:t>二零二四年</w:t>
      </w:r>
      <w:r>
        <w:rPr>
          <w:rFonts w:hint="eastAsia" w:ascii="仿宋" w:hAnsi="仿宋" w:eastAsia="仿宋"/>
          <w:b/>
          <w:bCs/>
          <w:sz w:val="32"/>
          <w:szCs w:val="32"/>
          <w:highlight w:val="none"/>
          <w:lang w:val="en-US" w:eastAsia="zh-CN"/>
        </w:rPr>
        <w:t>九</w:t>
      </w:r>
      <w:r>
        <w:rPr>
          <w:rFonts w:hint="eastAsia" w:ascii="仿宋" w:hAnsi="仿宋" w:eastAsia="仿宋"/>
          <w:b/>
          <w:bCs/>
          <w:sz w:val="32"/>
          <w:szCs w:val="32"/>
          <w:highlight w:val="none"/>
        </w:rPr>
        <w:t>月</w:t>
      </w:r>
    </w:p>
    <w:p>
      <w:pPr>
        <w:jc w:val="left"/>
        <w:rPr>
          <w:rFonts w:cs="宋体" w:asciiTheme="minorEastAsia" w:hAnsiTheme="minorEastAsia" w:eastAsiaTheme="minorEastAsia"/>
          <w:b/>
          <w:color w:val="000000" w:themeColor="text1"/>
          <w:kern w:val="0"/>
          <w:sz w:val="44"/>
          <w:szCs w:val="4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44"/>
          <w:szCs w:val="44"/>
          <w:highlight w:val="none"/>
          <w14:textFill>
            <w14:solidFill>
              <w14:schemeClr w14:val="tx1"/>
            </w14:solidFill>
          </w14:textFill>
        </w:rPr>
        <w:br w:type="page"/>
      </w:r>
    </w:p>
    <w:p>
      <w:pPr>
        <w:pStyle w:val="23"/>
        <w:rPr>
          <w:highlight w:val="none"/>
        </w:rPr>
      </w:pPr>
    </w:p>
    <w:p>
      <w:pPr>
        <w:pStyle w:val="5"/>
        <w:numPr>
          <w:ilvl w:val="0"/>
          <w:numId w:val="12"/>
        </w:numPr>
        <w:spacing w:before="240" w:beforeLines="100" w:after="240" w:afterLines="100" w:line="24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0" w:name="_Toc25458"/>
      <w:bookmarkStart w:id="1" w:name="_Toc317775175"/>
      <w:bookmarkStart w:id="2" w:name="_Toc18159"/>
      <w:bookmarkStart w:id="3" w:name="_Toc313893526"/>
      <w:bookmarkStart w:id="4" w:name="_Toc18881"/>
      <w:bookmarkStart w:id="5" w:name="_Toc26820"/>
      <w:bookmarkStart w:id="6" w:name="_Toc7625"/>
      <w:bookmarkStart w:id="7" w:name="_Toc3463"/>
      <w:bookmarkStart w:id="8" w:name="_Toc12808"/>
      <w:r>
        <w:rPr>
          <w:rFonts w:hint="eastAsia" w:cs="宋体" w:asciiTheme="minorEastAsia" w:hAnsiTheme="minorEastAsia" w:eastAsiaTheme="minorEastAsia"/>
          <w:color w:val="000000" w:themeColor="text1"/>
          <w:sz w:val="24"/>
          <w:szCs w:val="24"/>
          <w:highlight w:val="none"/>
          <w14:textFill>
            <w14:solidFill>
              <w14:schemeClr w14:val="tx1"/>
            </w14:solidFill>
          </w14:textFill>
        </w:rPr>
        <w:t>询比采购内容</w:t>
      </w:r>
      <w:bookmarkEnd w:id="0"/>
      <w:bookmarkEnd w:id="1"/>
      <w:bookmarkEnd w:id="2"/>
      <w:bookmarkEnd w:id="3"/>
      <w:bookmarkEnd w:id="4"/>
      <w:bookmarkEnd w:id="5"/>
      <w:bookmarkEnd w:id="6"/>
      <w:bookmarkEnd w:id="7"/>
      <w:bookmarkEnd w:id="8"/>
    </w:p>
    <w:p>
      <w:pPr>
        <w:snapToGrid w:val="0"/>
        <w:spacing w:after="120" w:afterLines="50" w:line="480" w:lineRule="auto"/>
        <w:ind w:left="277" w:leftChars="99"/>
        <w:rPr>
          <w:rFonts w:ascii="宋体" w:hAnsi="宋体" w:cs="宋体"/>
          <w:sz w:val="24"/>
          <w:szCs w:val="24"/>
          <w:highlight w:val="none"/>
        </w:rPr>
      </w:pPr>
      <w:r>
        <w:rPr>
          <w:rFonts w:hint="eastAsia" w:ascii="宋体" w:hAnsi="宋体" w:cs="宋体"/>
          <w:sz w:val="24"/>
          <w:szCs w:val="24"/>
          <w:highlight w:val="none"/>
          <w:lang w:eastAsia="zh-CN"/>
        </w:rPr>
        <w:t>重庆市黔江区武陵小学校</w:t>
      </w:r>
      <w:r>
        <w:rPr>
          <w:rFonts w:hint="eastAsia" w:ascii="宋体" w:hAnsi="宋体" w:cs="宋体"/>
          <w:sz w:val="24"/>
          <w:szCs w:val="24"/>
          <w:highlight w:val="none"/>
        </w:rPr>
        <w:t>拟对</w:t>
      </w:r>
      <w:r>
        <w:rPr>
          <w:rFonts w:hint="eastAsia" w:ascii="宋体" w:hAnsi="宋体" w:cs="宋体"/>
          <w:sz w:val="24"/>
          <w:szCs w:val="24"/>
          <w:highlight w:val="none"/>
          <w:lang w:eastAsia="zh-CN"/>
        </w:rPr>
        <w:t>“儿童社会主义核心价值观AI互动中心”项目进行建设</w:t>
      </w:r>
      <w:r>
        <w:rPr>
          <w:rFonts w:hint="eastAsia" w:ascii="宋体" w:hAnsi="宋体" w:cs="宋体"/>
          <w:sz w:val="24"/>
          <w:szCs w:val="24"/>
          <w:highlight w:val="none"/>
        </w:rPr>
        <w:t>，现采用政府采购网网上竞采方式进行采购，欢迎符合资格要求并有供货能力的供应商参与竞采。</w:t>
      </w:r>
    </w:p>
    <w:p>
      <w:pPr>
        <w:rPr>
          <w:highlight w:val="none"/>
        </w:rPr>
      </w:pPr>
    </w:p>
    <w:tbl>
      <w:tblPr>
        <w:tblStyle w:val="5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669"/>
        <w:gridCol w:w="168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10" w:type="dxa"/>
            <w:vAlign w:val="center"/>
          </w:tcPr>
          <w:p>
            <w:pPr>
              <w:widowControl/>
              <w:jc w:val="center"/>
              <w:rPr>
                <w:rFonts w:cs="宋体"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项目名称</w:t>
            </w:r>
          </w:p>
        </w:tc>
        <w:tc>
          <w:tcPr>
            <w:tcW w:w="1669" w:type="dxa"/>
            <w:vAlign w:val="center"/>
          </w:tcPr>
          <w:p>
            <w:pPr>
              <w:widowControl/>
              <w:jc w:val="center"/>
              <w:rPr>
                <w:rFonts w:cs="宋体"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采购预算</w:t>
            </w:r>
          </w:p>
          <w:p>
            <w:pPr>
              <w:jc w:val="center"/>
              <w:rPr>
                <w:rFonts w:cs="宋体"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（元）</w:t>
            </w:r>
          </w:p>
        </w:tc>
        <w:tc>
          <w:tcPr>
            <w:tcW w:w="1687" w:type="dxa"/>
            <w:vAlign w:val="center"/>
          </w:tcPr>
          <w:p>
            <w:pPr>
              <w:jc w:val="center"/>
              <w:rPr>
                <w:rFonts w:cs="宋体"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资金来源</w:t>
            </w:r>
          </w:p>
        </w:tc>
        <w:tc>
          <w:tcPr>
            <w:tcW w:w="1988" w:type="dxa"/>
            <w:vAlign w:val="center"/>
          </w:tcPr>
          <w:p>
            <w:pPr>
              <w:jc w:val="center"/>
              <w:rPr>
                <w:rFonts w:cs="宋体"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910" w:type="dxa"/>
            <w:vAlign w:val="center"/>
          </w:tcPr>
          <w:p>
            <w:pPr>
              <w:widowControl/>
              <w:jc w:val="left"/>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9" w:name="_Hlk344477914"/>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重庆市黔江区武陵小学校</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“儿童社会主义核心价值观A</w:t>
            </w:r>
            <w:r>
              <w:rPr>
                <w:rFonts w:cs="宋体" w:asciiTheme="minorEastAsia" w:hAnsiTheme="minorEastAsia" w:eastAsiaTheme="minorEastAsia"/>
                <w:bCs/>
                <w:color w:val="000000" w:themeColor="text1"/>
                <w:sz w:val="24"/>
                <w:szCs w:val="24"/>
                <w:highlight w:val="none"/>
                <w14:textFill>
                  <w14:solidFill>
                    <w14:schemeClr w14:val="tx1"/>
                  </w14:solidFill>
                </w14:textFill>
              </w:rPr>
              <w:t>I</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互动中心”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建设项目</w:t>
            </w:r>
          </w:p>
          <w:p>
            <w:pPr>
              <w:widowControl/>
              <w:jc w:val="center"/>
              <w:rPr>
                <w:rFonts w:cs="宋体" w:asciiTheme="minorEastAsia" w:hAnsiTheme="minorEastAsia" w:eastAsiaTheme="minorEastAsia"/>
                <w:color w:val="000000" w:themeColor="text1"/>
                <w:kern w:val="0"/>
                <w:sz w:val="24"/>
                <w:szCs w:val="24"/>
                <w:highlight w:val="none"/>
                <w14:textFill>
                  <w14:solidFill>
                    <w14:schemeClr w14:val="tx1"/>
                  </w14:solidFill>
                </w14:textFill>
              </w:rPr>
            </w:pPr>
          </w:p>
        </w:tc>
        <w:tc>
          <w:tcPr>
            <w:tcW w:w="1669" w:type="dxa"/>
            <w:vAlign w:val="center"/>
          </w:tcPr>
          <w:p>
            <w:pPr>
              <w:widowControl/>
              <w:jc w:val="center"/>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cs="宋体" w:asciiTheme="minorEastAsia" w:hAnsiTheme="minorEastAsia" w:eastAsiaTheme="minorEastAsia"/>
                <w:color w:val="000000" w:themeColor="text1"/>
                <w:kern w:val="0"/>
                <w:sz w:val="24"/>
                <w:szCs w:val="24"/>
                <w:highlight w:val="none"/>
                <w14:textFill>
                  <w14:solidFill>
                    <w14:schemeClr w14:val="tx1"/>
                  </w14:solidFill>
                </w14:textFill>
              </w:rPr>
              <w:t>30</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0000.00</w:t>
            </w:r>
          </w:p>
        </w:tc>
        <w:tc>
          <w:tcPr>
            <w:tcW w:w="1687" w:type="dxa"/>
            <w:vAlign w:val="center"/>
          </w:tcPr>
          <w:p>
            <w:pPr>
              <w:widowControl/>
              <w:jc w:val="center"/>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财政预算资金</w:t>
            </w:r>
          </w:p>
        </w:tc>
        <w:tc>
          <w:tcPr>
            <w:tcW w:w="1988" w:type="dxa"/>
            <w:vAlign w:val="center"/>
          </w:tcPr>
          <w:p>
            <w:pPr>
              <w:rPr>
                <w:rFonts w:cs="宋体" w:asciiTheme="minorEastAsia" w:hAnsiTheme="minorEastAsia" w:eastAsiaTheme="minorEastAsia"/>
                <w:b/>
                <w:color w:val="000000" w:themeColor="text1"/>
                <w:sz w:val="24"/>
                <w:szCs w:val="24"/>
                <w:highlight w:val="none"/>
                <w14:textFill>
                  <w14:solidFill>
                    <w14:schemeClr w14:val="tx1"/>
                  </w14:solidFill>
                </w14:textFill>
              </w:rPr>
            </w:pPr>
          </w:p>
        </w:tc>
      </w:tr>
      <w:bookmarkEnd w:id="9"/>
    </w:tbl>
    <w:p>
      <w:pPr>
        <w:pStyle w:val="5"/>
        <w:spacing w:before="240" w:beforeLines="100" w:after="240" w:afterLines="100" w:line="24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0" w:name="_Toc25190"/>
      <w:bookmarkStart w:id="11" w:name="_Toc6462"/>
      <w:bookmarkStart w:id="12" w:name="_Toc15576"/>
      <w:bookmarkStart w:id="13" w:name="_Toc1790"/>
      <w:bookmarkStart w:id="14" w:name="_Toc15727"/>
      <w:bookmarkStart w:id="15" w:name="_Toc22399"/>
      <w:bookmarkStart w:id="16" w:name="_Toc19437"/>
      <w:bookmarkStart w:id="17" w:name="_Toc373860293"/>
      <w:bookmarkStart w:id="18" w:name="_Toc317775178"/>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二、询比资格</w:t>
      </w:r>
      <w:bookmarkEnd w:id="10"/>
      <w:bookmarkEnd w:id="11"/>
      <w:bookmarkEnd w:id="12"/>
      <w:bookmarkEnd w:id="13"/>
      <w:bookmarkEnd w:id="14"/>
      <w:bookmarkEnd w:id="15"/>
      <w:bookmarkEnd w:id="16"/>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19" w:name="OLE_LINK1"/>
      <w:r>
        <w:rPr>
          <w:rFonts w:hint="eastAsia" w:ascii="宋体" w:hAnsi="宋体" w:cs="宋体"/>
          <w:color w:val="000000" w:themeColor="text1"/>
          <w:sz w:val="24"/>
          <w:szCs w:val="24"/>
          <w:highlight w:val="none"/>
          <w14:textFill>
            <w14:solidFill>
              <w14:schemeClr w14:val="tx1"/>
            </w14:solidFill>
          </w14:textFill>
        </w:rPr>
        <w:t>（一）一般资质条件</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4.有依法缴纳税收和社会保障资金的良好记录；</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（二）特定资格条件</w:t>
      </w:r>
    </w:p>
    <w:bookmarkEnd w:id="17"/>
    <w:bookmarkEnd w:id="18"/>
    <w:p>
      <w:pPr>
        <w:spacing w:line="500" w:lineRule="exact"/>
        <w:ind w:firstLine="1680" w:firstLineChars="700"/>
        <w:rPr>
          <w:rFonts w:ascii="宋体" w:hAnsi="宋体" w:cs="宋体"/>
          <w:color w:val="000000" w:themeColor="text1"/>
          <w:sz w:val="24"/>
          <w:szCs w:val="24"/>
          <w:highlight w:val="none"/>
          <w14:textFill>
            <w14:solidFill>
              <w14:schemeClr w14:val="tx1"/>
            </w14:solidFill>
          </w14:textFill>
        </w:rPr>
      </w:pPr>
      <w:bookmarkStart w:id="20" w:name="_Toc421879533"/>
      <w:r>
        <w:rPr>
          <w:rFonts w:hint="eastAsia" w:ascii="宋体" w:hAnsi="宋体" w:cs="宋体"/>
          <w:color w:val="000000" w:themeColor="text1"/>
          <w:sz w:val="24"/>
          <w:szCs w:val="24"/>
          <w:highlight w:val="none"/>
          <w14:textFill>
            <w14:solidFill>
              <w14:schemeClr w14:val="tx1"/>
            </w14:solidFill>
          </w14:textFill>
        </w:rPr>
        <w:t>无</w:t>
      </w:r>
    </w:p>
    <w:bookmarkEnd w:id="19"/>
    <w:bookmarkEnd w:id="20"/>
    <w:p>
      <w:pPr>
        <w:rPr>
          <w:rFonts w:ascii="宋体" w:hAnsi="宋体"/>
          <w:sz w:val="24"/>
          <w:highlight w:val="none"/>
        </w:rPr>
      </w:pPr>
      <w:r>
        <w:rPr>
          <w:rFonts w:hint="eastAsia" w:ascii="宋体" w:hAnsi="宋体"/>
          <w:sz w:val="24"/>
          <w:highlight w:val="none"/>
        </w:rPr>
        <w:br w:type="page"/>
      </w:r>
    </w:p>
    <w:p>
      <w:pPr>
        <w:pStyle w:val="3"/>
        <w:spacing w:line="360" w:lineRule="auto"/>
        <w:rPr>
          <w:rFonts w:hAnsi="宋体"/>
          <w:b/>
          <w:sz w:val="24"/>
          <w:szCs w:val="24"/>
          <w:highlight w:val="none"/>
        </w:rPr>
      </w:pPr>
      <w:r>
        <w:rPr>
          <w:rFonts w:hAnsi="宋体"/>
          <w:sz w:val="24"/>
          <w:szCs w:val="24"/>
          <w:highlight w:val="none"/>
        </w:rPr>
        <w:t>三、</w:t>
      </w:r>
      <w:r>
        <w:rPr>
          <w:rFonts w:hAnsi="宋体"/>
          <w:b/>
          <w:sz w:val="24"/>
          <w:szCs w:val="24"/>
          <w:highlight w:val="none"/>
        </w:rPr>
        <w:t>采购内容</w:t>
      </w:r>
      <w:r>
        <w:rPr>
          <w:rFonts w:hint="eastAsia" w:hAnsi="宋体"/>
          <w:b/>
          <w:sz w:val="24"/>
          <w:szCs w:val="24"/>
          <w:highlight w:val="none"/>
        </w:rPr>
        <w:t>及技术参数要求</w:t>
      </w:r>
    </w:p>
    <w:p>
      <w:pPr>
        <w:spacing w:line="360" w:lineRule="exact"/>
        <w:ind w:right="280"/>
        <w:jc w:val="center"/>
        <w:rPr>
          <w:rFonts w:ascii="宋体" w:hAnsi="宋体"/>
          <w:sz w:val="24"/>
          <w:szCs w:val="24"/>
          <w:highlight w:val="none"/>
        </w:rPr>
      </w:pPr>
      <w:r>
        <w:rPr>
          <w:rFonts w:hint="eastAsia" w:ascii="宋体" w:hAnsi="宋体"/>
          <w:sz w:val="24"/>
          <w:szCs w:val="24"/>
          <w:highlight w:val="none"/>
        </w:rPr>
        <w:t>（一）采购内容及参数要求</w:t>
      </w:r>
    </w:p>
    <w:tbl>
      <w:tblPr>
        <w:tblStyle w:val="58"/>
        <w:tblpPr w:leftFromText="180" w:rightFromText="180" w:vertAnchor="text" w:horzAnchor="page" w:tblpX="1450" w:tblpY="473"/>
        <w:tblOverlap w:val="never"/>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33"/>
        <w:gridCol w:w="777"/>
        <w:gridCol w:w="5675"/>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8" w:type="dxa"/>
            <w:vAlign w:val="center"/>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编号</w:t>
            </w:r>
          </w:p>
        </w:tc>
        <w:tc>
          <w:tcPr>
            <w:tcW w:w="733" w:type="dxa"/>
            <w:vAlign w:val="center"/>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777" w:type="dxa"/>
            <w:vAlign w:val="center"/>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介绍</w:t>
            </w:r>
          </w:p>
        </w:tc>
        <w:tc>
          <w:tcPr>
            <w:tcW w:w="5675" w:type="dxa"/>
            <w:vAlign w:val="center"/>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参数</w:t>
            </w:r>
          </w:p>
        </w:tc>
        <w:tc>
          <w:tcPr>
            <w:tcW w:w="680" w:type="dxa"/>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单位</w:t>
            </w:r>
          </w:p>
        </w:tc>
        <w:tc>
          <w:tcPr>
            <w:tcW w:w="680" w:type="dxa"/>
          </w:tcPr>
          <w:p>
            <w:pPr>
              <w:spacing w:line="360" w:lineRule="exact"/>
              <w:ind w:right="280"/>
              <w:jc w:val="center"/>
              <w:rPr>
                <w:rFonts w:ascii="宋体" w:hAnsi="宋体" w:cs="宋体"/>
                <w:b/>
                <w:bCs/>
                <w:sz w:val="21"/>
                <w:szCs w:val="21"/>
                <w:highlight w:val="none"/>
              </w:rPr>
            </w:pPr>
            <w:r>
              <w:rPr>
                <w:rFonts w:hint="eastAsia" w:ascii="宋体" w:hAnsi="宋体" w:cs="宋体"/>
                <w:b/>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748" w:type="dxa"/>
            <w:vAlign w:val="center"/>
          </w:tcPr>
          <w:p>
            <w:pPr>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1</w:t>
            </w:r>
          </w:p>
        </w:tc>
        <w:tc>
          <w:tcPr>
            <w:tcW w:w="733" w:type="dxa"/>
            <w:textDirection w:val="tbRlV"/>
            <w:vAlign w:val="center"/>
          </w:tcPr>
          <w:p>
            <w:pPr>
              <w:spacing w:line="360" w:lineRule="exact"/>
              <w:ind w:left="280" w:right="280" w:firstLine="420"/>
              <w:jc w:val="center"/>
              <w:rPr>
                <w:rFonts w:ascii="宋体" w:hAnsi="宋体" w:cs="宋体"/>
                <w:sz w:val="21"/>
                <w:szCs w:val="21"/>
                <w:highlight w:val="none"/>
              </w:rPr>
            </w:pPr>
            <w:r>
              <w:rPr>
                <w:rFonts w:hint="eastAsia" w:ascii="宋体" w:hAnsi="宋体" w:cs="宋体"/>
                <w:sz w:val="21"/>
                <w:szCs w:val="21"/>
                <w:highlight w:val="none"/>
              </w:rPr>
              <w:t>86寸触摸一体机</w:t>
            </w:r>
          </w:p>
        </w:tc>
        <w:tc>
          <w:tcPr>
            <w:tcW w:w="777" w:type="dxa"/>
            <w:textDirection w:val="tbRlV"/>
            <w:vAlign w:val="center"/>
          </w:tcPr>
          <w:p>
            <w:pPr>
              <w:spacing w:line="360" w:lineRule="exact"/>
              <w:ind w:left="280" w:right="280" w:firstLine="420"/>
              <w:jc w:val="center"/>
              <w:rPr>
                <w:rFonts w:ascii="宋体" w:hAnsi="宋体" w:cs="宋体"/>
                <w:sz w:val="21"/>
                <w:szCs w:val="21"/>
                <w:highlight w:val="none"/>
              </w:rPr>
            </w:pPr>
            <w:r>
              <w:rPr>
                <w:rFonts w:hint="eastAsia" w:ascii="宋体" w:hAnsi="宋体" w:cs="宋体"/>
                <w:sz w:val="21"/>
                <w:szCs w:val="21"/>
                <w:highlight w:val="none"/>
              </w:rPr>
              <w:t>教师操作资源平台</w:t>
            </w:r>
          </w:p>
        </w:tc>
        <w:tc>
          <w:tcPr>
            <w:tcW w:w="5675" w:type="dxa"/>
          </w:tcPr>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一、显示参数：</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1、尺寸：86英寸，响应时间6.5ms，</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2、画面比例：16：9，</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3、分辨率：3840（H）×2160（V），刷新率：60Hz，</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4、对比度：4000：1，</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5、背光类型：DLED，工作寿命：</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6、≥30000 小时。</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二、触摸参数：</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1、识别原理：红外识别，</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2、触摸点数：20点触摸，</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3、响应时间：≤10 ms，</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4、支持系统：Windows10/Windows8/Windows7/Linux/Mac/Android。</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5、扬声器：声道：2.0，功率：2×8W。</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6、蓝牙：版本4.0。</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7、WI-FI:版本：802.11 a/b/g/n/ac，</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8、工作频率：2.4GHz/5GHz。</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9、电气参数：电源输入：220V～50Hz 1.0A，整机最大功耗：220W。</w:t>
            </w:r>
          </w:p>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10、环境因素：工作温度：0℃~40℃，工作湿度：10%~90%RH，存储温度：-20℃~60℃，;存储湿度：10%~90%RH，工作高度：5000 米以下。</w:t>
            </w:r>
          </w:p>
          <w:p>
            <w:pPr>
              <w:widowControl/>
              <w:adjustRightInd w:val="0"/>
              <w:snapToGrid w:val="0"/>
              <w:spacing w:line="360" w:lineRule="exact"/>
              <w:ind w:right="280"/>
              <w:jc w:val="center"/>
              <w:rPr>
                <w:rFonts w:ascii="Calibri" w:hAnsi="Calibri"/>
                <w:sz w:val="21"/>
                <w:szCs w:val="21"/>
                <w:highlight w:val="none"/>
              </w:rPr>
            </w:pPr>
            <w:r>
              <w:rPr>
                <w:rFonts w:hint="eastAsia" w:ascii="宋体" w:hAnsi="宋体" w:cs="宋体"/>
                <w:sz w:val="21"/>
                <w:szCs w:val="21"/>
                <w:highlight w:val="none"/>
              </w:rPr>
              <w:t>11、PC模块：CPU：Intel®  Core™ i5，运行内存 ：8G，固态硬盘：≥512G，独立显卡≥GT730及以上，网卡：1000M，I/O接口：USB3.0，HDMI 输出：1，LAN：1，MIC IN：1，PC 接口：40pin。</w:t>
            </w:r>
          </w:p>
        </w:tc>
        <w:tc>
          <w:tcPr>
            <w:tcW w:w="680" w:type="dxa"/>
            <w:vAlign w:val="center"/>
          </w:tcPr>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台</w:t>
            </w:r>
          </w:p>
        </w:tc>
        <w:tc>
          <w:tcPr>
            <w:tcW w:w="680" w:type="dxa"/>
            <w:vAlign w:val="center"/>
          </w:tcPr>
          <w:p>
            <w:pPr>
              <w:widowControl/>
              <w:adjustRightInd w:val="0"/>
              <w:snapToGrid w:val="0"/>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748" w:type="dxa"/>
            <w:vAlign w:val="center"/>
          </w:tcPr>
          <w:p>
            <w:pPr>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2</w:t>
            </w:r>
          </w:p>
        </w:tc>
        <w:tc>
          <w:tcPr>
            <w:tcW w:w="733" w:type="dxa"/>
            <w:textDirection w:val="tbRlV"/>
            <w:vAlign w:val="center"/>
          </w:tcPr>
          <w:p>
            <w:pPr>
              <w:widowControl/>
              <w:spacing w:line="360" w:lineRule="exact"/>
              <w:ind w:firstLine="420"/>
              <w:jc w:val="center"/>
              <w:rPr>
                <w:rFonts w:ascii="宋体" w:hAnsi="宋体" w:cs="宋体"/>
                <w:sz w:val="21"/>
                <w:szCs w:val="21"/>
                <w:highlight w:val="none"/>
              </w:rPr>
            </w:pPr>
            <w:r>
              <w:rPr>
                <w:rFonts w:hint="eastAsia" w:ascii="宋体" w:hAnsi="宋体" w:cs="宋体"/>
                <w:sz w:val="21"/>
                <w:szCs w:val="21"/>
                <w:highlight w:val="none"/>
              </w:rPr>
              <w:t>儿童互动智能桌（M型）</w:t>
            </w:r>
          </w:p>
        </w:tc>
        <w:tc>
          <w:tcPr>
            <w:tcW w:w="777" w:type="dxa"/>
            <w:textDirection w:val="tbRlV"/>
            <w:vAlign w:val="center"/>
          </w:tcPr>
          <w:p>
            <w:pPr>
              <w:widowControl/>
              <w:spacing w:line="360" w:lineRule="exact"/>
              <w:ind w:firstLine="420"/>
              <w:jc w:val="center"/>
              <w:rPr>
                <w:rFonts w:ascii="宋体" w:hAnsi="宋体" w:cs="宋体"/>
                <w:sz w:val="21"/>
                <w:szCs w:val="21"/>
                <w:highlight w:val="none"/>
              </w:rPr>
            </w:pPr>
            <w:r>
              <w:rPr>
                <w:rFonts w:hint="eastAsia" w:ascii="宋体" w:hAnsi="宋体" w:cs="宋体"/>
                <w:sz w:val="21"/>
                <w:szCs w:val="21"/>
                <w:highlight w:val="none"/>
              </w:rPr>
              <w:t>小朋友操作资源平台</w:t>
            </w:r>
          </w:p>
        </w:tc>
        <w:tc>
          <w:tcPr>
            <w:tcW w:w="5675" w:type="dxa"/>
          </w:tcPr>
          <w:p>
            <w:pPr>
              <w:widowControl/>
              <w:spacing w:line="360" w:lineRule="exact"/>
              <w:jc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1.采用M型卡通外型设计，采用木质结构或塑料成型结构,尺寸长1040mm宽560mm高480mm（±10mm）配套4个方型卡通儿童凳;</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w:t>
            </w:r>
            <w:r>
              <w:rPr>
                <w:rFonts w:hint="eastAsia" w:ascii="宋体" w:hAnsi="Calibri" w:cs="宋体"/>
                <w:kern w:val="0"/>
                <w:sz w:val="21"/>
                <w:szCs w:val="21"/>
                <w:highlight w:val="none"/>
              </w:rPr>
              <w:t>★</w:t>
            </w:r>
            <w:r>
              <w:rPr>
                <w:rFonts w:hint="eastAsia" w:ascii="宋体" w:hAnsi="宋体" w:cs="宋体"/>
                <w:color w:val="000000"/>
                <w:kern w:val="0"/>
                <w:sz w:val="21"/>
                <w:szCs w:val="21"/>
                <w:highlight w:val="none"/>
                <w:lang w:bidi="ar"/>
              </w:rPr>
              <w:t>边缘及尖端处理：不应有危险锐利边缘及危险锐利尖端，棱角及边缘部位应经倒圆或倒角处理。产品离地面高度1600mm以下位置的可接触危险外脚应倒圆处</w:t>
            </w:r>
            <w:r>
              <w:rPr>
                <w:rFonts w:hint="eastAsia" w:ascii="宋体" w:hAnsi="宋体" w:cs="宋体"/>
                <w:kern w:val="0"/>
                <w:sz w:val="21"/>
                <w:szCs w:val="21"/>
                <w:highlight w:val="none"/>
                <w:lang w:bidi="ar"/>
              </w:rPr>
              <w:t>理，且倒圆半径不小于10mm，或倒圆弧长不小于15mm.符合儿童安全使用;（</w:t>
            </w:r>
            <w:r>
              <w:rPr>
                <w:rFonts w:hint="eastAsia" w:ascii="宋体" w:hAnsi="Calibri" w:cs="宋体"/>
                <w:sz w:val="21"/>
                <w:szCs w:val="21"/>
                <w:highlight w:val="none"/>
              </w:rPr>
              <w:t>（需提供检测机构检测报告证明材料复印件，加盖生产厂家公章。）</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3.屏幕尺寸：32英寸;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4.显示比例：16:9;</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5.分辨率：≥1920×1080;</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6.显示尺寸：(H)392.85mm×(V)698.4mm;</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7.动态对比度：≥1000:1;</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8.亮度：≥350cd/m²;</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9.可视角度：89/89/89/89 (Typ.)(CR≥10);</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10.触摸屏类型：10点投射型电容触摸屏;</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11.表面硬度：表面钢化玻璃, 莫氏硬度等级≥7;</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12.液晶屏和触摸屏贴合方式：全贴合;</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13.处理器：CPU≥8核，采用四核ARM Cortex-A76 和四核Cortex-A55 组成的八核CPU处理器，高性能，低功耗和缓存应用处理器;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14.GPU:不低于ARM Mali-G610 MP4;</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15.内存：≥8G DDR3/1066MHz;</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16.储存:≥128G eMMC;</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17.WIFI：支持双频WIFI</w:t>
            </w:r>
          </w:p>
        </w:tc>
        <w:tc>
          <w:tcPr>
            <w:tcW w:w="680" w:type="dxa"/>
            <w:vAlign w:val="center"/>
          </w:tcPr>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套</w:t>
            </w:r>
          </w:p>
        </w:tc>
        <w:tc>
          <w:tcPr>
            <w:tcW w:w="680" w:type="dxa"/>
            <w:vAlign w:val="center"/>
          </w:tcPr>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8" w:type="dxa"/>
            <w:vAlign w:val="center"/>
          </w:tcPr>
          <w:p>
            <w:pPr>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3</w:t>
            </w:r>
          </w:p>
        </w:tc>
        <w:tc>
          <w:tcPr>
            <w:tcW w:w="733" w:type="dxa"/>
            <w:textDirection w:val="tbRlV"/>
            <w:vAlign w:val="center"/>
          </w:tcPr>
          <w:p>
            <w:pPr>
              <w:spacing w:line="360" w:lineRule="exact"/>
              <w:ind w:left="113" w:right="113" w:firstLine="420"/>
              <w:jc w:val="center"/>
              <w:rPr>
                <w:rFonts w:ascii="宋体" w:hAnsi="宋体" w:cs="宋体"/>
                <w:sz w:val="21"/>
                <w:szCs w:val="21"/>
                <w:highlight w:val="none"/>
              </w:rPr>
            </w:pPr>
            <w:r>
              <w:rPr>
                <w:rFonts w:hint="eastAsia" w:ascii="宋体" w:hAnsi="宋体" w:cs="宋体"/>
                <w:sz w:val="21"/>
                <w:szCs w:val="21"/>
                <w:highlight w:val="none"/>
              </w:rPr>
              <w:t>体感摄像头</w:t>
            </w:r>
          </w:p>
        </w:tc>
        <w:tc>
          <w:tcPr>
            <w:tcW w:w="777" w:type="dxa"/>
            <w:textDirection w:val="tbRlV"/>
            <w:vAlign w:val="center"/>
          </w:tcPr>
          <w:p>
            <w:pPr>
              <w:spacing w:line="360" w:lineRule="exact"/>
              <w:ind w:right="113"/>
              <w:jc w:val="center"/>
              <w:rPr>
                <w:rFonts w:ascii="宋体" w:hAnsi="宋体" w:cs="宋体"/>
                <w:sz w:val="21"/>
                <w:szCs w:val="21"/>
                <w:highlight w:val="none"/>
              </w:rPr>
            </w:pPr>
            <w:r>
              <w:rPr>
                <w:rFonts w:hint="eastAsia" w:ascii="宋体" w:hAnsi="宋体" w:cs="宋体"/>
                <w:sz w:val="21"/>
                <w:szCs w:val="21"/>
                <w:highlight w:val="none"/>
              </w:rPr>
              <w:t>体感游戏互动设备</w:t>
            </w:r>
          </w:p>
        </w:tc>
        <w:tc>
          <w:tcPr>
            <w:tcW w:w="5675" w:type="dxa"/>
          </w:tcPr>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1、性能感应器：颜色和深度感应镜头</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2、接口 ：USB 2.0及以上</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3、水平视角：≥59度</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4、垂直视角：≥46度</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5、工作距离：≥1米</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6、人物追踪：同时追踪不小于两个玩家可以同时操作一个游戏数据流：</w:t>
            </w:r>
          </w:p>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7、深度感应镜头：≥320×240，30fps</w:t>
            </w:r>
          </w:p>
          <w:p>
            <w:pPr>
              <w:widowControl/>
              <w:spacing w:line="360" w:lineRule="exact"/>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8、颜色感应镜头：≥640×480，30fps</w:t>
            </w:r>
          </w:p>
        </w:tc>
        <w:tc>
          <w:tcPr>
            <w:tcW w:w="680" w:type="dxa"/>
            <w:vAlign w:val="center"/>
          </w:tcPr>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套</w:t>
            </w:r>
          </w:p>
        </w:tc>
        <w:tc>
          <w:tcPr>
            <w:tcW w:w="680" w:type="dxa"/>
            <w:vAlign w:val="center"/>
          </w:tcPr>
          <w:p>
            <w:pPr>
              <w:widowControl/>
              <w:spacing w:line="360" w:lineRule="exact"/>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748" w:type="dxa"/>
            <w:vAlign w:val="center"/>
          </w:tcPr>
          <w:p>
            <w:pPr>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4</w:t>
            </w:r>
          </w:p>
        </w:tc>
        <w:tc>
          <w:tcPr>
            <w:tcW w:w="733" w:type="dxa"/>
            <w:textDirection w:val="tbRlV"/>
            <w:vAlign w:val="center"/>
          </w:tcPr>
          <w:p>
            <w:pPr>
              <w:spacing w:line="360" w:lineRule="exact"/>
              <w:ind w:left="113" w:right="113" w:firstLine="420"/>
              <w:jc w:val="center"/>
              <w:rPr>
                <w:rFonts w:ascii="宋体" w:hAnsi="宋体" w:cs="宋体"/>
                <w:sz w:val="21"/>
                <w:szCs w:val="21"/>
                <w:highlight w:val="none"/>
              </w:rPr>
            </w:pPr>
            <w:r>
              <w:rPr>
                <w:rFonts w:hint="eastAsia" w:ascii="宋体" w:hAnsi="宋体" w:cs="宋体"/>
                <w:sz w:val="21"/>
                <w:szCs w:val="21"/>
                <w:highlight w:val="none"/>
              </w:rPr>
              <w:t>无线AP</w:t>
            </w:r>
          </w:p>
        </w:tc>
        <w:tc>
          <w:tcPr>
            <w:tcW w:w="777" w:type="dxa"/>
            <w:textDirection w:val="tbRlV"/>
            <w:vAlign w:val="center"/>
          </w:tcPr>
          <w:p>
            <w:pPr>
              <w:spacing w:line="360" w:lineRule="exact"/>
              <w:ind w:left="113" w:right="113" w:firstLine="420"/>
              <w:jc w:val="center"/>
              <w:rPr>
                <w:rFonts w:ascii="宋体" w:hAnsi="宋体" w:cs="宋体"/>
                <w:sz w:val="21"/>
                <w:szCs w:val="21"/>
                <w:highlight w:val="none"/>
              </w:rPr>
            </w:pPr>
            <w:r>
              <w:rPr>
                <w:rFonts w:hint="eastAsia" w:ascii="宋体" w:hAnsi="宋体" w:cs="宋体"/>
                <w:sz w:val="21"/>
                <w:szCs w:val="21"/>
                <w:highlight w:val="none"/>
              </w:rPr>
              <w:t>互动辅助设备</w:t>
            </w:r>
          </w:p>
        </w:tc>
        <w:tc>
          <w:tcPr>
            <w:tcW w:w="5675" w:type="dxa"/>
          </w:tcPr>
          <w:p>
            <w:pPr>
              <w:widowControl/>
              <w:spacing w:line="360" w:lineRule="exact"/>
              <w:ind w:right="280"/>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1、5G MIMO技术：2x2 MIMO</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2、LAN输出口：千兆网口</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3、供电方式：POE/DC供电</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4、内存容量：16MB</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5、WAN口类型：电口</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6、.4G MIMO技术：2x2 MIMO</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7、支持IPv6：不支持IPv6</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8、无线速率：1200M</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9、无线协议：Wi-Fi 5</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rPr>
              <w:t>10、LAN口类型：电口</w:t>
            </w:r>
          </w:p>
        </w:tc>
        <w:tc>
          <w:tcPr>
            <w:tcW w:w="680" w:type="dxa"/>
            <w:vAlign w:val="center"/>
          </w:tcPr>
          <w:p>
            <w:pPr>
              <w:widowControl/>
              <w:spacing w:line="360" w:lineRule="exact"/>
              <w:ind w:right="280"/>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套</w:t>
            </w:r>
          </w:p>
        </w:tc>
        <w:tc>
          <w:tcPr>
            <w:tcW w:w="680" w:type="dxa"/>
            <w:vAlign w:val="center"/>
          </w:tcPr>
          <w:p>
            <w:pPr>
              <w:widowControl/>
              <w:spacing w:line="360" w:lineRule="exact"/>
              <w:ind w:right="280"/>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r>
    </w:tbl>
    <w:tbl>
      <w:tblPr>
        <w:tblStyle w:val="5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00"/>
        <w:gridCol w:w="5895"/>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80" w:type="dxa"/>
            <w:vAlign w:val="center"/>
          </w:tcPr>
          <w:p>
            <w:pPr>
              <w:spacing w:line="360" w:lineRule="exact"/>
              <w:ind w:right="280"/>
              <w:jc w:val="center"/>
              <w:rPr>
                <w:rFonts w:ascii="宋体" w:hAnsi="宋体" w:cs="宋体"/>
                <w:sz w:val="21"/>
                <w:szCs w:val="21"/>
                <w:highlight w:val="none"/>
              </w:rPr>
            </w:pPr>
            <w:r>
              <w:rPr>
                <w:rFonts w:hint="eastAsia" w:ascii="宋体" w:hAnsi="宋体" w:cs="宋体"/>
                <w:sz w:val="21"/>
                <w:szCs w:val="21"/>
                <w:highlight w:val="none"/>
              </w:rPr>
              <w:t>5</w:t>
            </w:r>
          </w:p>
        </w:tc>
        <w:tc>
          <w:tcPr>
            <w:tcW w:w="1100" w:type="dxa"/>
            <w:vAlign w:val="center"/>
          </w:tcPr>
          <w:p>
            <w:pPr>
              <w:spacing w:line="360" w:lineRule="exact"/>
              <w:ind w:right="280"/>
              <w:jc w:val="center"/>
              <w:rPr>
                <w:rFonts w:ascii="宋体" w:hAnsi="宋体" w:cs="宋体"/>
                <w:bCs/>
                <w:sz w:val="21"/>
                <w:szCs w:val="21"/>
                <w:highlight w:val="none"/>
              </w:rPr>
            </w:pPr>
            <w:r>
              <w:rPr>
                <w:rFonts w:hint="eastAsia" w:ascii="宋体" w:hAnsi="宋体" w:cs="宋体"/>
                <w:bCs/>
                <w:sz w:val="21"/>
                <w:szCs w:val="21"/>
                <w:highlight w:val="none"/>
              </w:rPr>
              <w:t>AI爱国主义互动系统软件（用户端）</w:t>
            </w:r>
          </w:p>
        </w:tc>
        <w:tc>
          <w:tcPr>
            <w:tcW w:w="5895" w:type="dxa"/>
            <w:vAlign w:val="center"/>
          </w:tcPr>
          <w:p>
            <w:pPr>
              <w:widowControl/>
              <w:spacing w:line="360" w:lineRule="exact"/>
              <w:ind w:right="280"/>
              <w:jc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1.AI爱国主义互动学习软件（服务端）与AI爱国主义互动系统软件（用户端）须为同一品牌、同一软件平台，且在软件平台同时管理、操作、授权使用；</w:t>
            </w:r>
            <w:r>
              <w:rPr>
                <w:rFonts w:hint="eastAsia" w:ascii="宋体" w:hAnsi="Calibri" w:cs="宋体"/>
                <w:bCs/>
                <w:sz w:val="21"/>
                <w:szCs w:val="21"/>
                <w:highlight w:val="none"/>
              </w:rPr>
              <w:t>（提供软件界面截图作佐证，加盖制造商鲜章）</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2.桌面课程软件由服务端软件和用户端软件两部分组成。服务端和用户端须通过网络形成互动操作；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3.支持服务端软件控制用户端软件的开始、暂停、静音、退出等功能；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4.为防止用户端随意操作，支持用户端软件须由服务端授权使用等功能，独立使用会提示：“请启动教师端”等提示。</w:t>
            </w:r>
            <w:r>
              <w:rPr>
                <w:rFonts w:hint="eastAsia" w:ascii="宋体" w:hAnsi="宋体" w:cs="宋体"/>
                <w:color w:val="000000"/>
                <w:kern w:val="0"/>
                <w:sz w:val="21"/>
                <w:szCs w:val="21"/>
                <w:highlight w:val="none"/>
                <w:lang w:bidi="ar"/>
              </w:rPr>
              <w:br w:type="textWrapping"/>
            </w:r>
            <w:r>
              <w:rPr>
                <w:rFonts w:hint="eastAsia" w:ascii="宋体" w:hAnsi="Calibri" w:cs="宋体"/>
                <w:kern w:val="0"/>
                <w:sz w:val="21"/>
                <w:szCs w:val="21"/>
                <w:highlight w:val="none"/>
              </w:rPr>
              <w:t>★</w:t>
            </w:r>
            <w:r>
              <w:rPr>
                <w:rFonts w:hint="eastAsia" w:ascii="宋体" w:hAnsi="宋体" w:cs="宋体"/>
                <w:color w:val="000000"/>
                <w:kern w:val="0"/>
                <w:sz w:val="21"/>
                <w:szCs w:val="21"/>
                <w:highlight w:val="none"/>
                <w:lang w:bidi="ar"/>
              </w:rPr>
              <w:t>5.支持用户端软件复制四个独立操作的界面，满足四人同时独立操作，触屏指令互不干扰，且每个界面与服务端单独互动时不影响其他界面的操作；</w:t>
            </w:r>
            <w:r>
              <w:rPr>
                <w:rFonts w:ascii="宋体" w:hAnsi="Calibri" w:cs="宋体"/>
                <w:bCs/>
                <w:sz w:val="21"/>
                <w:szCs w:val="21"/>
                <w:highlight w:val="none"/>
              </w:rPr>
              <w:t>（提供软件界面截图作佐证，加盖制造商鲜章）</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6.服务端与用户端通过网络通信时，每个用户端会分配唯一的身份ID，同时服务端可限制用户端的接入数量，支持用户端的接入数量不少于16台；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7.支持用户端的成果在服务端屏幕上展示、排名等功能；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8.支持当服务端与用户端通信网络中断时，用户端会提示：“无法连接到教师端”等提示；</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9.软件内容依据社会主义核心价值观的十二个主题架构进行分类，根据3-8岁儿童发展水平和成长规律，内容具有：红色旗帜、川剧变脸、民族服饰、小小提案、星球探险家等不低于20个互动内容。软件内容具有自主知识产权；</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10.为了方便开展活动，需配备《活动指导手册》，且软件内容可以在活动指导手册中找到相应使用内容，内容符合社会主义核心价值观及符合国家的政治要求。</w:t>
            </w:r>
          </w:p>
        </w:tc>
        <w:tc>
          <w:tcPr>
            <w:tcW w:w="624" w:type="dxa"/>
            <w:vAlign w:val="center"/>
          </w:tcPr>
          <w:p>
            <w:pPr>
              <w:widowControl/>
              <w:spacing w:line="360" w:lineRule="exact"/>
              <w:ind w:right="280"/>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套</w:t>
            </w:r>
          </w:p>
        </w:tc>
        <w:tc>
          <w:tcPr>
            <w:tcW w:w="624" w:type="dxa"/>
            <w:vAlign w:val="center"/>
          </w:tcPr>
          <w:p>
            <w:pPr>
              <w:widowControl/>
              <w:spacing w:line="360" w:lineRule="exact"/>
              <w:ind w:right="280"/>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580" w:type="dxa"/>
            <w:vAlign w:val="center"/>
          </w:tcPr>
          <w:p>
            <w:pPr>
              <w:spacing w:line="360" w:lineRule="exact"/>
              <w:ind w:right="280"/>
              <w:jc w:val="center"/>
              <w:rPr>
                <w:rFonts w:ascii="宋体" w:hAnsi="宋体" w:cs="宋体"/>
                <w:sz w:val="21"/>
                <w:szCs w:val="21"/>
                <w:highlight w:val="none"/>
              </w:rPr>
            </w:pPr>
            <w:r>
              <w:rPr>
                <w:rFonts w:ascii="宋体" w:hAnsi="宋体" w:cs="宋体"/>
                <w:sz w:val="21"/>
                <w:szCs w:val="21"/>
                <w:highlight w:val="none"/>
              </w:rPr>
              <w:t>6</w:t>
            </w:r>
          </w:p>
        </w:tc>
        <w:tc>
          <w:tcPr>
            <w:tcW w:w="1100" w:type="dxa"/>
            <w:vAlign w:val="center"/>
          </w:tcPr>
          <w:p>
            <w:pPr>
              <w:spacing w:line="360" w:lineRule="exact"/>
              <w:ind w:right="280"/>
              <w:jc w:val="center"/>
              <w:rPr>
                <w:rFonts w:ascii="宋体" w:hAnsi="宋体" w:cs="宋体"/>
                <w:bCs/>
                <w:sz w:val="21"/>
                <w:szCs w:val="21"/>
                <w:highlight w:val="none"/>
              </w:rPr>
            </w:pPr>
            <w:r>
              <w:rPr>
                <w:rFonts w:hint="eastAsia" w:ascii="宋体" w:hAnsi="宋体" w:cs="宋体"/>
                <w:bCs/>
                <w:sz w:val="21"/>
                <w:szCs w:val="21"/>
                <w:highlight w:val="none"/>
              </w:rPr>
              <w:t>AI爱国主义互动学习软件（服务端）</w:t>
            </w:r>
          </w:p>
        </w:tc>
        <w:tc>
          <w:tcPr>
            <w:tcW w:w="5895" w:type="dxa"/>
            <w:vAlign w:val="center"/>
          </w:tcPr>
          <w:p>
            <w:pPr>
              <w:widowControl/>
              <w:spacing w:line="360" w:lineRule="exact"/>
              <w:ind w:right="280"/>
              <w:jc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1.AI爱国主义互动学习软件（服务端）与AI爱国主义互动系统软件（用户端）须为同一品牌、同一软件平台，且在软件平台同时管理、操作、授权使用；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2.支持AI技术，如人脸识别、语音识别、语义识别、语音合成等功能；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3.支持通过AR体感识别设备及应用技术抓取人体骨骼信息，并生成用户骨骼框架，实现肢体动作操控软件元素；</w:t>
            </w:r>
            <w:r>
              <w:rPr>
                <w:rFonts w:hint="eastAsia" w:ascii="宋体" w:hAnsi="宋体" w:cs="宋体"/>
                <w:color w:val="000000"/>
                <w:kern w:val="0"/>
                <w:sz w:val="21"/>
                <w:szCs w:val="21"/>
                <w:highlight w:val="none"/>
                <w:lang w:bidi="ar"/>
              </w:rPr>
              <w:br w:type="textWrapping"/>
            </w:r>
            <w:r>
              <w:rPr>
                <w:rFonts w:hint="eastAsia" w:ascii="宋体" w:hAnsi="Calibri" w:cs="宋体"/>
                <w:kern w:val="0"/>
                <w:sz w:val="21"/>
                <w:szCs w:val="21"/>
                <w:highlight w:val="none"/>
              </w:rPr>
              <w:t>★</w:t>
            </w:r>
            <w:r>
              <w:rPr>
                <w:rFonts w:hint="eastAsia" w:ascii="宋体" w:hAnsi="宋体" w:cs="宋体"/>
                <w:color w:val="000000"/>
                <w:kern w:val="0"/>
                <w:sz w:val="21"/>
                <w:szCs w:val="21"/>
                <w:highlight w:val="none"/>
                <w:lang w:bidi="ar"/>
              </w:rPr>
              <w:t>4.支持人脸抓取，并在屏幕上显示抓取的用户头像；</w:t>
            </w:r>
            <w:r>
              <w:rPr>
                <w:rFonts w:ascii="宋体" w:hAnsi="Calibri" w:cs="宋体"/>
                <w:bCs/>
                <w:sz w:val="21"/>
                <w:szCs w:val="21"/>
                <w:highlight w:val="none"/>
              </w:rPr>
              <w:t>（提供软件界面截图作佐证，加盖制造商鲜章）</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5.支持手部动作识别，可识别手指张开和握拳等细微动作；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6.支持识别多名操作者，支持多人同时操作；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7.支持智能判断操作者距离，可快速切换到最佳操作距离的操作者；</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8.支持智能识别范围内的操作者，没有发现操作者则暂停当前内容，进入提示界面；</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9.软件内容依据社会主义核心价值观的十二个主题架构进行分类，根据3-8岁儿童发展水平和成长规律，内容具有：立春、长征路上、百万雄师过大江、我能做得到、成语接龙等不低于15个互动内容，软件内容具有自主知识产权；</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10.扩展资源包具有：舒尔特方格、有趣的蜘蛛网、乐器大师、恐龙喂食、数的排序等不少于20个互动内容，软件内容具有自主知识产权；</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11.为了方便开展活动，需配备《活动指导手册》，且软件内容可以在活动指导手册中找到相应使用内容，内容符合社会主义核心价值观及符合国家的政治要求。</w:t>
            </w:r>
          </w:p>
        </w:tc>
        <w:tc>
          <w:tcPr>
            <w:tcW w:w="624" w:type="dxa"/>
            <w:vAlign w:val="center"/>
          </w:tcPr>
          <w:p>
            <w:pPr>
              <w:widowControl/>
              <w:spacing w:line="360" w:lineRule="exact"/>
              <w:ind w:right="280"/>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套</w:t>
            </w:r>
          </w:p>
        </w:tc>
        <w:tc>
          <w:tcPr>
            <w:tcW w:w="624" w:type="dxa"/>
            <w:vAlign w:val="center"/>
          </w:tcPr>
          <w:p>
            <w:pPr>
              <w:widowControl/>
              <w:spacing w:line="360" w:lineRule="exact"/>
              <w:ind w:right="280"/>
              <w:jc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580" w:type="dxa"/>
            <w:vAlign w:val="center"/>
          </w:tcPr>
          <w:p>
            <w:pPr>
              <w:spacing w:line="360" w:lineRule="exact"/>
              <w:ind w:right="280"/>
              <w:rPr>
                <w:rFonts w:ascii="宋体" w:hAnsi="宋体" w:cs="宋体"/>
                <w:sz w:val="21"/>
                <w:szCs w:val="21"/>
                <w:highlight w:val="none"/>
              </w:rPr>
            </w:pPr>
            <w:r>
              <w:rPr>
                <w:rFonts w:ascii="宋体" w:hAnsi="宋体" w:cs="宋体"/>
                <w:sz w:val="21"/>
                <w:szCs w:val="21"/>
                <w:highlight w:val="none"/>
              </w:rPr>
              <w:t>7</w:t>
            </w:r>
          </w:p>
        </w:tc>
        <w:tc>
          <w:tcPr>
            <w:tcW w:w="1100" w:type="dxa"/>
            <w:vAlign w:val="center"/>
          </w:tcPr>
          <w:p>
            <w:pPr>
              <w:pStyle w:val="3"/>
              <w:keepNext w:val="0"/>
              <w:widowControl/>
              <w:spacing w:line="360" w:lineRule="exact"/>
              <w:ind w:right="280"/>
              <w:jc w:val="center"/>
              <w:outlineLvl w:val="0"/>
              <w:rPr>
                <w:rFonts w:hAnsi="宋体" w:cs="宋体"/>
                <w:b/>
                <w:sz w:val="21"/>
                <w:szCs w:val="21"/>
                <w:highlight w:val="none"/>
              </w:rPr>
            </w:pPr>
            <w:r>
              <w:rPr>
                <w:rFonts w:hint="eastAsia" w:hAnsi="Calibri" w:cs="宋体"/>
                <w:bCs/>
                <w:sz w:val="21"/>
                <w:szCs w:val="21"/>
                <w:highlight w:val="none"/>
              </w:rPr>
              <w:t>AI爱国主义视频应用资源软件</w:t>
            </w:r>
          </w:p>
        </w:tc>
        <w:tc>
          <w:tcPr>
            <w:tcW w:w="5895" w:type="dxa"/>
            <w:vAlign w:val="center"/>
          </w:tcPr>
          <w:p>
            <w:pPr>
              <w:widowControl/>
              <w:spacing w:line="360" w:lineRule="exact"/>
              <w:ind w:right="280"/>
              <w:rPr>
                <w:rFonts w:ascii="宋体" w:hAnsi="宋体" w:cs="宋体"/>
                <w:sz w:val="21"/>
                <w:szCs w:val="21"/>
                <w:highlight w:val="none"/>
              </w:rPr>
            </w:pPr>
            <w:r>
              <w:rPr>
                <w:rFonts w:hint="eastAsia" w:ascii="宋体" w:hAnsi="宋体" w:cs="宋体"/>
                <w:color w:val="000000"/>
                <w:kern w:val="0"/>
                <w:sz w:val="21"/>
                <w:szCs w:val="21"/>
                <w:highlight w:val="none"/>
                <w:lang w:bidi="ar"/>
              </w:rPr>
              <w:t>1.资源库围绕“从小学党史 永远跟党走”主题教育活动，有完整的视频教育体系，国家级正式出版的数字化出版物，500个以上专题片，视频教育资源不低于10000分钟在线资源视频；</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内容包含《伟业之魂》《伟业之路》《伟业之梦》《丰碑》《筑梦路上》《东方主战场》《抗战史上的今天》《一带一路》《超级工程》《飞天梦》十大主题，内容涉及党史、新中国史、改革开放史、社会主义发展史。</w:t>
            </w:r>
          </w:p>
        </w:tc>
        <w:tc>
          <w:tcPr>
            <w:tcW w:w="624" w:type="dxa"/>
            <w:vAlign w:val="center"/>
          </w:tcPr>
          <w:p>
            <w:pPr>
              <w:widowControl/>
              <w:spacing w:line="360" w:lineRule="exact"/>
              <w:ind w:right="280"/>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套</w:t>
            </w:r>
          </w:p>
        </w:tc>
        <w:tc>
          <w:tcPr>
            <w:tcW w:w="624" w:type="dxa"/>
            <w:vAlign w:val="center"/>
          </w:tcPr>
          <w:p>
            <w:pPr>
              <w:widowControl/>
              <w:spacing w:line="360" w:lineRule="exact"/>
              <w:ind w:right="280"/>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580" w:type="dxa"/>
            <w:vAlign w:val="center"/>
          </w:tcPr>
          <w:p>
            <w:pPr>
              <w:spacing w:line="360" w:lineRule="exact"/>
              <w:ind w:right="280"/>
              <w:rPr>
                <w:rFonts w:ascii="宋体" w:hAnsi="宋体" w:cs="宋体"/>
                <w:sz w:val="21"/>
                <w:szCs w:val="21"/>
                <w:highlight w:val="none"/>
              </w:rPr>
            </w:pPr>
            <w:r>
              <w:rPr>
                <w:rFonts w:hint="eastAsia" w:ascii="宋体" w:hAnsi="宋体" w:cs="宋体"/>
                <w:sz w:val="21"/>
                <w:szCs w:val="21"/>
                <w:highlight w:val="none"/>
              </w:rPr>
              <w:t>8</w:t>
            </w:r>
          </w:p>
        </w:tc>
        <w:tc>
          <w:tcPr>
            <w:tcW w:w="1100" w:type="dxa"/>
            <w:vAlign w:val="center"/>
          </w:tcPr>
          <w:p>
            <w:pPr>
              <w:pStyle w:val="3"/>
              <w:keepNext w:val="0"/>
              <w:widowControl/>
              <w:spacing w:line="360" w:lineRule="exact"/>
              <w:ind w:right="280"/>
              <w:jc w:val="center"/>
              <w:outlineLvl w:val="0"/>
              <w:rPr>
                <w:rFonts w:hAnsi="Calibri" w:cs="宋体"/>
                <w:bCs/>
                <w:sz w:val="21"/>
                <w:szCs w:val="21"/>
                <w:highlight w:val="none"/>
              </w:rPr>
            </w:pPr>
            <w:r>
              <w:rPr>
                <w:rFonts w:hint="eastAsia" w:hAnsi="Calibri" w:cs="宋体"/>
                <w:bCs/>
                <w:sz w:val="21"/>
                <w:szCs w:val="21"/>
                <w:highlight w:val="none"/>
              </w:rPr>
              <w:t>信息系统服务费</w:t>
            </w:r>
          </w:p>
        </w:tc>
        <w:tc>
          <w:tcPr>
            <w:tcW w:w="5895" w:type="dxa"/>
            <w:vAlign w:val="center"/>
          </w:tcPr>
          <w:p>
            <w:pPr>
              <w:widowControl/>
              <w:spacing w:line="360" w:lineRule="exact"/>
              <w:ind w:right="280"/>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提供信息系统集成服务</w:t>
            </w:r>
          </w:p>
        </w:tc>
        <w:tc>
          <w:tcPr>
            <w:tcW w:w="624" w:type="dxa"/>
            <w:vAlign w:val="center"/>
          </w:tcPr>
          <w:p>
            <w:pPr>
              <w:widowControl/>
              <w:spacing w:line="360" w:lineRule="exact"/>
              <w:ind w:right="280"/>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项</w:t>
            </w:r>
          </w:p>
        </w:tc>
        <w:tc>
          <w:tcPr>
            <w:tcW w:w="624" w:type="dxa"/>
            <w:vAlign w:val="center"/>
          </w:tcPr>
          <w:p>
            <w:pPr>
              <w:widowControl/>
              <w:spacing w:line="360" w:lineRule="exact"/>
              <w:ind w:right="280"/>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r>
    </w:tbl>
    <w:p>
      <w:pPr>
        <w:pStyle w:val="2"/>
        <w:rPr>
          <w:highlight w:val="none"/>
        </w:rPr>
      </w:pPr>
    </w:p>
    <w:p>
      <w:pPr>
        <w:spacing w:before="80" w:after="60" w:line="312" w:lineRule="auto"/>
        <w:rPr>
          <w:rFonts w:ascii="宋体" w:hAnsi="宋体" w:cs="宋体"/>
          <w:bCs/>
          <w:sz w:val="24"/>
          <w:szCs w:val="24"/>
          <w:highlight w:val="none"/>
        </w:rPr>
      </w:pPr>
      <w:r>
        <w:rPr>
          <w:rFonts w:hint="eastAsia" w:ascii="宋体" w:hAnsi="宋体" w:cs="宋体"/>
          <w:sz w:val="24"/>
          <w:szCs w:val="24"/>
          <w:highlight w:val="none"/>
        </w:rPr>
        <w:t>（二）响应及技术要求</w:t>
      </w:r>
    </w:p>
    <w:p>
      <w:pPr>
        <w:spacing w:before="80" w:after="60" w:line="312"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1、投标人须严格按照</w:t>
      </w:r>
      <w:r>
        <w:rPr>
          <w:rFonts w:ascii="宋体" w:hAnsi="宋体"/>
          <w:sz w:val="24"/>
          <w:szCs w:val="24"/>
          <w:highlight w:val="none"/>
        </w:rPr>
        <w:t>采购内容</w:t>
      </w:r>
      <w:r>
        <w:rPr>
          <w:rFonts w:hint="eastAsia" w:ascii="宋体" w:hAnsi="宋体"/>
          <w:sz w:val="24"/>
          <w:szCs w:val="24"/>
          <w:highlight w:val="none"/>
        </w:rPr>
        <w:t>及技术要求</w:t>
      </w:r>
      <w:r>
        <w:rPr>
          <w:rFonts w:hint="eastAsia" w:ascii="宋体" w:hAnsi="宋体" w:cs="宋体"/>
          <w:bCs/>
          <w:sz w:val="24"/>
          <w:szCs w:val="24"/>
          <w:highlight w:val="none"/>
        </w:rPr>
        <w:t>投报与之要求相符或高于参数要求的设备，若其中任意一项不能满足，则视为无效报价。</w:t>
      </w:r>
    </w:p>
    <w:p>
      <w:pPr>
        <w:spacing w:before="80" w:after="60" w:line="312"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sz w:val="24"/>
          <w:szCs w:val="24"/>
          <w:highlight w:val="none"/>
        </w:rPr>
        <w:t>投标人所投设备的规格、技术参数、功能等性能指标须符合本竞采文件提出的相关技术、质量、环保、安全标准，不得出现任何一项负偏离，且安装完成后进行</w:t>
      </w:r>
      <w:r>
        <w:rPr>
          <w:rFonts w:hint="eastAsia" w:ascii="宋体" w:hAnsi="宋体" w:cs="宋体"/>
          <w:kern w:val="0"/>
          <w:sz w:val="24"/>
          <w:szCs w:val="24"/>
          <w:highlight w:val="none"/>
        </w:rPr>
        <w:t>验收，未通</w:t>
      </w:r>
      <w:r>
        <w:rPr>
          <w:rFonts w:hint="eastAsia" w:ascii="宋体" w:hAnsi="宋体"/>
          <w:sz w:val="24"/>
          <w:szCs w:val="24"/>
          <w:highlight w:val="none"/>
        </w:rPr>
        <w:t>过验收视为不合格产品，采购人有权向成交供应商解除合同并取消其中标资格。</w:t>
      </w:r>
    </w:p>
    <w:p>
      <w:pPr>
        <w:spacing w:before="80" w:after="60"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3、为保证投标人所提供货物符合本项目的使用效果和功能，避免出现以次充好，虚假响应，报价时须提供：</w:t>
      </w:r>
    </w:p>
    <w:p>
      <w:pPr>
        <w:spacing w:before="80" w:after="60" w:line="312" w:lineRule="auto"/>
        <w:ind w:firstLine="480" w:firstLineChars="200"/>
        <w:rPr>
          <w:rFonts w:ascii="宋体" w:hAnsi="宋体"/>
          <w:sz w:val="24"/>
          <w:szCs w:val="24"/>
          <w:highlight w:val="none"/>
        </w:rPr>
      </w:pPr>
      <w:r>
        <w:rPr>
          <w:rFonts w:hint="eastAsia" w:ascii="宋体" w:hAnsi="宋体" w:cs="宋体"/>
          <w:bCs/>
          <w:sz w:val="24"/>
          <w:szCs w:val="24"/>
          <w:highlight w:val="none"/>
        </w:rPr>
        <w:t>4、竞采文件中所要求的检验报告复印件或相关证明文件，不得伪造（原件备查），采购人或采购代理机构有权要求成交供应商提供所投产品生产厂商出具的检验报告真实性承诺函原件，包括但不限于采取向检测机构核实等方式确认检验报告真伪。如检验报告或相关证明文件为伪造，按虚假响应处理，采购人或采购代理机构有权取消其中标资格，情节严重且对采购人造成重大损失者，报主管部门纳入</w:t>
      </w:r>
      <w:r>
        <w:rPr>
          <w:highlight w:val="none"/>
        </w:rPr>
        <w:fldChar w:fldCharType="begin"/>
      </w:r>
      <w:r>
        <w:rPr>
          <w:highlight w:val="none"/>
        </w:rPr>
        <w:instrText xml:space="preserve"> HYPERLINK "http://www.ccgp.gov.cn/search/cr/" \o "政府采购严重违法失信行为记录名单" </w:instrText>
      </w:r>
      <w:r>
        <w:rPr>
          <w:highlight w:val="none"/>
        </w:rPr>
        <w:fldChar w:fldCharType="separate"/>
      </w:r>
      <w:r>
        <w:rPr>
          <w:rFonts w:hint="eastAsia" w:ascii="宋体" w:hAnsi="宋体" w:cs="宋体"/>
          <w:bCs/>
          <w:sz w:val="24"/>
          <w:szCs w:val="24"/>
          <w:highlight w:val="none"/>
        </w:rPr>
        <w:t>政府采购严重违法失信行为记录名单</w:t>
      </w:r>
      <w:r>
        <w:rPr>
          <w:rFonts w:hint="eastAsia" w:ascii="宋体" w:hAnsi="宋体" w:cs="宋体"/>
          <w:bCs/>
          <w:sz w:val="24"/>
          <w:szCs w:val="24"/>
          <w:highlight w:val="none"/>
        </w:rPr>
        <w:fldChar w:fldCharType="end"/>
      </w:r>
      <w:r>
        <w:rPr>
          <w:rFonts w:hint="eastAsia" w:ascii="宋体" w:hAnsi="宋体" w:cs="宋体"/>
          <w:bCs/>
          <w:sz w:val="24"/>
          <w:szCs w:val="24"/>
          <w:highlight w:val="none"/>
        </w:rPr>
        <w:t>并追究相关责任。</w:t>
      </w:r>
    </w:p>
    <w:p>
      <w:pPr>
        <w:pStyle w:val="4"/>
        <w:spacing w:before="120" w:after="120" w:line="312" w:lineRule="auto"/>
        <w:rPr>
          <w:rFonts w:cs="宋体"/>
          <w:sz w:val="24"/>
          <w:szCs w:val="24"/>
          <w:highlight w:val="none"/>
        </w:rPr>
      </w:pPr>
      <w:r>
        <w:rPr>
          <w:rFonts w:hint="eastAsia" w:cs="宋体"/>
          <w:sz w:val="24"/>
          <w:szCs w:val="24"/>
          <w:highlight w:val="none"/>
        </w:rPr>
        <w:t>（三）安装及安全要求</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1、供应商应提供专业的技术人员为本项目进行安装，应遵守安全生产的有关管理规定，严格按照安全标准组织实施，采取必要的安全防护措施，消除隐患。在安装过程中由于供应商管理或安全措施不力造成周边环境破坏或事故责任和因此发生的费用，由供应商自行承担。供应商负责进入现场实施人员及财物安全，发生任何伤亡事故与采购人无关，供应商自行解决并承担相应的法律责任和财产损失赔偿责任。如因安装导致第三人人身、财产损失由供应商承担赔偿责任。 </w:t>
      </w:r>
    </w:p>
    <w:p>
      <w:pPr>
        <w:spacing w:line="360" w:lineRule="auto"/>
        <w:ind w:firstLine="520" w:firstLineChars="217"/>
        <w:rPr>
          <w:rFonts w:ascii="宋体" w:hAnsi="宋体"/>
          <w:b/>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说明：供应商所投产品的规格、技术参数、功能等指标须符合本采购文件提出的相关技术、质量、环保、安全标准，不得出现任何一项负偏离，供应商必须全部满足（不偏离或正偏离），若有一项未响应或不满足（负偏离），按无效竞采处理。</w:t>
      </w:r>
    </w:p>
    <w:p>
      <w:pPr>
        <w:pStyle w:val="3"/>
        <w:spacing w:line="360" w:lineRule="auto"/>
        <w:ind w:firstLine="723" w:firstLineChars="300"/>
        <w:rPr>
          <w:rFonts w:hAnsi="宋体"/>
          <w:b/>
          <w:sz w:val="24"/>
          <w:highlight w:val="none"/>
        </w:rPr>
      </w:pPr>
      <w:r>
        <w:rPr>
          <w:rFonts w:hint="eastAsia" w:hAnsi="宋体"/>
          <w:b/>
          <w:sz w:val="24"/>
          <w:highlight w:val="none"/>
        </w:rPr>
        <w:t>四</w:t>
      </w:r>
      <w:r>
        <w:rPr>
          <w:rFonts w:hAnsi="宋体"/>
          <w:b/>
          <w:sz w:val="24"/>
          <w:highlight w:val="none"/>
        </w:rPr>
        <w:t>、</w:t>
      </w:r>
      <w:r>
        <w:rPr>
          <w:rFonts w:hint="eastAsia" w:hAnsi="宋体"/>
          <w:b/>
          <w:sz w:val="24"/>
          <w:highlight w:val="none"/>
        </w:rPr>
        <w:t>项目商务要求</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（一）交货时间：</w:t>
      </w:r>
      <w:r>
        <w:rPr>
          <w:rFonts w:ascii="宋体" w:hAnsi="宋体" w:cs="宋体"/>
          <w:color w:val="000000"/>
          <w:sz w:val="24"/>
          <w:szCs w:val="24"/>
          <w:highlight w:val="none"/>
        </w:rPr>
        <w:t>在合同签订后</w:t>
      </w:r>
      <w:r>
        <w:rPr>
          <w:rFonts w:hint="eastAsia" w:ascii="宋体" w:hAnsi="宋体" w:cs="宋体"/>
          <w:color w:val="000000"/>
          <w:sz w:val="24"/>
          <w:szCs w:val="24"/>
          <w:highlight w:val="none"/>
        </w:rPr>
        <w:t>30个工作日</w:t>
      </w:r>
      <w:r>
        <w:rPr>
          <w:rFonts w:ascii="宋体" w:hAnsi="宋体" w:cs="宋体"/>
          <w:color w:val="000000"/>
          <w:sz w:val="24"/>
          <w:szCs w:val="24"/>
          <w:highlight w:val="none"/>
        </w:rPr>
        <w:t>内，乙方免费送货至甲方</w:t>
      </w:r>
      <w:r>
        <w:rPr>
          <w:rFonts w:hint="eastAsia" w:ascii="宋体" w:hAnsi="宋体" w:cs="宋体"/>
          <w:color w:val="000000"/>
          <w:sz w:val="24"/>
          <w:szCs w:val="24"/>
          <w:highlight w:val="none"/>
        </w:rPr>
        <w:t>指定</w:t>
      </w:r>
      <w:r>
        <w:rPr>
          <w:rFonts w:ascii="宋体" w:hAnsi="宋体" w:cs="宋体"/>
          <w:color w:val="000000"/>
          <w:sz w:val="24"/>
          <w:szCs w:val="24"/>
          <w:highlight w:val="none"/>
        </w:rPr>
        <w:t>地点</w:t>
      </w:r>
      <w:r>
        <w:rPr>
          <w:rFonts w:hint="eastAsia" w:ascii="宋体" w:hAnsi="宋体" w:cs="宋体"/>
          <w:color w:val="000000"/>
          <w:sz w:val="24"/>
          <w:szCs w:val="24"/>
          <w:highlight w:val="none"/>
        </w:rPr>
        <w:t>，提供供货目录清单，供学校项目负责人及货物质量验收时所用，</w:t>
      </w:r>
      <w:r>
        <w:rPr>
          <w:rFonts w:ascii="宋体" w:hAnsi="宋体" w:cs="宋体"/>
          <w:color w:val="000000"/>
          <w:sz w:val="24"/>
          <w:szCs w:val="24"/>
          <w:highlight w:val="none"/>
        </w:rPr>
        <w:t>乙方</w:t>
      </w:r>
      <w:r>
        <w:rPr>
          <w:rFonts w:hint="eastAsia" w:ascii="宋体" w:hAnsi="宋体" w:cs="宋体"/>
          <w:color w:val="000000"/>
          <w:sz w:val="24"/>
          <w:szCs w:val="24"/>
          <w:highlight w:val="none"/>
        </w:rPr>
        <w:t>送货到学校后，所有货物须经学校具体负责人验收合格并签字后方才进行安装调试。</w:t>
      </w:r>
    </w:p>
    <w:p>
      <w:pPr>
        <w:snapToGrid w:val="0"/>
        <w:spacing w:after="120" w:afterLines="50"/>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（二）交货地点：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重庆市黔江区武陵小学校</w:t>
      </w:r>
    </w:p>
    <w:p>
      <w:pPr>
        <w:snapToGrid w:val="0"/>
        <w:spacing w:after="120" w:afterLines="50"/>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（三）验收方式：</w:t>
      </w:r>
    </w:p>
    <w:p>
      <w:pPr>
        <w:snapToGrid w:val="0"/>
        <w:spacing w:after="120" w:afterLines="50"/>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1.货物和系统调试验收的标准：按行业通行标准、出厂标准和供应商投标文件的承诺（详见合同附件载明的标准，并不低于国家相关标准）。</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2.货物的到货验收包括：型号、规格、数量、外观质量及货物包装完整无损。</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3.国内产品或合资厂的产品必须具备出厂合格证和原厂保修卡。</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4.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5.本合同范围的货物，应由乙方直接供应，不得转让他人供应。非经甲方书面同意，乙方不得将本合同范围的货物全部或部分分包给他人供应，如有转让和未经甲方同意的分包行为，甲方有权解除合同，没收履约保证金并追究乙方的违约责任。产品包装材料归采购人所有。</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6.货物和系统安装调试完成后30个工作日之内，甲方无故不进行验收工作而使用货物的，视同已安装调试完成并验收合格。</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7.如有异议，需于5日内提出。乙方在接到甲方异议通知后，应在3日内负责处理并通知甲方处理情况，否则，即视为乙方已接受甲方提出的异议和处理意见。</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8.验收合格条件如下：</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（1）在规定时间内完成交货。</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2）产品品种、规格、数量、技术参数以及商品品牌、生产厂家等与采购文件、成交供应商响应文件及采购合同一致，性能指标达到规定的标准。采购人需要厂家对成交供应商交付的产品（包括质量、技术参数等）进行确认的，厂家应予以配合，并出具书面意见。</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（3）货物技术资料装箱单、合格证等资料齐全。</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（4）产品完成安装调试并试运行符合要求。若需培训的，成交供应商应对采购人进行操作培训，直到采购人能够正常操作。</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（5）采购人有权委托第三方检测机构进行质量（环保）检测的，检测结果若不合格的直接确定为验收不合格。</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（6）达到上述要求后，采购人出具书面验收报告，验收各方人员签字并加盖单位公章后视为最后验收合格依据。</w:t>
      </w:r>
    </w:p>
    <w:p>
      <w:pPr>
        <w:spacing w:line="360" w:lineRule="auto"/>
        <w:ind w:firstLine="720" w:firstLineChars="300"/>
        <w:rPr>
          <w:rFonts w:ascii="宋体" w:hAnsi="宋体"/>
          <w:sz w:val="24"/>
          <w:szCs w:val="24"/>
          <w:highlight w:val="none"/>
        </w:rPr>
      </w:pPr>
      <w:r>
        <w:rPr>
          <w:rFonts w:hint="eastAsia" w:ascii="宋体" w:hAnsi="宋体" w:cs="宋体"/>
          <w:sz w:val="24"/>
          <w:szCs w:val="24"/>
          <w:highlight w:val="none"/>
        </w:rPr>
        <w:t>9、成交供应商提供的货物验收不合格的，采购人拒绝收货和付款，成交供应商无条件撤离所有货物，履约保证金（如有）不予退还并终止合同，由此造成的一切损失，由成交供应商自行承担。如对采购人造成的损失超过履约保证金的，成交供应商还应当依法赔偿超过部分的损失,同时按《政府采购法》等相关法律追究法律责任。</w:t>
      </w:r>
    </w:p>
    <w:p>
      <w:pPr>
        <w:spacing w:line="360" w:lineRule="auto"/>
        <w:ind w:firstLine="720" w:firstLineChars="300"/>
        <w:rPr>
          <w:rFonts w:ascii="宋体" w:hAnsi="宋体"/>
          <w:sz w:val="24"/>
          <w:szCs w:val="24"/>
          <w:highlight w:val="none"/>
        </w:rPr>
      </w:pPr>
      <w:r>
        <w:rPr>
          <w:rFonts w:hint="eastAsia" w:ascii="宋体" w:hAnsi="宋体"/>
          <w:sz w:val="24"/>
          <w:szCs w:val="24"/>
          <w:highlight w:val="none"/>
        </w:rPr>
        <w:t>10、产品包装材料归采购人所有。</w:t>
      </w:r>
    </w:p>
    <w:p>
      <w:pPr>
        <w:spacing w:line="360" w:lineRule="auto"/>
        <w:ind w:firstLine="240" w:firstLineChars="100"/>
        <w:jc w:val="left"/>
        <w:rPr>
          <w:rFonts w:ascii="宋体" w:hAnsi="宋体"/>
          <w:sz w:val="24"/>
          <w:szCs w:val="24"/>
          <w:highlight w:val="none"/>
        </w:rPr>
      </w:pPr>
      <w:r>
        <w:rPr>
          <w:rFonts w:hint="eastAsia" w:ascii="宋体" w:hAnsi="宋体"/>
          <w:sz w:val="24"/>
          <w:szCs w:val="24"/>
          <w:highlight w:val="none"/>
        </w:rPr>
        <w:t xml:space="preserve">（四）质量保证及售后服务：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1、产品质量保证期</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（1）供应商应明确承诺：自验收之日起，提供1年免费质保和软硬件免费上门升级等服务，</w:t>
      </w:r>
      <w:r>
        <w:rPr>
          <w:rFonts w:hint="eastAsia" w:ascii="宋体" w:hAnsi="宋体"/>
          <w:sz w:val="24"/>
          <w:szCs w:val="24"/>
          <w:highlight w:val="none"/>
        </w:rPr>
        <w:t>质保期从所有货品安装调试完毕并验收合格之日起计算。质保期内出现产品质量问题，采购人有权提出退货、更换、索赔，供应商无条件负责维修、更换、赔偿。</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（2）投标产品属于国家规定“三包”范围，投标人的质量保质期承诺优于国家“三包”规定的，按投标人实际承诺执行。</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（3）质保期外服务要求：</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质量保证期过后，成交供应商应同样提供免费电话咨询服务，并应承诺提供产品上门维护服务。质量保证期过后，采购人需要继续由原成交供应商提供售后服务的，成交供应商应以优惠价格提供售后服务。</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sz w:val="24"/>
          <w:szCs w:val="24"/>
          <w:highlight w:val="none"/>
        </w:rPr>
        <w:t>售后服务内容</w:t>
      </w:r>
      <w:r>
        <w:rPr>
          <w:rFonts w:hint="eastAsia" w:ascii="宋体" w:hAnsi="宋体" w:cs="宋体"/>
          <w:color w:val="000000"/>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（1）供应商和制造商在质量保证期内应当为采购人提供以下技术支持和服务：</w:t>
      </w:r>
    </w:p>
    <w:p>
      <w:pPr>
        <w:spacing w:line="360" w:lineRule="auto"/>
        <w:ind w:firstLine="720" w:firstLineChars="300"/>
        <w:rPr>
          <w:rFonts w:ascii="宋体" w:hAnsi="宋体"/>
          <w:sz w:val="24"/>
          <w:szCs w:val="24"/>
          <w:highlight w:val="none"/>
        </w:rPr>
      </w:pPr>
      <w:r>
        <w:rPr>
          <w:rFonts w:hint="eastAsia" w:ascii="宋体" w:hAnsi="宋体"/>
          <w:sz w:val="24"/>
          <w:szCs w:val="24"/>
          <w:highlight w:val="none"/>
        </w:rPr>
        <w:t>①电话咨询</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供应商和制造商应当为采购人提供技术援助电话，解答采购人在使用中遇到的问题，及时为采购人提出解决问题的建议。</w:t>
      </w:r>
    </w:p>
    <w:p>
      <w:pPr>
        <w:spacing w:line="360" w:lineRule="auto"/>
        <w:ind w:firstLine="720" w:firstLineChars="300"/>
        <w:rPr>
          <w:rFonts w:ascii="宋体" w:hAnsi="宋体"/>
          <w:sz w:val="24"/>
          <w:szCs w:val="24"/>
          <w:highlight w:val="none"/>
        </w:rPr>
      </w:pPr>
      <w:r>
        <w:rPr>
          <w:rFonts w:hint="eastAsia" w:ascii="宋体" w:hAnsi="宋体"/>
          <w:sz w:val="24"/>
          <w:szCs w:val="24"/>
          <w:highlight w:val="none"/>
        </w:rPr>
        <w:t>②现场响应</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采购人遇到使用及技术问题，电话咨询不能解决的，供应商和制造商应在2小时内到达现场进行处理，确保产品正常工作；无法在8小时内解决的，应在24小时内提供备用产品，使采购人能够正常使用。</w:t>
      </w:r>
    </w:p>
    <w:p>
      <w:pPr>
        <w:spacing w:line="360" w:lineRule="auto"/>
        <w:ind w:firstLine="720" w:firstLineChars="300"/>
        <w:rPr>
          <w:rFonts w:ascii="宋体" w:hAnsi="宋体"/>
          <w:sz w:val="24"/>
          <w:szCs w:val="24"/>
          <w:highlight w:val="none"/>
        </w:rPr>
      </w:pPr>
      <w:r>
        <w:rPr>
          <w:rFonts w:hint="eastAsia" w:ascii="宋体" w:hAnsi="宋体"/>
          <w:sz w:val="24"/>
          <w:szCs w:val="24"/>
          <w:highlight w:val="none"/>
        </w:rPr>
        <w:t>③技术升级</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在质保期内，如果供应商和制造商的产品技术升级，供应商应及时通知采购人，如采购人有相应要求，供应商和制造商应对采购人购买的产品进行升级服务。</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3、服务措施：</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(1)乙方应为甲方提供免费培训服务，培训2名以上工作人员且能够熟练使用设备及系统，并指派专人负责与甲方</w:t>
      </w:r>
      <w:bookmarkStart w:id="47" w:name="_GoBack"/>
      <w:bookmarkEnd w:id="47"/>
      <w:r>
        <w:rPr>
          <w:rFonts w:hint="eastAsia" w:ascii="宋体" w:hAnsi="宋体" w:cs="宋体"/>
          <w:color w:val="000000"/>
          <w:sz w:val="24"/>
          <w:szCs w:val="24"/>
          <w:highlight w:val="none"/>
        </w:rPr>
        <w:t>联系售后服务事宜。</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(2)保修期内，乙方负责对其提供的货物整机进行维修和系统维护，不再收取任何费用，但不可抗力（如火灾、雷击等）与人为损坏、操作不当造成的故障除外。</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保修标准：厂商保修标准；甲乙双方约定的要求或其他要求。</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(3)货物故障报修的响应时间为：为 2 小时内。</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 xml:space="preserve">(4)若货物故障在检修8小时工作后仍无法排除，乙方应在24小时内免费提供不低于故障货物规格型号档次的备用货物供甲方使用，直至故障货物修复。 </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(5)所有货物保修服务方式均为乙方上门保修，即由乙方派员到货物使用现场维修，由此产生的一切费用均由乙方承担。</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(6)乙方所供货物因与原设备、原产品不兼容导致的设备无法运行的，由乙方负责更换（质量不得低于投标标注产品）。</w:t>
      </w:r>
    </w:p>
    <w:p>
      <w:pPr>
        <w:spacing w:line="44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4、维修配件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供应商和厂家售后服务中，使用的维修零配件应为原厂配件，未经用户同意不得使用非原厂配件。</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（五）报价要求：</w:t>
      </w:r>
    </w:p>
    <w:p>
      <w:pPr>
        <w:snapToGrid w:val="0"/>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rPr>
        <w:t>本项目为包干价报价，供应商的响应总报价不能超过采购预算金额或最高限价，否则为无效竞采。</w:t>
      </w:r>
      <w:r>
        <w:rPr>
          <w:rFonts w:hint="eastAsia" w:ascii="宋体" w:hAnsi="宋体"/>
          <w:sz w:val="24"/>
          <w:szCs w:val="24"/>
          <w:highlight w:val="none"/>
        </w:rPr>
        <w:t>本次报价须为人民币报价，包含产品购买（制造）费、辅材费及人工费、运输费（含装卸费）、保险费、税费、安装费、与指挥平台对接产生的一切费用、检测费、因检测被破坏货物的补货费等货到采购人指定地点并完成安装、调试直至验收合格等全部所有费用。因供应商自身原因造成漏报、少报皆由其自行承担责任，采购人不再补偿。</w:t>
      </w:r>
    </w:p>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（六）付款方式：</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1.合同签订前乙方向甲方缴纳合同金额的5%的履约保证金存入到甲方指定账户。履行全部合同内容、项目验收合格后15个工作日内无息退还履约保证金。</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 本项目支付办法及比例：货物验收合格，成交供应商将验收资料、发票原件等要求的资料提交后一次性支付合同总金额的100%。</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3.乙方按采购合同交货并安装调试完成，经验收合格后甲方出具项目验收报告；</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4.乙方向甲方开具正式的税务发票，提交采购合同、验收报告、发票原件、资金支付申请表等材料，向项目学校申请付款。</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（七）知识产权：</w:t>
      </w:r>
    </w:p>
    <w:p>
      <w:pPr>
        <w:spacing w:line="360" w:lineRule="auto"/>
        <w:ind w:firstLine="520" w:firstLineChars="217"/>
        <w:rPr>
          <w:rFonts w:ascii="宋体" w:hAnsi="宋体"/>
          <w:sz w:val="24"/>
          <w:szCs w:val="24"/>
          <w:highlight w:val="none"/>
        </w:rPr>
      </w:pPr>
      <w:r>
        <w:rPr>
          <w:rFonts w:hint="eastAsia" w:ascii="宋体" w:hAnsi="宋体"/>
          <w:sz w:val="24"/>
          <w:szCs w:val="24"/>
          <w:highlight w:val="none"/>
        </w:rPr>
        <w:t>采购人在中华人民共和国境内使用供应商提供的货物及服务时免受第三方提出的侵犯其专利权或其它知识产权的起诉。如果第三方提出侵权指控，供应商应承担由此而引起的一切法律责任和费用，采购人因此受到损失的，供应商负责赔偿。</w:t>
      </w:r>
    </w:p>
    <w:p>
      <w:pPr>
        <w:spacing w:line="360" w:lineRule="auto"/>
        <w:ind w:firstLine="520" w:firstLineChars="217"/>
        <w:rPr>
          <w:rFonts w:ascii="宋体" w:hAnsi="宋体"/>
          <w:sz w:val="24"/>
          <w:szCs w:val="24"/>
          <w:highlight w:val="none"/>
        </w:rPr>
      </w:pPr>
      <w:r>
        <w:rPr>
          <w:rFonts w:hint="eastAsia" w:ascii="宋体" w:hAnsi="宋体"/>
          <w:sz w:val="24"/>
          <w:szCs w:val="24"/>
          <w:highlight w:val="none"/>
        </w:rPr>
        <w:t>注：若涉及软件开发等服务类项目知识产权的，知识产权归采购人所有。</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（八）培训：</w:t>
      </w:r>
    </w:p>
    <w:p>
      <w:pPr>
        <w:spacing w:line="360" w:lineRule="auto"/>
        <w:ind w:firstLine="520" w:firstLineChars="217"/>
        <w:rPr>
          <w:rFonts w:ascii="宋体" w:hAnsi="宋体"/>
          <w:sz w:val="24"/>
          <w:szCs w:val="24"/>
          <w:highlight w:val="none"/>
        </w:rPr>
      </w:pPr>
      <w:r>
        <w:rPr>
          <w:rFonts w:hint="eastAsia" w:ascii="宋体" w:hAnsi="宋体"/>
          <w:sz w:val="24"/>
          <w:szCs w:val="24"/>
          <w:highlight w:val="none"/>
        </w:rPr>
        <w:t>供应商对其提供产品的使用和操作应尽培训义务。供应商应提供对采购人的基本免费培训，使采购人使用人员能够正常操作。</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（九）其他商务要求：</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1、中标公示期间，采购方有权要求中标供应商提供样品送达学校进行参数比对和演示，并按技术参数要求逐项核对，全部满足参数要求方视为有效响应。如不能满足招标文件所要求的技术、功能指标，按虚假响应处理，采购人或采购代理机构有权取消其中标资格，情节严重且对采购人造成重大损失者，报主管部门将其纳入</w:t>
      </w:r>
      <w:r>
        <w:rPr>
          <w:highlight w:val="none"/>
        </w:rPr>
        <w:fldChar w:fldCharType="begin"/>
      </w:r>
      <w:r>
        <w:rPr>
          <w:highlight w:val="none"/>
        </w:rPr>
        <w:instrText xml:space="preserve"> HYPERLINK "http://www.ccgp.gov.cn/search/cr/" \o "政府采购严重违法失信行为记录名单" </w:instrText>
      </w:r>
      <w:r>
        <w:rPr>
          <w:highlight w:val="none"/>
        </w:rPr>
        <w:fldChar w:fldCharType="separate"/>
      </w:r>
      <w:r>
        <w:rPr>
          <w:rFonts w:hint="eastAsia" w:ascii="宋体" w:hAnsi="宋体"/>
          <w:sz w:val="24"/>
          <w:szCs w:val="24"/>
          <w:highlight w:val="none"/>
        </w:rPr>
        <w:t>政府采购严重违法失信行为记录名单</w:t>
      </w:r>
      <w:r>
        <w:rPr>
          <w:rFonts w:hint="eastAsia" w:ascii="宋体" w:hAnsi="宋体"/>
          <w:sz w:val="24"/>
          <w:szCs w:val="24"/>
          <w:highlight w:val="none"/>
        </w:rPr>
        <w:fldChar w:fldCharType="end"/>
      </w:r>
      <w:r>
        <w:rPr>
          <w:rFonts w:hint="eastAsia" w:ascii="宋体" w:hAnsi="宋体"/>
          <w:sz w:val="24"/>
          <w:szCs w:val="24"/>
          <w:highlight w:val="none"/>
        </w:rPr>
        <w:t>。</w:t>
      </w:r>
    </w:p>
    <w:p>
      <w:pPr>
        <w:spacing w:line="360" w:lineRule="auto"/>
        <w:ind w:firstLine="480" w:firstLineChars="200"/>
        <w:rPr>
          <w:rFonts w:ascii="宋体" w:hAnsi="宋体"/>
          <w:highlight w:val="none"/>
        </w:rPr>
      </w:pPr>
      <w:r>
        <w:rPr>
          <w:rFonts w:hint="eastAsia" w:ascii="宋体" w:hAnsi="宋体"/>
          <w:sz w:val="24"/>
          <w:szCs w:val="24"/>
          <w:highlight w:val="none"/>
        </w:rPr>
        <w:t>2、为杜绝虚假响应，采购人或采购代理机构有权要求中标供应商出具所投产品生产厂商参数证明文件原件。</w:t>
      </w:r>
    </w:p>
    <w:p>
      <w:pPr>
        <w:spacing w:line="360" w:lineRule="auto"/>
        <w:ind w:firstLine="520" w:firstLineChars="217"/>
        <w:rPr>
          <w:rFonts w:ascii="宋体" w:hAnsi="宋体"/>
          <w:sz w:val="24"/>
          <w:szCs w:val="24"/>
          <w:highlight w:val="none"/>
        </w:rPr>
      </w:pPr>
      <w:r>
        <w:rPr>
          <w:rFonts w:hint="eastAsia" w:ascii="宋体" w:hAnsi="宋体"/>
          <w:sz w:val="24"/>
          <w:szCs w:val="24"/>
          <w:highlight w:val="none"/>
        </w:rPr>
        <w:t>3、供应商在提供服务期间或在货物运输、安装、调试等未正式验收交付采购人使用前，因供应商自身原因导致的安全事故，由供应商自行承担所有责任及经济损失。</w:t>
      </w:r>
    </w:p>
    <w:p>
      <w:pPr>
        <w:spacing w:line="360" w:lineRule="auto"/>
        <w:ind w:firstLine="520" w:firstLineChars="217"/>
        <w:rPr>
          <w:rFonts w:ascii="宋体" w:hAnsi="宋体"/>
          <w:sz w:val="24"/>
          <w:szCs w:val="24"/>
          <w:highlight w:val="none"/>
        </w:rPr>
      </w:pPr>
      <w:r>
        <w:rPr>
          <w:rFonts w:hint="eastAsia" w:ascii="宋体" w:hAnsi="宋体"/>
          <w:sz w:val="24"/>
          <w:szCs w:val="24"/>
          <w:highlight w:val="none"/>
        </w:rPr>
        <w:t>4、供应商在竞采时提供虚假材料或进行虚假响应，或成交后提供的货物(服务)达不到采购文件要求及响应文件的响应内容的，视为虚假应标，对采购人进行赔偿并依法追究责任，且将报采购监督管理部门予以处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5、其他未尽事宜由供需双方在采购合同中另行约定。</w:t>
      </w:r>
    </w:p>
    <w:p>
      <w:pPr>
        <w:spacing w:line="360" w:lineRule="auto"/>
        <w:jc w:val="left"/>
        <w:rPr>
          <w:rFonts w:ascii="宋体" w:hAnsi="宋体"/>
          <w:b/>
          <w:sz w:val="24"/>
          <w:szCs w:val="24"/>
          <w:highlight w:val="none"/>
        </w:rPr>
      </w:pPr>
      <w:r>
        <w:rPr>
          <w:rFonts w:hint="eastAsia" w:ascii="宋体" w:hAnsi="宋体"/>
          <w:b/>
          <w:sz w:val="24"/>
          <w:szCs w:val="24"/>
          <w:highlight w:val="none"/>
        </w:rPr>
        <w:t>说明：项目商务要求中所有条款均为实质性响应条款（指标），供应商必须全部满足（不偏离或正偏离），若有一项未响应或不满足（负偏离），按无效竞采处理。</w:t>
      </w:r>
    </w:p>
    <w:p>
      <w:pPr>
        <w:pStyle w:val="2"/>
        <w:rPr>
          <w:rFonts w:ascii="宋体" w:hAnsi="宋体"/>
          <w:highlight w:val="none"/>
        </w:rPr>
      </w:pPr>
    </w:p>
    <w:p>
      <w:pPr>
        <w:pStyle w:val="3"/>
        <w:spacing w:line="360" w:lineRule="auto"/>
        <w:ind w:firstLine="482" w:firstLineChars="200"/>
        <w:rPr>
          <w:rFonts w:hAnsi="宋体"/>
          <w:b/>
          <w:sz w:val="24"/>
          <w:szCs w:val="24"/>
          <w:highlight w:val="none"/>
        </w:rPr>
      </w:pPr>
      <w:r>
        <w:rPr>
          <w:rFonts w:hint="eastAsia" w:hAnsi="宋体"/>
          <w:b/>
          <w:sz w:val="24"/>
          <w:highlight w:val="none"/>
        </w:rPr>
        <w:t>五</w:t>
      </w:r>
      <w:bookmarkStart w:id="21" w:name="_Toc20778"/>
      <w:bookmarkStart w:id="22" w:name="_Toc27955"/>
      <w:bookmarkStart w:id="23" w:name="_Toc25886"/>
      <w:bookmarkStart w:id="24" w:name="_Toc9654"/>
      <w:bookmarkStart w:id="25" w:name="_Toc5085"/>
      <w:bookmarkStart w:id="26" w:name="_Toc11828"/>
      <w:bookmarkStart w:id="27" w:name="_Toc3475"/>
      <w:bookmarkStart w:id="28" w:name="_Toc14778"/>
      <w:bookmarkStart w:id="29" w:name="_Toc31315"/>
      <w:bookmarkStart w:id="30" w:name="_Toc25516"/>
      <w:bookmarkStart w:id="31" w:name="_Toc9027"/>
      <w:bookmarkStart w:id="32" w:name="_Toc19730"/>
      <w:bookmarkStart w:id="33" w:name="_Toc15478"/>
      <w:bookmarkStart w:id="34" w:name="_Toc13969"/>
      <w:r>
        <w:rPr>
          <w:rFonts w:hAnsi="宋体"/>
          <w:b/>
          <w:sz w:val="24"/>
          <w:highlight w:val="none"/>
        </w:rPr>
        <w:t>、</w:t>
      </w:r>
      <w:r>
        <w:rPr>
          <w:rFonts w:hint="eastAsia" w:hAnsi="宋体"/>
          <w:b/>
          <w:sz w:val="24"/>
          <w:highlight w:val="none"/>
        </w:rPr>
        <w:t>线上报价及响应文件递交方式</w:t>
      </w:r>
    </w:p>
    <w:p>
      <w:pPr>
        <w:pStyle w:val="2"/>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1、线上报价时间：以重庆市政府采购云平台网上竞采规定时间为准。</w:t>
      </w:r>
    </w:p>
    <w:p>
      <w:pPr>
        <w:pStyle w:val="2"/>
        <w:spacing w:line="360" w:lineRule="auto"/>
        <w:ind w:firstLine="480" w:firstLineChars="200"/>
        <w:jc w:val="both"/>
        <w:rPr>
          <w:rFonts w:ascii="宋体" w:hAnsi="宋体"/>
          <w:sz w:val="24"/>
          <w:szCs w:val="24"/>
          <w:highlight w:val="none"/>
        </w:rPr>
      </w:pPr>
      <w:r>
        <w:rPr>
          <w:rFonts w:hint="eastAsia" w:ascii="宋体" w:hAnsi="宋体"/>
          <w:sz w:val="24"/>
          <w:szCs w:val="24"/>
          <w:highlight w:val="none"/>
        </w:rPr>
        <w:t>2、线上报价要求：按本项目规定的时间在重庆市政府采购云平台网上竞采（https://xj.ccgp-chongqing.gov.cn/ge/）进行网上报价，未在规定时间内报价的供应商将失去成交供应商资格。</w:t>
      </w:r>
    </w:p>
    <w:bookmarkEnd w:id="21"/>
    <w:bookmarkEnd w:id="22"/>
    <w:bookmarkEnd w:id="23"/>
    <w:bookmarkEnd w:id="24"/>
    <w:bookmarkEnd w:id="25"/>
    <w:bookmarkEnd w:id="26"/>
    <w:bookmarkEnd w:id="27"/>
    <w:p>
      <w:pPr>
        <w:pStyle w:val="3"/>
        <w:spacing w:line="360" w:lineRule="auto"/>
        <w:ind w:firstLine="482" w:firstLineChars="200"/>
        <w:rPr>
          <w:rFonts w:hAnsi="宋体"/>
          <w:b/>
          <w:sz w:val="24"/>
          <w:highlight w:val="none"/>
        </w:rPr>
      </w:pPr>
      <w:r>
        <w:rPr>
          <w:rFonts w:hint="eastAsia" w:hAnsi="宋体"/>
          <w:b/>
          <w:sz w:val="24"/>
          <w:highlight w:val="none"/>
        </w:rPr>
        <w:t>六</w:t>
      </w:r>
      <w:r>
        <w:rPr>
          <w:rFonts w:hAnsi="宋体"/>
          <w:b/>
          <w:sz w:val="24"/>
          <w:highlight w:val="none"/>
        </w:rPr>
        <w:t>、</w:t>
      </w:r>
      <w:bookmarkEnd w:id="28"/>
      <w:bookmarkEnd w:id="29"/>
      <w:bookmarkEnd w:id="30"/>
      <w:bookmarkEnd w:id="31"/>
      <w:bookmarkEnd w:id="32"/>
      <w:bookmarkEnd w:id="33"/>
      <w:bookmarkEnd w:id="34"/>
      <w:r>
        <w:rPr>
          <w:rFonts w:hAnsi="宋体"/>
          <w:b/>
          <w:sz w:val="24"/>
          <w:highlight w:val="none"/>
        </w:rPr>
        <w:t>其它有关规定</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（一）凡有意参加竞采的供应商，请于公告发布之日起至报名截止时间之前，在采购代理机构领取或重庆市政府采购云平台网上竞采（</w:t>
      </w:r>
      <w:r>
        <w:rPr>
          <w:rFonts w:ascii="宋体" w:hAnsi="宋体"/>
          <w:sz w:val="24"/>
          <w:szCs w:val="24"/>
          <w:highlight w:val="none"/>
        </w:rPr>
        <w:t>https://xj.ccgp-chongqing.gov.cn/ge/</w:t>
      </w:r>
      <w:r>
        <w:rPr>
          <w:rFonts w:hint="eastAsia" w:ascii="宋体" w:hAnsi="宋体"/>
          <w:sz w:val="24"/>
          <w:szCs w:val="24"/>
          <w:highlight w:val="none"/>
        </w:rPr>
        <w:t>）上下载查看本项目采购文件以及变更公告等竞采前公布的所有项目资料，无论供应商下载查看与否，均视为已知晓所有竞采实质性要求内容。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（二）单位负责人为同一人或者存在直接控股、管理关系的不同供应商，不得参加同一合同项下的政府采购活动，否则均为无效响应。</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（三）无论竞采结果如何，供应商参与本项目的所有费用均自行承担。</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（四）本项目不接受联合体参与竞采。</w:t>
      </w:r>
    </w:p>
    <w:p>
      <w:pPr>
        <w:pStyle w:val="3"/>
        <w:spacing w:line="360" w:lineRule="auto"/>
        <w:ind w:firstLine="482" w:firstLineChars="200"/>
        <w:rPr>
          <w:rFonts w:hAnsi="宋体"/>
          <w:b/>
          <w:sz w:val="24"/>
          <w:highlight w:val="none"/>
        </w:rPr>
      </w:pPr>
      <w:r>
        <w:rPr>
          <w:rFonts w:hint="eastAsia" w:hAnsi="宋体"/>
          <w:b/>
          <w:sz w:val="24"/>
          <w:highlight w:val="none"/>
        </w:rPr>
        <w:t>七</w:t>
      </w:r>
      <w:r>
        <w:rPr>
          <w:rFonts w:hAnsi="宋体"/>
          <w:b/>
          <w:sz w:val="24"/>
          <w:highlight w:val="none"/>
        </w:rPr>
        <w:t>、</w:t>
      </w:r>
      <w:r>
        <w:rPr>
          <w:rFonts w:hint="eastAsia" w:hAnsi="宋体"/>
          <w:b/>
          <w:sz w:val="24"/>
          <w:highlight w:val="none"/>
        </w:rPr>
        <w:t>评审</w:t>
      </w:r>
      <w:r>
        <w:rPr>
          <w:rFonts w:hAnsi="宋体"/>
          <w:b/>
          <w:sz w:val="24"/>
          <w:highlight w:val="none"/>
        </w:rPr>
        <w:t>方法</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最低价评审法。评审小组对供应商进行资格性和符合性审查，评审小组对资格性和符合性均合格的供应商，按响应总报价由低到高排序，推荐成交候选人，并出具评审报告。若供应商的响应总报价相同，按采购内容及技术要求条款的优劣顺序排列；以上都相同的，由采购人自行决定。</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（二）资格性和符合性审查内容如下：</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1、资格性检查。依据法律法规和采购文件的规定，对响应文件中的资格证明等进行审查，以确定供应商是否具备竞采资格。资格性检查资料表如下：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9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6" w:type="dxa"/>
            <w:vAlign w:val="center"/>
          </w:tcPr>
          <w:p>
            <w:pPr>
              <w:spacing w:line="276" w:lineRule="auto"/>
              <w:rPr>
                <w:rFonts w:ascii="宋体" w:hAnsi="宋体" w:cs="方正仿宋_GBK"/>
                <w:b/>
                <w:kern w:val="0"/>
                <w:sz w:val="22"/>
                <w:highlight w:val="none"/>
              </w:rPr>
            </w:pPr>
            <w:r>
              <w:rPr>
                <w:rFonts w:hint="eastAsia" w:ascii="宋体" w:hAnsi="宋体" w:cs="方正仿宋_GBK"/>
                <w:b/>
                <w:kern w:val="0"/>
                <w:sz w:val="22"/>
                <w:highlight w:val="none"/>
              </w:rPr>
              <w:t>序号</w:t>
            </w:r>
          </w:p>
        </w:tc>
        <w:tc>
          <w:tcPr>
            <w:tcW w:w="4961" w:type="dxa"/>
            <w:vAlign w:val="center"/>
          </w:tcPr>
          <w:p>
            <w:pPr>
              <w:spacing w:line="276" w:lineRule="auto"/>
              <w:ind w:firstLine="420"/>
              <w:jc w:val="center"/>
              <w:rPr>
                <w:rFonts w:ascii="宋体" w:hAnsi="宋体" w:cs="方正仿宋_GBK"/>
                <w:b/>
                <w:kern w:val="0"/>
                <w:sz w:val="22"/>
                <w:highlight w:val="none"/>
              </w:rPr>
            </w:pPr>
            <w:r>
              <w:rPr>
                <w:rFonts w:hint="eastAsia" w:ascii="宋体" w:hAnsi="宋体" w:cs="方正仿宋_GBK"/>
                <w:b/>
                <w:kern w:val="0"/>
                <w:sz w:val="22"/>
                <w:highlight w:val="none"/>
              </w:rPr>
              <w:t>检查因素</w:t>
            </w:r>
          </w:p>
        </w:tc>
        <w:tc>
          <w:tcPr>
            <w:tcW w:w="3969" w:type="dxa"/>
            <w:vAlign w:val="center"/>
          </w:tcPr>
          <w:p>
            <w:pPr>
              <w:spacing w:line="276" w:lineRule="auto"/>
              <w:ind w:firstLine="420"/>
              <w:jc w:val="center"/>
              <w:rPr>
                <w:rFonts w:ascii="宋体" w:hAnsi="宋体" w:cs="方正仿宋_GBK"/>
                <w:b/>
                <w:kern w:val="0"/>
                <w:sz w:val="22"/>
                <w:highlight w:val="none"/>
              </w:rPr>
            </w:pPr>
            <w:r>
              <w:rPr>
                <w:rFonts w:hint="eastAsia" w:ascii="宋体" w:hAnsi="宋体" w:cs="方正仿宋_GBK"/>
                <w:b/>
                <w:kern w:val="0"/>
                <w:sz w:val="22"/>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76" w:type="dxa"/>
            <w:vMerge w:val="restart"/>
            <w:vAlign w:val="center"/>
          </w:tcPr>
          <w:p>
            <w:pPr>
              <w:spacing w:line="276" w:lineRule="auto"/>
              <w:jc w:val="center"/>
              <w:rPr>
                <w:rFonts w:ascii="宋体" w:hAnsi="宋体" w:cs="方正仿宋_GBK"/>
                <w:sz w:val="22"/>
                <w:highlight w:val="none"/>
              </w:rPr>
            </w:pPr>
            <w:r>
              <w:rPr>
                <w:rFonts w:hint="eastAsia" w:ascii="宋体" w:hAnsi="宋体" w:cs="方正仿宋_GBK"/>
                <w:sz w:val="22"/>
                <w:highlight w:val="none"/>
              </w:rPr>
              <w:t>1</w:t>
            </w:r>
          </w:p>
        </w:tc>
        <w:tc>
          <w:tcPr>
            <w:tcW w:w="4961" w:type="dxa"/>
            <w:tcBorders>
              <w:bottom w:val="single" w:color="auto" w:sz="8" w:space="0"/>
            </w:tcBorders>
            <w:vAlign w:val="center"/>
          </w:tcPr>
          <w:p>
            <w:pPr>
              <w:spacing w:line="276" w:lineRule="auto"/>
              <w:rPr>
                <w:rFonts w:ascii="宋体" w:hAnsi="宋体" w:cs="方正仿宋_GBK"/>
                <w:sz w:val="22"/>
                <w:highlight w:val="none"/>
              </w:rPr>
            </w:pPr>
            <w:r>
              <w:rPr>
                <w:rFonts w:hint="eastAsia" w:ascii="宋体" w:hAnsi="宋体" w:cs="方正仿宋_GBK"/>
                <w:sz w:val="22"/>
                <w:highlight w:val="none"/>
              </w:rPr>
              <w:t>（1）具有独立承担民事责任的能力</w:t>
            </w:r>
          </w:p>
        </w:tc>
        <w:tc>
          <w:tcPr>
            <w:tcW w:w="3969" w:type="dxa"/>
            <w:vAlign w:val="center"/>
          </w:tcPr>
          <w:p>
            <w:pPr>
              <w:spacing w:line="276" w:lineRule="auto"/>
              <w:rPr>
                <w:rFonts w:ascii="宋体" w:hAnsi="宋体" w:cs="方正仿宋_GBK"/>
                <w:sz w:val="22"/>
                <w:highlight w:val="none"/>
              </w:rPr>
            </w:pPr>
            <w:r>
              <w:rPr>
                <w:rFonts w:hint="eastAsia" w:ascii="宋体" w:hAnsi="宋体" w:cs="方正仿宋_GBK"/>
                <w:sz w:val="22"/>
                <w:highlight w:val="none"/>
              </w:rPr>
              <w:t>供应商法人营业执照（副本）或事业单位法人证书（副本）或个体工商户营业执照或有效的自然人身份证明或社会团体法人登记证书复印件（注</w:t>
            </w:r>
            <w:r>
              <w:rPr>
                <w:rFonts w:hint="eastAsia" w:ascii="宋体" w:hAnsi="宋体" w:cs="方正仿宋_GBK"/>
                <w:sz w:val="22"/>
                <w:highlight w:val="none"/>
              </w:rPr>
              <w:fldChar w:fldCharType="begin"/>
            </w:r>
            <w:r>
              <w:rPr>
                <w:rFonts w:hint="eastAsia" w:ascii="宋体" w:hAnsi="宋体" w:cs="方正仿宋_GBK"/>
                <w:sz w:val="22"/>
                <w:highlight w:val="none"/>
              </w:rPr>
              <w:instrText xml:space="preserve"> eq \o\ac(○,1)</w:instrText>
            </w:r>
            <w:r>
              <w:rPr>
                <w:rFonts w:hint="eastAsia" w:ascii="宋体" w:hAnsi="宋体" w:cs="方正仿宋_GBK"/>
                <w:sz w:val="22"/>
                <w:highlight w:val="none"/>
              </w:rPr>
              <w:fldChar w:fldCharType="end"/>
            </w:r>
            <w:r>
              <w:rPr>
                <w:rFonts w:hint="eastAsia" w:ascii="宋体" w:hAnsi="宋体" w:cs="方正仿宋_GBK"/>
                <w:sz w:val="22"/>
                <w:highlight w:val="none"/>
              </w:rPr>
              <w:t xml:space="preserve">）； </w:t>
            </w:r>
          </w:p>
          <w:p>
            <w:pPr>
              <w:spacing w:line="276" w:lineRule="auto"/>
              <w:rPr>
                <w:rFonts w:ascii="宋体" w:hAnsi="宋体" w:cs="方正仿宋_GBK"/>
                <w:sz w:val="22"/>
                <w:highlight w:val="none"/>
              </w:rPr>
            </w:pPr>
            <w:r>
              <w:rPr>
                <w:rFonts w:hint="eastAsia" w:ascii="宋体" w:hAnsi="宋体" w:cs="方正仿宋_GBK"/>
                <w:sz w:val="22"/>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76" w:type="dxa"/>
            <w:vMerge w:val="continue"/>
            <w:vAlign w:val="center"/>
          </w:tcPr>
          <w:p>
            <w:pPr>
              <w:spacing w:line="276" w:lineRule="auto"/>
              <w:ind w:firstLine="420"/>
              <w:jc w:val="center"/>
              <w:rPr>
                <w:rFonts w:ascii="宋体" w:hAnsi="宋体" w:cs="方正仿宋_GBK"/>
                <w:sz w:val="22"/>
                <w:highlight w:val="none"/>
              </w:rPr>
            </w:pP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rPr>
            </w:pPr>
            <w:r>
              <w:rPr>
                <w:rFonts w:hint="eastAsia" w:ascii="宋体" w:hAnsi="宋体" w:cs="方正仿宋_GBK"/>
                <w:sz w:val="22"/>
                <w:highlight w:val="none"/>
                <w:lang w:val="zh-CN"/>
              </w:rPr>
              <w:t>（2）</w:t>
            </w:r>
            <w:r>
              <w:rPr>
                <w:rFonts w:hint="eastAsia" w:ascii="宋体" w:hAnsi="宋体" w:cs="方正仿宋_GBK"/>
                <w:sz w:val="22"/>
                <w:highlight w:val="none"/>
              </w:rPr>
              <w:t>具有良好的商业信誉和健全的财务会计制度</w:t>
            </w:r>
          </w:p>
        </w:tc>
        <w:tc>
          <w:tcPr>
            <w:tcW w:w="3969" w:type="dxa"/>
            <w:vMerge w:val="restart"/>
            <w:vAlign w:val="center"/>
          </w:tcPr>
          <w:p>
            <w:pPr>
              <w:spacing w:line="276" w:lineRule="auto"/>
              <w:rPr>
                <w:rFonts w:ascii="宋体" w:hAnsi="宋体" w:cs="方正仿宋_GBK"/>
                <w:sz w:val="22"/>
                <w:highlight w:val="none"/>
              </w:rPr>
            </w:pPr>
            <w:r>
              <w:rPr>
                <w:rFonts w:hint="eastAsia" w:ascii="宋体" w:hAnsi="宋体" w:cs="方正仿宋_GBK"/>
                <w:sz w:val="22"/>
                <w:highlight w:val="none"/>
              </w:rPr>
              <w:t>供应商提供书面声明（见响应文件格式）。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76" w:type="dxa"/>
            <w:vMerge w:val="continue"/>
            <w:vAlign w:val="center"/>
          </w:tcPr>
          <w:p>
            <w:pPr>
              <w:spacing w:line="276" w:lineRule="auto"/>
              <w:ind w:firstLine="420"/>
              <w:jc w:val="center"/>
              <w:rPr>
                <w:rFonts w:ascii="宋体" w:hAnsi="宋体" w:cs="方正仿宋_GBK"/>
                <w:sz w:val="22"/>
                <w:highlight w:val="none"/>
              </w:rPr>
            </w:pP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lang w:val="zh-CN"/>
              </w:rPr>
            </w:pPr>
            <w:r>
              <w:rPr>
                <w:rFonts w:hint="eastAsia" w:ascii="宋体" w:hAnsi="宋体" w:cs="方正仿宋_GBK"/>
                <w:sz w:val="22"/>
                <w:highlight w:val="none"/>
                <w:lang w:val="zh-CN"/>
              </w:rPr>
              <w:t>（3）具有履行合同所必需的设备和专业技术能力</w:t>
            </w:r>
          </w:p>
        </w:tc>
        <w:tc>
          <w:tcPr>
            <w:tcW w:w="3969" w:type="dxa"/>
            <w:vMerge w:val="continue"/>
            <w:vAlign w:val="center"/>
          </w:tcPr>
          <w:p>
            <w:pPr>
              <w:spacing w:line="276" w:lineRule="auto"/>
              <w:rPr>
                <w:rFonts w:ascii="宋体" w:hAnsi="宋体" w:cs="方正仿宋_GBK"/>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6" w:type="dxa"/>
            <w:vMerge w:val="continue"/>
            <w:vAlign w:val="center"/>
          </w:tcPr>
          <w:p>
            <w:pPr>
              <w:spacing w:line="276" w:lineRule="auto"/>
              <w:ind w:firstLine="420"/>
              <w:jc w:val="center"/>
              <w:rPr>
                <w:rFonts w:ascii="宋体" w:hAnsi="宋体" w:cs="方正仿宋_GBK"/>
                <w:sz w:val="22"/>
                <w:highlight w:val="none"/>
              </w:rPr>
            </w:pP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lang w:val="zh-CN"/>
              </w:rPr>
            </w:pPr>
            <w:r>
              <w:rPr>
                <w:rFonts w:hint="eastAsia" w:ascii="宋体" w:hAnsi="宋体" w:cs="方正仿宋_GBK"/>
                <w:sz w:val="22"/>
                <w:highlight w:val="none"/>
                <w:lang w:val="zh-CN"/>
              </w:rPr>
              <w:t>（4）有依法缴纳税收和社会保障金的良好记录</w:t>
            </w:r>
          </w:p>
        </w:tc>
        <w:tc>
          <w:tcPr>
            <w:tcW w:w="3969" w:type="dxa"/>
            <w:vMerge w:val="continue"/>
            <w:vAlign w:val="center"/>
          </w:tcPr>
          <w:p>
            <w:pPr>
              <w:spacing w:line="276" w:lineRule="auto"/>
              <w:rPr>
                <w:rFonts w:ascii="宋体" w:hAnsi="宋体" w:cs="方正仿宋_GBK"/>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pPr>
              <w:spacing w:line="276" w:lineRule="auto"/>
              <w:ind w:firstLine="420"/>
              <w:jc w:val="center"/>
              <w:rPr>
                <w:rFonts w:ascii="宋体" w:hAnsi="宋体" w:cs="方正仿宋_GBK"/>
                <w:sz w:val="22"/>
                <w:highlight w:val="none"/>
              </w:rPr>
            </w:pP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lang w:val="zh-CN"/>
              </w:rPr>
            </w:pPr>
            <w:r>
              <w:rPr>
                <w:rFonts w:hint="eastAsia" w:ascii="宋体" w:hAnsi="宋体" w:cs="方正仿宋_GBK"/>
                <w:sz w:val="22"/>
                <w:highlight w:val="none"/>
              </w:rPr>
              <w:t>（5）参加政府采购活动前三年内，在经营活动中没有重大违法记录</w:t>
            </w:r>
            <w:r>
              <w:rPr>
                <w:rFonts w:hint="eastAsia" w:ascii="宋体" w:hAnsi="宋体" w:cs="方正仿宋_GBK"/>
                <w:kern w:val="0"/>
                <w:sz w:val="22"/>
                <w:highlight w:val="none"/>
              </w:rPr>
              <w:fldChar w:fldCharType="begin"/>
            </w:r>
            <w:r>
              <w:rPr>
                <w:rFonts w:hint="eastAsia" w:ascii="宋体" w:hAnsi="宋体" w:cs="方正仿宋_GBK"/>
                <w:kern w:val="0"/>
                <w:sz w:val="22"/>
                <w:highlight w:val="none"/>
              </w:rPr>
              <w:instrText xml:space="preserve"> eq \o\ac(○,2)</w:instrText>
            </w:r>
            <w:r>
              <w:rPr>
                <w:rFonts w:hint="eastAsia" w:ascii="宋体" w:hAnsi="宋体" w:cs="方正仿宋_GBK"/>
                <w:kern w:val="0"/>
                <w:sz w:val="22"/>
                <w:highlight w:val="none"/>
              </w:rPr>
              <w:fldChar w:fldCharType="end"/>
            </w:r>
          </w:p>
        </w:tc>
        <w:tc>
          <w:tcPr>
            <w:tcW w:w="3969" w:type="dxa"/>
            <w:vMerge w:val="continue"/>
            <w:vAlign w:val="center"/>
          </w:tcPr>
          <w:p>
            <w:pPr>
              <w:spacing w:line="276" w:lineRule="auto"/>
              <w:rPr>
                <w:rFonts w:ascii="宋体" w:hAnsi="宋体" w:cs="方正仿宋_GBK"/>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tcBorders>
              <w:bottom w:val="single" w:color="auto" w:sz="8" w:space="0"/>
            </w:tcBorders>
            <w:vAlign w:val="center"/>
          </w:tcPr>
          <w:p>
            <w:pPr>
              <w:spacing w:line="276" w:lineRule="auto"/>
              <w:ind w:firstLine="420"/>
              <w:jc w:val="center"/>
              <w:rPr>
                <w:rFonts w:ascii="宋体" w:hAnsi="宋体" w:cs="方正仿宋_GBK"/>
                <w:sz w:val="22"/>
                <w:highlight w:val="none"/>
              </w:rPr>
            </w:pP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rPr>
            </w:pPr>
            <w:r>
              <w:rPr>
                <w:rFonts w:hint="eastAsia" w:ascii="宋体" w:hAnsi="宋体" w:cs="方正仿宋_GBK"/>
                <w:sz w:val="22"/>
                <w:highlight w:val="none"/>
              </w:rPr>
              <w:t>（6）法律、行政法规规定的其他条件</w:t>
            </w:r>
          </w:p>
        </w:tc>
        <w:tc>
          <w:tcPr>
            <w:tcW w:w="3969" w:type="dxa"/>
            <w:vMerge w:val="continue"/>
            <w:vAlign w:val="center"/>
          </w:tcPr>
          <w:p>
            <w:pPr>
              <w:spacing w:line="276" w:lineRule="auto"/>
              <w:rPr>
                <w:rFonts w:ascii="宋体" w:hAnsi="宋体" w:cs="方正仿宋_GBK"/>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6" w:type="dxa"/>
            <w:tcBorders>
              <w:top w:val="single" w:color="auto" w:sz="8" w:space="0"/>
              <w:bottom w:val="single" w:color="auto" w:sz="8" w:space="0"/>
            </w:tcBorders>
            <w:vAlign w:val="center"/>
          </w:tcPr>
          <w:p>
            <w:pPr>
              <w:spacing w:line="276" w:lineRule="auto"/>
              <w:jc w:val="center"/>
              <w:rPr>
                <w:rFonts w:ascii="宋体" w:hAnsi="宋体" w:cs="方正仿宋_GBK"/>
                <w:sz w:val="22"/>
                <w:highlight w:val="none"/>
              </w:rPr>
            </w:pPr>
            <w:r>
              <w:rPr>
                <w:rFonts w:hint="eastAsia" w:ascii="宋体" w:hAnsi="宋体" w:cs="方正仿宋_GBK"/>
                <w:sz w:val="22"/>
                <w:highlight w:val="none"/>
              </w:rPr>
              <w:t>2</w:t>
            </w:r>
          </w:p>
        </w:tc>
        <w:tc>
          <w:tcPr>
            <w:tcW w:w="4961" w:type="dxa"/>
            <w:tcBorders>
              <w:top w:val="single" w:color="auto" w:sz="8" w:space="0"/>
              <w:bottom w:val="single" w:color="auto" w:sz="8" w:space="0"/>
            </w:tcBorders>
            <w:vAlign w:val="center"/>
          </w:tcPr>
          <w:p>
            <w:pPr>
              <w:spacing w:line="276" w:lineRule="auto"/>
              <w:rPr>
                <w:rFonts w:ascii="宋体" w:hAnsi="宋体" w:cs="方正仿宋_GBK"/>
                <w:sz w:val="22"/>
                <w:highlight w:val="none"/>
              </w:rPr>
            </w:pPr>
            <w:r>
              <w:rPr>
                <w:rFonts w:hint="eastAsia" w:ascii="宋体" w:hAnsi="宋体" w:cs="方正仿宋_GBK"/>
                <w:sz w:val="22"/>
                <w:highlight w:val="none"/>
              </w:rPr>
              <w:t>特定资格条件要求</w:t>
            </w:r>
          </w:p>
        </w:tc>
        <w:tc>
          <w:tcPr>
            <w:tcW w:w="3969" w:type="dxa"/>
            <w:vAlign w:val="center"/>
          </w:tcPr>
          <w:p>
            <w:pPr>
              <w:tabs>
                <w:tab w:val="left" w:pos="1961"/>
              </w:tabs>
              <w:spacing w:line="276" w:lineRule="auto"/>
              <w:rPr>
                <w:rFonts w:ascii="宋体" w:hAnsi="宋体" w:cs="方正仿宋_GBK"/>
                <w:sz w:val="22"/>
                <w:highlight w:val="none"/>
              </w:rPr>
            </w:pPr>
            <w:r>
              <w:rPr>
                <w:rFonts w:hint="eastAsia" w:ascii="宋体" w:hAnsi="宋体" w:cs="方正仿宋_GBK"/>
                <w:sz w:val="22"/>
                <w:highlight w:val="none"/>
              </w:rPr>
              <w:t>满足“二、资格条件”（二）特定资格条件要求。</w:t>
            </w:r>
          </w:p>
        </w:tc>
      </w:tr>
    </w:tbl>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w:t>
      </w:r>
    </w:p>
    <w:p>
      <w:pPr>
        <w:snapToGrid w:val="0"/>
        <w:spacing w:line="360" w:lineRule="auto"/>
        <w:ind w:firstLine="560" w:firstLineChars="200"/>
        <w:rPr>
          <w:rFonts w:ascii="宋体" w:hAnsi="宋体"/>
          <w:sz w:val="24"/>
          <w:szCs w:val="24"/>
          <w:highlight w:val="none"/>
        </w:rPr>
      </w:pPr>
      <w:r>
        <w:rPr>
          <w:rFonts w:hint="eastAsia" w:ascii="宋体" w:hAnsi="宋体" w:cs="方正仿宋_GBK"/>
          <w:szCs w:val="21"/>
          <w:highlight w:val="none"/>
        </w:rPr>
        <w:fldChar w:fldCharType="begin"/>
      </w:r>
      <w:r>
        <w:rPr>
          <w:rFonts w:hint="eastAsia" w:ascii="宋体" w:hAnsi="宋体" w:cs="方正仿宋_GBK"/>
          <w:szCs w:val="21"/>
          <w:highlight w:val="none"/>
        </w:rPr>
        <w:instrText xml:space="preserve"> eq \o\ac(○,1)</w:instrText>
      </w:r>
      <w:r>
        <w:rPr>
          <w:rFonts w:hint="eastAsia" w:ascii="宋体" w:hAnsi="宋体" w:cs="方正仿宋_GBK"/>
          <w:szCs w:val="21"/>
          <w:highlight w:val="none"/>
        </w:rPr>
        <w:fldChar w:fldCharType="end"/>
      </w:r>
      <w:r>
        <w:rPr>
          <w:rFonts w:hint="eastAsia" w:ascii="宋体" w:hAnsi="宋体"/>
          <w:sz w:val="24"/>
          <w:szCs w:val="24"/>
          <w:highlight w:val="none"/>
        </w:rPr>
        <w:t>供应商按“五证合一”登记制度办理营业执照的，组织机构代码证和税务登记证（副本）以供应商所提供的营业执照（副本）复印件为准。</w:t>
      </w:r>
    </w:p>
    <w:p>
      <w:pPr>
        <w:snapToGrid w:val="0"/>
        <w:spacing w:line="360" w:lineRule="auto"/>
        <w:ind w:firstLine="480" w:firstLineChars="200"/>
        <w:rPr>
          <w:rFonts w:ascii="宋体" w:hAnsi="宋体"/>
          <w:sz w:val="24"/>
          <w:szCs w:val="24"/>
          <w:highlight w:val="none"/>
        </w:rPr>
      </w:pPr>
      <w:r>
        <w:rPr>
          <w:rFonts w:hint="eastAsia" w:ascii="宋体" w:hAnsi="宋体" w:cs="方正仿宋_GBK"/>
          <w:kern w:val="0"/>
          <w:sz w:val="24"/>
          <w:szCs w:val="24"/>
          <w:highlight w:val="none"/>
        </w:rPr>
        <w:fldChar w:fldCharType="begin"/>
      </w:r>
      <w:r>
        <w:rPr>
          <w:rFonts w:hint="eastAsia" w:ascii="宋体" w:hAnsi="宋体" w:cs="方正仿宋_GBK"/>
          <w:kern w:val="0"/>
          <w:sz w:val="24"/>
          <w:szCs w:val="24"/>
          <w:highlight w:val="none"/>
        </w:rPr>
        <w:instrText xml:space="preserve"> eq \o\ac(○,2)</w:instrText>
      </w:r>
      <w:r>
        <w:rPr>
          <w:rFonts w:hint="eastAsia" w:ascii="宋体" w:hAnsi="宋体" w:cs="方正仿宋_GBK"/>
          <w:kern w:val="0"/>
          <w:sz w:val="24"/>
          <w:szCs w:val="24"/>
          <w:highlight w:val="none"/>
        </w:rPr>
        <w:fldChar w:fldCharType="end"/>
      </w:r>
      <w:r>
        <w:rPr>
          <w:rFonts w:hint="eastAsia" w:ascii="宋体" w:hAnsi="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2、符合性检查。依据采购文件的规定，从响应文件的有效性、完整性和对采购文件的响应程度进行审查，以确定是否对采购文件的实质性要求作出响应。符合性检查资料表如下：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9"/>
        <w:gridCol w:w="2192"/>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5" w:type="dxa"/>
            <w:vAlign w:val="center"/>
          </w:tcPr>
          <w:p>
            <w:pPr>
              <w:jc w:val="center"/>
              <w:rPr>
                <w:rFonts w:ascii="宋体" w:hAnsi="宋体" w:cs="方正仿宋_GBK"/>
                <w:b/>
                <w:kern w:val="0"/>
                <w:sz w:val="22"/>
                <w:highlight w:val="none"/>
              </w:rPr>
            </w:pPr>
            <w:r>
              <w:rPr>
                <w:rFonts w:hint="eastAsia" w:ascii="宋体" w:hAnsi="宋体" w:cs="方正仿宋_GBK"/>
                <w:b/>
                <w:kern w:val="0"/>
                <w:sz w:val="22"/>
                <w:highlight w:val="none"/>
              </w:rPr>
              <w:t>序号</w:t>
            </w:r>
          </w:p>
        </w:tc>
        <w:tc>
          <w:tcPr>
            <w:tcW w:w="3691" w:type="dxa"/>
            <w:gridSpan w:val="2"/>
            <w:vAlign w:val="center"/>
          </w:tcPr>
          <w:p>
            <w:pPr>
              <w:jc w:val="center"/>
              <w:rPr>
                <w:rFonts w:ascii="宋体" w:hAnsi="宋体" w:cs="方正仿宋_GBK"/>
                <w:b/>
                <w:kern w:val="0"/>
                <w:sz w:val="22"/>
                <w:highlight w:val="none"/>
              </w:rPr>
            </w:pPr>
            <w:r>
              <w:rPr>
                <w:rFonts w:hint="eastAsia" w:ascii="宋体" w:hAnsi="宋体" w:cs="方正仿宋_GBK"/>
                <w:b/>
                <w:kern w:val="0"/>
                <w:sz w:val="22"/>
                <w:highlight w:val="none"/>
              </w:rPr>
              <w:t>评审因素</w:t>
            </w:r>
          </w:p>
        </w:tc>
        <w:tc>
          <w:tcPr>
            <w:tcW w:w="5262" w:type="dxa"/>
            <w:vAlign w:val="center"/>
          </w:tcPr>
          <w:p>
            <w:pPr>
              <w:jc w:val="center"/>
              <w:rPr>
                <w:rFonts w:ascii="宋体" w:hAnsi="宋体" w:cs="方正仿宋_GBK"/>
                <w:b/>
                <w:kern w:val="0"/>
                <w:sz w:val="22"/>
                <w:highlight w:val="none"/>
              </w:rPr>
            </w:pPr>
            <w:r>
              <w:rPr>
                <w:rFonts w:hint="eastAsia" w:ascii="宋体" w:hAnsi="宋体" w:cs="方正仿宋_GBK"/>
                <w:b/>
                <w:kern w:val="0"/>
                <w:sz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vAlign w:val="center"/>
          </w:tcPr>
          <w:p>
            <w:pPr>
              <w:spacing w:line="360" w:lineRule="auto"/>
              <w:jc w:val="center"/>
              <w:rPr>
                <w:rFonts w:ascii="宋体" w:hAnsi="宋体" w:cs="方正仿宋_GBK"/>
                <w:kern w:val="0"/>
                <w:sz w:val="22"/>
                <w:highlight w:val="none"/>
              </w:rPr>
            </w:pPr>
            <w:r>
              <w:rPr>
                <w:rFonts w:hint="eastAsia" w:ascii="宋体" w:hAnsi="宋体" w:cs="方正仿宋_GBK"/>
                <w:kern w:val="0"/>
                <w:sz w:val="22"/>
                <w:highlight w:val="none"/>
              </w:rPr>
              <w:t>1</w:t>
            </w:r>
          </w:p>
        </w:tc>
        <w:tc>
          <w:tcPr>
            <w:tcW w:w="1499" w:type="dxa"/>
            <w:vMerge w:val="restart"/>
            <w:vAlign w:val="center"/>
          </w:tcPr>
          <w:p>
            <w:pPr>
              <w:spacing w:line="360" w:lineRule="auto"/>
              <w:rPr>
                <w:rFonts w:ascii="宋体" w:hAnsi="宋体" w:cs="方正仿宋_GBK"/>
                <w:kern w:val="0"/>
                <w:sz w:val="22"/>
                <w:highlight w:val="none"/>
              </w:rPr>
            </w:pPr>
            <w:r>
              <w:rPr>
                <w:rFonts w:hint="eastAsia" w:ascii="宋体" w:hAnsi="宋体" w:cs="方正仿宋_GBK"/>
                <w:kern w:val="0"/>
                <w:sz w:val="22"/>
                <w:highlight w:val="none"/>
              </w:rPr>
              <w:t>有效性审查</w:t>
            </w:r>
          </w:p>
        </w:tc>
        <w:tc>
          <w:tcPr>
            <w:tcW w:w="2192" w:type="dxa"/>
            <w:vAlign w:val="center"/>
          </w:tcPr>
          <w:p>
            <w:pPr>
              <w:spacing w:line="360" w:lineRule="auto"/>
              <w:rPr>
                <w:rFonts w:ascii="宋体" w:hAnsi="宋体" w:cs="方正仿宋_GBK"/>
                <w:kern w:val="0"/>
                <w:sz w:val="22"/>
                <w:highlight w:val="none"/>
              </w:rPr>
            </w:pPr>
            <w:r>
              <w:rPr>
                <w:rFonts w:hint="eastAsia" w:ascii="宋体" w:hAnsi="宋体" w:cs="方正仿宋_GBK"/>
                <w:sz w:val="22"/>
                <w:highlight w:val="none"/>
              </w:rPr>
              <w:t>响应文件签署</w:t>
            </w:r>
          </w:p>
        </w:tc>
        <w:tc>
          <w:tcPr>
            <w:tcW w:w="5262" w:type="dxa"/>
            <w:vAlign w:val="center"/>
          </w:tcPr>
          <w:p>
            <w:pPr>
              <w:spacing w:line="360" w:lineRule="auto"/>
              <w:rPr>
                <w:rFonts w:ascii="宋体" w:hAnsi="宋体" w:cs="方正仿宋_GBK"/>
                <w:kern w:val="0"/>
                <w:sz w:val="22"/>
                <w:highlight w:val="none"/>
              </w:rPr>
            </w:pPr>
            <w:r>
              <w:rPr>
                <w:rFonts w:hint="eastAsia" w:ascii="宋体" w:hAnsi="宋体" w:cs="方正仿宋_GBK"/>
                <w:sz w:val="22"/>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vAlign w:val="center"/>
          </w:tcPr>
          <w:p>
            <w:pPr>
              <w:spacing w:line="360" w:lineRule="auto"/>
              <w:jc w:val="center"/>
              <w:rPr>
                <w:rFonts w:ascii="宋体" w:hAnsi="宋体" w:cs="方正仿宋_GBK"/>
                <w:kern w:val="0"/>
                <w:sz w:val="22"/>
                <w:highlight w:val="none"/>
              </w:rPr>
            </w:pPr>
          </w:p>
        </w:tc>
        <w:tc>
          <w:tcPr>
            <w:tcW w:w="1499" w:type="dxa"/>
            <w:vMerge w:val="continue"/>
            <w:vAlign w:val="center"/>
          </w:tcPr>
          <w:p>
            <w:pPr>
              <w:spacing w:line="360" w:lineRule="auto"/>
              <w:rPr>
                <w:rFonts w:ascii="宋体" w:hAnsi="宋体" w:cs="方正仿宋_GBK"/>
                <w:kern w:val="0"/>
                <w:sz w:val="22"/>
                <w:highlight w:val="none"/>
              </w:rPr>
            </w:pPr>
          </w:p>
        </w:tc>
        <w:tc>
          <w:tcPr>
            <w:tcW w:w="2192" w:type="dxa"/>
            <w:vAlign w:val="center"/>
          </w:tcPr>
          <w:p>
            <w:pPr>
              <w:spacing w:line="360" w:lineRule="auto"/>
              <w:rPr>
                <w:rFonts w:ascii="宋体" w:hAnsi="宋体" w:cs="方正仿宋_GBK"/>
                <w:sz w:val="22"/>
                <w:highlight w:val="none"/>
              </w:rPr>
            </w:pPr>
            <w:r>
              <w:rPr>
                <w:rFonts w:hint="eastAsia" w:ascii="宋体" w:hAnsi="宋体" w:cs="方正仿宋_GBK"/>
                <w:sz w:val="22"/>
                <w:highlight w:val="none"/>
              </w:rPr>
              <w:t>法定代表人身份证明及授权委托书</w:t>
            </w:r>
          </w:p>
        </w:tc>
        <w:tc>
          <w:tcPr>
            <w:tcW w:w="5262" w:type="dxa"/>
            <w:vAlign w:val="center"/>
          </w:tcPr>
          <w:p>
            <w:pPr>
              <w:spacing w:line="360" w:lineRule="auto"/>
              <w:rPr>
                <w:rFonts w:ascii="宋体" w:hAnsi="宋体" w:cs="方正仿宋_GBK"/>
                <w:sz w:val="22"/>
                <w:highlight w:val="none"/>
              </w:rPr>
            </w:pPr>
            <w:r>
              <w:rPr>
                <w:rFonts w:hint="eastAsia" w:ascii="宋体" w:hAnsi="宋体" w:cs="方正仿宋_GBK"/>
                <w:sz w:val="22"/>
                <w:highlight w:val="none"/>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vAlign w:val="center"/>
          </w:tcPr>
          <w:p>
            <w:pPr>
              <w:spacing w:line="360" w:lineRule="auto"/>
              <w:jc w:val="center"/>
              <w:rPr>
                <w:rFonts w:ascii="宋体" w:hAnsi="宋体" w:cs="方正仿宋_GBK"/>
                <w:kern w:val="0"/>
                <w:sz w:val="22"/>
                <w:highlight w:val="none"/>
              </w:rPr>
            </w:pPr>
          </w:p>
        </w:tc>
        <w:tc>
          <w:tcPr>
            <w:tcW w:w="1499" w:type="dxa"/>
            <w:vMerge w:val="continue"/>
            <w:vAlign w:val="center"/>
          </w:tcPr>
          <w:p>
            <w:pPr>
              <w:spacing w:line="360" w:lineRule="auto"/>
              <w:rPr>
                <w:rFonts w:ascii="宋体" w:hAnsi="宋体" w:cs="方正仿宋_GBK"/>
                <w:kern w:val="0"/>
                <w:sz w:val="22"/>
                <w:highlight w:val="none"/>
              </w:rPr>
            </w:pPr>
          </w:p>
        </w:tc>
        <w:tc>
          <w:tcPr>
            <w:tcW w:w="2192" w:type="dxa"/>
            <w:vAlign w:val="center"/>
          </w:tcPr>
          <w:p>
            <w:pPr>
              <w:spacing w:line="360" w:lineRule="auto"/>
              <w:rPr>
                <w:rFonts w:ascii="宋体" w:hAnsi="宋体" w:cs="方正仿宋_GBK"/>
                <w:sz w:val="22"/>
                <w:highlight w:val="none"/>
                <w:lang w:val="zh-CN"/>
              </w:rPr>
            </w:pPr>
            <w:r>
              <w:rPr>
                <w:rFonts w:hint="eastAsia" w:ascii="宋体" w:hAnsi="宋体" w:cs="方正仿宋_GBK"/>
                <w:sz w:val="22"/>
                <w:highlight w:val="none"/>
              </w:rPr>
              <w:t>报价唯一</w:t>
            </w:r>
          </w:p>
        </w:tc>
        <w:tc>
          <w:tcPr>
            <w:tcW w:w="5262" w:type="dxa"/>
            <w:vAlign w:val="center"/>
          </w:tcPr>
          <w:p>
            <w:pPr>
              <w:spacing w:line="360" w:lineRule="auto"/>
              <w:rPr>
                <w:rFonts w:ascii="宋体" w:hAnsi="宋体" w:cs="方正仿宋_GBK"/>
                <w:kern w:val="0"/>
                <w:sz w:val="22"/>
                <w:highlight w:val="none"/>
              </w:rPr>
            </w:pPr>
            <w:r>
              <w:rPr>
                <w:rFonts w:hint="eastAsia" w:ascii="宋体" w:hAnsi="宋体" w:cs="方正仿宋_GBK"/>
                <w:sz w:val="22"/>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pPr>
              <w:spacing w:line="360" w:lineRule="auto"/>
              <w:jc w:val="center"/>
              <w:rPr>
                <w:rFonts w:ascii="宋体" w:hAnsi="宋体" w:cs="方正仿宋_GBK"/>
                <w:kern w:val="0"/>
                <w:sz w:val="22"/>
                <w:highlight w:val="none"/>
              </w:rPr>
            </w:pPr>
            <w:r>
              <w:rPr>
                <w:rFonts w:hint="eastAsia" w:ascii="宋体" w:hAnsi="宋体" w:cs="方正仿宋_GBK"/>
                <w:kern w:val="0"/>
                <w:sz w:val="22"/>
                <w:highlight w:val="none"/>
              </w:rPr>
              <w:t>2</w:t>
            </w:r>
          </w:p>
        </w:tc>
        <w:tc>
          <w:tcPr>
            <w:tcW w:w="1499" w:type="dxa"/>
            <w:vAlign w:val="center"/>
          </w:tcPr>
          <w:p>
            <w:pPr>
              <w:spacing w:line="360" w:lineRule="auto"/>
              <w:rPr>
                <w:rFonts w:ascii="宋体" w:hAnsi="宋体" w:cs="方正仿宋_GBK"/>
                <w:sz w:val="22"/>
                <w:highlight w:val="none"/>
              </w:rPr>
            </w:pPr>
            <w:r>
              <w:rPr>
                <w:rFonts w:hint="eastAsia" w:ascii="宋体" w:hAnsi="宋体" w:cs="方正仿宋_GBK"/>
                <w:sz w:val="22"/>
                <w:highlight w:val="none"/>
              </w:rPr>
              <w:t>完整性审查</w:t>
            </w:r>
          </w:p>
        </w:tc>
        <w:tc>
          <w:tcPr>
            <w:tcW w:w="2192" w:type="dxa"/>
            <w:vAlign w:val="center"/>
          </w:tcPr>
          <w:p>
            <w:pPr>
              <w:spacing w:line="360" w:lineRule="auto"/>
              <w:rPr>
                <w:rFonts w:ascii="宋体" w:hAnsi="宋体" w:cs="方正仿宋_GBK"/>
                <w:sz w:val="22"/>
                <w:highlight w:val="none"/>
              </w:rPr>
            </w:pPr>
            <w:r>
              <w:rPr>
                <w:rFonts w:hint="eastAsia" w:ascii="宋体" w:hAnsi="宋体" w:cs="方正仿宋_GBK"/>
                <w:sz w:val="22"/>
                <w:highlight w:val="none"/>
              </w:rPr>
              <w:t>响应</w:t>
            </w:r>
            <w:r>
              <w:rPr>
                <w:rFonts w:hint="eastAsia" w:ascii="宋体" w:hAnsi="宋体" w:cs="方正仿宋_GBK"/>
                <w:sz w:val="22"/>
                <w:highlight w:val="none"/>
                <w:lang w:val="zh-CN"/>
              </w:rPr>
              <w:t>文件份数</w:t>
            </w:r>
          </w:p>
        </w:tc>
        <w:tc>
          <w:tcPr>
            <w:tcW w:w="5262" w:type="dxa"/>
            <w:vAlign w:val="center"/>
          </w:tcPr>
          <w:p>
            <w:pPr>
              <w:spacing w:line="360" w:lineRule="auto"/>
              <w:rPr>
                <w:rFonts w:ascii="宋体" w:hAnsi="宋体" w:cs="方正仿宋_GBK"/>
                <w:sz w:val="22"/>
                <w:highlight w:val="none"/>
              </w:rPr>
            </w:pPr>
            <w:r>
              <w:rPr>
                <w:rFonts w:hint="eastAsia" w:ascii="宋体" w:hAnsi="宋体" w:cs="方正仿宋_GBK"/>
                <w:sz w:val="22"/>
                <w:highlight w:val="none"/>
              </w:rPr>
              <w:t>响应</w:t>
            </w:r>
            <w:r>
              <w:rPr>
                <w:rFonts w:hint="eastAsia" w:ascii="宋体" w:hAnsi="宋体" w:cs="方正仿宋_GBK"/>
                <w:sz w:val="22"/>
                <w:highlight w:val="none"/>
                <w:lang w:val="zh-CN"/>
              </w:rPr>
              <w:t>文件正、副本数量符合</w:t>
            </w:r>
            <w:r>
              <w:rPr>
                <w:rFonts w:hint="eastAsia" w:ascii="宋体" w:hAnsi="宋体" w:cs="方正仿宋_GBK"/>
                <w:sz w:val="22"/>
                <w:highlight w:val="none"/>
              </w:rPr>
              <w:t>采购文件</w:t>
            </w:r>
            <w:r>
              <w:rPr>
                <w:rFonts w:hint="eastAsia" w:ascii="宋体" w:hAnsi="宋体" w:cs="方正仿宋_GBK"/>
                <w:sz w:val="22"/>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vMerge w:val="restart"/>
            <w:vAlign w:val="center"/>
          </w:tcPr>
          <w:p>
            <w:pPr>
              <w:spacing w:line="360" w:lineRule="auto"/>
              <w:jc w:val="center"/>
              <w:rPr>
                <w:rFonts w:ascii="宋体" w:hAnsi="宋体" w:cs="方正仿宋_GBK"/>
                <w:kern w:val="0"/>
                <w:sz w:val="22"/>
                <w:highlight w:val="none"/>
              </w:rPr>
            </w:pPr>
            <w:r>
              <w:rPr>
                <w:rFonts w:hint="eastAsia" w:ascii="宋体" w:hAnsi="宋体" w:cs="方正仿宋_GBK"/>
                <w:kern w:val="0"/>
                <w:sz w:val="22"/>
                <w:highlight w:val="none"/>
              </w:rPr>
              <w:t>3</w:t>
            </w:r>
          </w:p>
        </w:tc>
        <w:tc>
          <w:tcPr>
            <w:tcW w:w="1499" w:type="dxa"/>
            <w:vMerge w:val="restart"/>
            <w:vAlign w:val="center"/>
          </w:tcPr>
          <w:p>
            <w:pPr>
              <w:spacing w:line="360" w:lineRule="auto"/>
              <w:rPr>
                <w:rFonts w:ascii="宋体" w:hAnsi="宋体" w:cs="方正仿宋_GBK"/>
                <w:sz w:val="22"/>
                <w:highlight w:val="none"/>
                <w:lang w:val="zh-CN"/>
              </w:rPr>
            </w:pPr>
            <w:r>
              <w:rPr>
                <w:rFonts w:hint="eastAsia" w:ascii="宋体" w:hAnsi="宋体" w:cs="方正仿宋_GBK"/>
                <w:kern w:val="0"/>
                <w:sz w:val="22"/>
                <w:highlight w:val="none"/>
              </w:rPr>
              <w:t>采购文件的响应程度审查</w:t>
            </w:r>
          </w:p>
        </w:tc>
        <w:tc>
          <w:tcPr>
            <w:tcW w:w="2192" w:type="dxa"/>
            <w:vAlign w:val="center"/>
          </w:tcPr>
          <w:p>
            <w:pPr>
              <w:spacing w:line="360" w:lineRule="auto"/>
              <w:rPr>
                <w:rFonts w:ascii="宋体" w:hAnsi="宋体" w:cs="方正仿宋_GBK"/>
                <w:kern w:val="0"/>
                <w:sz w:val="22"/>
                <w:highlight w:val="none"/>
              </w:rPr>
            </w:pPr>
            <w:r>
              <w:rPr>
                <w:rFonts w:hint="eastAsia" w:ascii="宋体" w:hAnsi="宋体" w:cs="方正仿宋_GBK"/>
                <w:kern w:val="0"/>
                <w:sz w:val="22"/>
                <w:highlight w:val="none"/>
              </w:rPr>
              <w:t>响应文件内容</w:t>
            </w:r>
          </w:p>
        </w:tc>
        <w:tc>
          <w:tcPr>
            <w:tcW w:w="5262" w:type="dxa"/>
            <w:vAlign w:val="center"/>
          </w:tcPr>
          <w:p>
            <w:pPr>
              <w:spacing w:line="360" w:lineRule="auto"/>
              <w:rPr>
                <w:rFonts w:ascii="宋体" w:hAnsi="宋体" w:cs="方正仿宋_GBK"/>
                <w:kern w:val="0"/>
                <w:sz w:val="22"/>
                <w:highlight w:val="none"/>
              </w:rPr>
            </w:pPr>
            <w:r>
              <w:rPr>
                <w:rFonts w:hint="eastAsia" w:ascii="宋体" w:hAnsi="宋体" w:cs="方正仿宋_GBK"/>
                <w:kern w:val="0"/>
                <w:sz w:val="22"/>
                <w:highlight w:val="none"/>
              </w:rPr>
              <w:t>对采购文件要求的全部</w:t>
            </w:r>
            <w:r>
              <w:rPr>
                <w:rFonts w:hint="eastAsia" w:ascii="宋体" w:hAnsi="宋体" w:cs="方正仿宋_GBK"/>
                <w:sz w:val="22"/>
                <w:highlight w:val="none"/>
                <w:lang w:val="zh-CN"/>
              </w:rPr>
              <w:t>内容进行实质响应，响应齐全、无遗漏</w:t>
            </w:r>
            <w:r>
              <w:rPr>
                <w:rFonts w:hint="eastAsia" w:ascii="宋体" w:hAnsi="宋体" w:cs="方正仿宋_GBK"/>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vAlign w:val="center"/>
          </w:tcPr>
          <w:p>
            <w:pPr>
              <w:spacing w:line="360" w:lineRule="auto"/>
              <w:jc w:val="center"/>
              <w:rPr>
                <w:rFonts w:ascii="宋体" w:hAnsi="宋体" w:cs="方正仿宋_GBK"/>
                <w:kern w:val="0"/>
                <w:sz w:val="22"/>
                <w:highlight w:val="none"/>
              </w:rPr>
            </w:pPr>
          </w:p>
        </w:tc>
        <w:tc>
          <w:tcPr>
            <w:tcW w:w="1499" w:type="dxa"/>
            <w:vMerge w:val="continue"/>
            <w:vAlign w:val="center"/>
          </w:tcPr>
          <w:p>
            <w:pPr>
              <w:spacing w:line="360" w:lineRule="auto"/>
              <w:rPr>
                <w:rFonts w:ascii="宋体" w:hAnsi="宋体" w:cs="方正仿宋_GBK"/>
                <w:sz w:val="22"/>
                <w:highlight w:val="none"/>
                <w:lang w:val="zh-CN"/>
              </w:rPr>
            </w:pPr>
          </w:p>
        </w:tc>
        <w:tc>
          <w:tcPr>
            <w:tcW w:w="2192" w:type="dxa"/>
            <w:vAlign w:val="center"/>
          </w:tcPr>
          <w:p>
            <w:pPr>
              <w:spacing w:line="360" w:lineRule="auto"/>
              <w:rPr>
                <w:rFonts w:ascii="宋体" w:hAnsi="宋体" w:cs="方正仿宋_GBK"/>
                <w:kern w:val="0"/>
                <w:sz w:val="22"/>
                <w:highlight w:val="none"/>
              </w:rPr>
            </w:pPr>
            <w:r>
              <w:rPr>
                <w:rFonts w:hint="eastAsia" w:ascii="宋体" w:hAnsi="宋体" w:cs="方正仿宋_GBK"/>
                <w:kern w:val="0"/>
                <w:sz w:val="22"/>
                <w:highlight w:val="none"/>
              </w:rPr>
              <w:t>竞采有效期</w:t>
            </w:r>
          </w:p>
        </w:tc>
        <w:tc>
          <w:tcPr>
            <w:tcW w:w="5262" w:type="dxa"/>
            <w:vAlign w:val="center"/>
          </w:tcPr>
          <w:p>
            <w:pPr>
              <w:spacing w:line="360" w:lineRule="auto"/>
              <w:rPr>
                <w:rFonts w:ascii="宋体" w:hAnsi="宋体" w:cs="方正仿宋_GBK"/>
                <w:kern w:val="0"/>
                <w:sz w:val="22"/>
                <w:highlight w:val="none"/>
              </w:rPr>
            </w:pPr>
            <w:r>
              <w:rPr>
                <w:rFonts w:hint="eastAsia" w:ascii="宋体" w:hAnsi="宋体" w:cs="方正仿宋_GBK"/>
                <w:kern w:val="0"/>
                <w:sz w:val="22"/>
                <w:highlight w:val="none"/>
              </w:rPr>
              <w:t>竞采有效期为竞采截止时间（响应文件递交截止时间）起九十天。</w:t>
            </w:r>
          </w:p>
        </w:tc>
      </w:tr>
    </w:tbl>
    <w:p>
      <w:pPr>
        <w:spacing w:line="360" w:lineRule="auto"/>
        <w:ind w:firstLine="566" w:firstLineChars="236"/>
        <w:rPr>
          <w:rFonts w:ascii="宋体" w:hAnsi="宋体"/>
          <w:sz w:val="24"/>
          <w:highlight w:val="none"/>
        </w:rPr>
      </w:pPr>
      <w:r>
        <w:rPr>
          <w:rFonts w:hint="eastAsia" w:ascii="宋体" w:hAnsi="宋体"/>
          <w:sz w:val="24"/>
          <w:highlight w:val="none"/>
        </w:rPr>
        <w:t>（三）无效竞采条款</w:t>
      </w:r>
    </w:p>
    <w:p>
      <w:pPr>
        <w:spacing w:line="360" w:lineRule="auto"/>
        <w:ind w:firstLine="566" w:firstLineChars="236"/>
        <w:rPr>
          <w:rFonts w:ascii="宋体" w:hAnsi="宋体"/>
          <w:sz w:val="24"/>
          <w:highlight w:val="none"/>
        </w:rPr>
      </w:pPr>
      <w:r>
        <w:rPr>
          <w:rFonts w:hint="eastAsia" w:ascii="宋体" w:hAnsi="宋体"/>
          <w:sz w:val="24"/>
          <w:highlight w:val="none"/>
        </w:rPr>
        <w:t>供应商或其响应文件出现下列情况之一者，应为无效竞采：</w:t>
      </w:r>
    </w:p>
    <w:p>
      <w:pPr>
        <w:spacing w:line="360" w:lineRule="auto"/>
        <w:ind w:firstLine="566" w:firstLineChars="236"/>
        <w:rPr>
          <w:rFonts w:ascii="宋体" w:hAnsi="宋体"/>
          <w:sz w:val="24"/>
          <w:highlight w:val="none"/>
        </w:rPr>
      </w:pPr>
      <w:r>
        <w:rPr>
          <w:rFonts w:hint="eastAsia" w:ascii="宋体" w:hAnsi="宋体"/>
          <w:sz w:val="24"/>
          <w:highlight w:val="none"/>
        </w:rPr>
        <w:t>1、未按照采购文件的规定提交竞采保证金（若有）的；</w:t>
      </w:r>
    </w:p>
    <w:p>
      <w:pPr>
        <w:spacing w:line="360" w:lineRule="auto"/>
        <w:ind w:firstLine="566" w:firstLineChars="236"/>
        <w:rPr>
          <w:rFonts w:ascii="宋体" w:hAnsi="宋体"/>
          <w:sz w:val="24"/>
          <w:highlight w:val="none"/>
        </w:rPr>
      </w:pPr>
      <w:r>
        <w:rPr>
          <w:rFonts w:hint="eastAsia" w:ascii="宋体" w:hAnsi="宋体"/>
          <w:sz w:val="24"/>
          <w:highlight w:val="none"/>
        </w:rPr>
        <w:t>2、响应文件未按采购文件要求签署、盖章的；</w:t>
      </w:r>
    </w:p>
    <w:p>
      <w:pPr>
        <w:spacing w:line="360" w:lineRule="auto"/>
        <w:ind w:firstLine="566" w:firstLineChars="236"/>
        <w:rPr>
          <w:rFonts w:ascii="宋体" w:hAnsi="宋体"/>
          <w:sz w:val="24"/>
          <w:highlight w:val="none"/>
        </w:rPr>
      </w:pPr>
      <w:r>
        <w:rPr>
          <w:rFonts w:hint="eastAsia" w:ascii="宋体" w:hAnsi="宋体"/>
          <w:sz w:val="24"/>
          <w:highlight w:val="none"/>
        </w:rPr>
        <w:t>3、不满足资格性或符合性审查内容的；</w:t>
      </w:r>
    </w:p>
    <w:p>
      <w:pPr>
        <w:spacing w:line="360" w:lineRule="auto"/>
        <w:ind w:firstLine="566" w:firstLineChars="236"/>
        <w:rPr>
          <w:rFonts w:ascii="宋体" w:hAnsi="宋体"/>
          <w:sz w:val="24"/>
          <w:highlight w:val="none"/>
        </w:rPr>
      </w:pPr>
      <w:r>
        <w:rPr>
          <w:rFonts w:hint="eastAsia" w:ascii="宋体" w:hAnsi="宋体"/>
          <w:sz w:val="24"/>
          <w:highlight w:val="none"/>
        </w:rPr>
        <w:t>4、报价超过采购文件中规定的预算金额或者最高限价的；</w:t>
      </w:r>
    </w:p>
    <w:p>
      <w:pPr>
        <w:spacing w:line="360" w:lineRule="auto"/>
        <w:ind w:firstLine="566" w:firstLineChars="236"/>
        <w:rPr>
          <w:rFonts w:ascii="宋体" w:hAnsi="宋体"/>
          <w:sz w:val="24"/>
          <w:highlight w:val="none"/>
        </w:rPr>
      </w:pPr>
      <w:r>
        <w:rPr>
          <w:rFonts w:hint="eastAsia" w:ascii="宋体" w:hAnsi="宋体"/>
          <w:sz w:val="24"/>
          <w:highlight w:val="none"/>
        </w:rPr>
        <w:t>5、采购文件含有采购人不能接受的附加条件的；</w:t>
      </w:r>
    </w:p>
    <w:p>
      <w:pPr>
        <w:spacing w:line="360" w:lineRule="auto"/>
        <w:ind w:firstLine="566" w:firstLineChars="236"/>
        <w:rPr>
          <w:rFonts w:ascii="宋体" w:hAnsi="宋体"/>
          <w:sz w:val="24"/>
          <w:highlight w:val="none"/>
        </w:rPr>
      </w:pPr>
      <w:r>
        <w:rPr>
          <w:rFonts w:hint="eastAsia" w:ascii="宋体" w:hAnsi="宋体"/>
          <w:sz w:val="24"/>
          <w:highlight w:val="none"/>
        </w:rPr>
        <w:t>6、法律、法规和采购文件规定的其他无效情形。</w:t>
      </w:r>
    </w:p>
    <w:p>
      <w:pPr>
        <w:spacing w:line="360" w:lineRule="auto"/>
        <w:ind w:firstLine="566" w:firstLineChars="236"/>
        <w:rPr>
          <w:rFonts w:ascii="宋体" w:hAnsi="宋体"/>
          <w:sz w:val="24"/>
          <w:highlight w:val="none"/>
        </w:rPr>
      </w:pPr>
      <w:r>
        <w:rPr>
          <w:rFonts w:hint="eastAsia" w:ascii="宋体" w:hAnsi="宋体"/>
          <w:sz w:val="24"/>
          <w:highlight w:val="none"/>
        </w:rPr>
        <w:t>注：第2条仅指采购文件“十三、响应文件格式”中要求签署、盖章的地方。</w:t>
      </w:r>
    </w:p>
    <w:p>
      <w:pPr>
        <w:spacing w:line="360" w:lineRule="auto"/>
        <w:ind w:firstLine="566" w:firstLineChars="236"/>
        <w:rPr>
          <w:rFonts w:ascii="宋体" w:hAnsi="宋体"/>
          <w:sz w:val="24"/>
          <w:highlight w:val="none"/>
        </w:rPr>
      </w:pPr>
      <w:r>
        <w:rPr>
          <w:rFonts w:hint="eastAsia" w:ascii="宋体" w:hAnsi="宋体"/>
          <w:sz w:val="24"/>
          <w:highlight w:val="none"/>
        </w:rPr>
        <w:t>（四）废标条款</w:t>
      </w:r>
    </w:p>
    <w:p>
      <w:pPr>
        <w:spacing w:line="360" w:lineRule="auto"/>
        <w:ind w:firstLine="566" w:firstLineChars="236"/>
        <w:rPr>
          <w:rFonts w:ascii="宋体" w:hAnsi="宋体"/>
          <w:sz w:val="24"/>
          <w:highlight w:val="none"/>
        </w:rPr>
      </w:pPr>
      <w:r>
        <w:rPr>
          <w:rFonts w:hint="eastAsia" w:ascii="宋体" w:hAnsi="宋体"/>
          <w:sz w:val="24"/>
          <w:highlight w:val="none"/>
        </w:rPr>
        <w:t>在竞采中，出现下列情形之一的，应予废标：</w:t>
      </w:r>
    </w:p>
    <w:p>
      <w:pPr>
        <w:spacing w:line="360" w:lineRule="auto"/>
        <w:ind w:firstLine="566" w:firstLineChars="236"/>
        <w:rPr>
          <w:rFonts w:ascii="宋体" w:hAnsi="宋体"/>
          <w:sz w:val="24"/>
          <w:highlight w:val="none"/>
        </w:rPr>
      </w:pPr>
      <w:r>
        <w:rPr>
          <w:rFonts w:hint="eastAsia" w:ascii="宋体" w:hAnsi="宋体"/>
          <w:sz w:val="24"/>
          <w:highlight w:val="none"/>
        </w:rPr>
        <w:t>1、符合专业条件的供应商或者对采购文件作实质响应的供应商不足三家的；</w:t>
      </w:r>
    </w:p>
    <w:p>
      <w:pPr>
        <w:spacing w:line="360" w:lineRule="auto"/>
        <w:ind w:firstLine="566" w:firstLineChars="236"/>
        <w:rPr>
          <w:rFonts w:ascii="宋体" w:hAnsi="宋体"/>
          <w:sz w:val="24"/>
          <w:highlight w:val="none"/>
        </w:rPr>
      </w:pPr>
      <w:r>
        <w:rPr>
          <w:rFonts w:hint="eastAsia" w:ascii="宋体" w:hAnsi="宋体"/>
          <w:sz w:val="24"/>
          <w:highlight w:val="none"/>
        </w:rPr>
        <w:t>2、供应商的报价均超过了采购预算和最高限价，采购人不能支付的；</w:t>
      </w:r>
    </w:p>
    <w:p>
      <w:pPr>
        <w:spacing w:line="360" w:lineRule="auto"/>
        <w:ind w:firstLine="566" w:firstLineChars="236"/>
        <w:rPr>
          <w:rFonts w:ascii="宋体" w:hAnsi="宋体"/>
          <w:sz w:val="24"/>
          <w:highlight w:val="none"/>
        </w:rPr>
      </w:pPr>
      <w:r>
        <w:rPr>
          <w:rFonts w:hint="eastAsia" w:ascii="宋体" w:hAnsi="宋体"/>
          <w:sz w:val="24"/>
          <w:highlight w:val="none"/>
        </w:rPr>
        <w:t>3、出现影响采购公正的违法、违规行为的；</w:t>
      </w:r>
    </w:p>
    <w:p>
      <w:pPr>
        <w:spacing w:line="360" w:lineRule="auto"/>
        <w:ind w:firstLine="566" w:firstLineChars="236"/>
        <w:rPr>
          <w:rFonts w:ascii="宋体" w:hAnsi="宋体"/>
          <w:sz w:val="24"/>
          <w:highlight w:val="none"/>
        </w:rPr>
      </w:pPr>
      <w:r>
        <w:rPr>
          <w:rFonts w:hint="eastAsia" w:ascii="宋体" w:hAnsi="宋体"/>
          <w:sz w:val="24"/>
          <w:highlight w:val="none"/>
        </w:rPr>
        <w:t>4、因重大变故，采购任务取消的。</w:t>
      </w:r>
    </w:p>
    <w:p>
      <w:pPr>
        <w:spacing w:line="360" w:lineRule="auto"/>
        <w:ind w:firstLine="566" w:firstLineChars="236"/>
        <w:rPr>
          <w:rFonts w:ascii="宋体" w:hAnsi="宋体"/>
          <w:sz w:val="24"/>
          <w:highlight w:val="none"/>
        </w:rPr>
      </w:pPr>
      <w:r>
        <w:rPr>
          <w:rFonts w:hint="eastAsia" w:ascii="宋体" w:hAnsi="宋体"/>
          <w:sz w:val="24"/>
          <w:highlight w:val="none"/>
        </w:rPr>
        <w:t>废标后，除采购任务取消情形外，应当重新组织采购。</w:t>
      </w:r>
    </w:p>
    <w:p>
      <w:pPr>
        <w:pStyle w:val="3"/>
        <w:spacing w:line="360" w:lineRule="auto"/>
        <w:ind w:firstLine="482" w:firstLineChars="200"/>
        <w:rPr>
          <w:rFonts w:hAnsi="宋体"/>
          <w:b/>
          <w:sz w:val="24"/>
          <w:highlight w:val="none"/>
        </w:rPr>
      </w:pPr>
      <w:r>
        <w:rPr>
          <w:rFonts w:hint="eastAsia" w:hAnsi="宋体"/>
          <w:b/>
          <w:sz w:val="24"/>
          <w:highlight w:val="none"/>
        </w:rPr>
        <w:t>八</w:t>
      </w:r>
      <w:r>
        <w:rPr>
          <w:rFonts w:hAnsi="宋体"/>
          <w:b/>
          <w:sz w:val="24"/>
          <w:highlight w:val="none"/>
        </w:rPr>
        <w:t>、</w:t>
      </w:r>
      <w:r>
        <w:rPr>
          <w:rFonts w:hint="eastAsia" w:hAnsi="宋体"/>
          <w:b/>
          <w:sz w:val="24"/>
          <w:highlight w:val="none"/>
        </w:rPr>
        <w:t>响应文件的编制</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1、响应文件：须为P</w:t>
      </w:r>
      <w:r>
        <w:rPr>
          <w:rFonts w:ascii="宋体" w:hAnsi="宋体"/>
          <w:sz w:val="24"/>
          <w:szCs w:val="24"/>
          <w:highlight w:val="none"/>
        </w:rPr>
        <w:t>DF</w:t>
      </w:r>
      <w:r>
        <w:rPr>
          <w:rFonts w:hint="eastAsia" w:ascii="宋体" w:hAnsi="宋体"/>
          <w:sz w:val="24"/>
          <w:szCs w:val="24"/>
          <w:highlight w:val="none"/>
        </w:rPr>
        <w:t>电子文档。</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2、响应文件每一页应加盖供应商公章（响应文件要求中规定签字、盖章的地方必须按其规定签字、盖章）。</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3、若供应商对响应文件的错处作必要修改，则应在修改处加盖供应商公章或由法人或法人授权代表签字确认。</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4、电报、电话、传真、邮寄形式的响应文件概不接受。</w:t>
      </w:r>
    </w:p>
    <w:p>
      <w:pPr>
        <w:spacing w:line="360" w:lineRule="auto"/>
        <w:ind w:firstLine="240" w:firstLineChars="100"/>
        <w:jc w:val="left"/>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5</w:t>
      </w:r>
      <w:r>
        <w:rPr>
          <w:rFonts w:hint="eastAsia" w:ascii="宋体" w:hAnsi="宋体"/>
          <w:sz w:val="24"/>
          <w:szCs w:val="24"/>
          <w:highlight w:val="none"/>
        </w:rPr>
        <w:t>、响应文件所有内容必须能清楚辨识，所有附件材料必须完整，格式须严格按照《响应文件格式》编排，否则将视为无效竞采。</w:t>
      </w:r>
    </w:p>
    <w:p>
      <w:pPr>
        <w:pStyle w:val="3"/>
        <w:spacing w:line="360" w:lineRule="auto"/>
        <w:rPr>
          <w:rFonts w:hAnsi="宋体"/>
          <w:b/>
          <w:sz w:val="24"/>
          <w:highlight w:val="none"/>
        </w:rPr>
      </w:pPr>
      <w:r>
        <w:rPr>
          <w:rFonts w:hAnsi="宋体"/>
          <w:sz w:val="24"/>
          <w:szCs w:val="24"/>
          <w:highlight w:val="none"/>
        </w:rPr>
        <w:br w:type="page"/>
      </w:r>
      <w:r>
        <w:rPr>
          <w:rFonts w:hint="eastAsia" w:hAnsi="宋体"/>
          <w:b/>
          <w:sz w:val="24"/>
          <w:szCs w:val="24"/>
          <w:highlight w:val="none"/>
        </w:rPr>
        <w:t xml:space="preserve"> </w:t>
      </w:r>
      <w:r>
        <w:rPr>
          <w:rFonts w:hint="eastAsia" w:hAnsi="宋体"/>
          <w:b/>
          <w:sz w:val="24"/>
          <w:highlight w:val="none"/>
        </w:rPr>
        <w:t>九、政府采购合同</w:t>
      </w:r>
    </w:p>
    <w:p>
      <w:pPr>
        <w:rPr>
          <w:rFonts w:ascii="宋体" w:hAnsi="宋体"/>
          <w:highlight w:val="none"/>
        </w:rPr>
      </w:pPr>
    </w:p>
    <w:p>
      <w:pPr>
        <w:snapToGrid w:val="0"/>
        <w:spacing w:line="500" w:lineRule="exact"/>
        <w:jc w:val="center"/>
        <w:rPr>
          <w:rFonts w:ascii="宋体" w:hAnsi="宋体"/>
          <w:b/>
          <w:sz w:val="44"/>
          <w:highlight w:val="none"/>
        </w:rPr>
      </w:pPr>
      <w:r>
        <w:rPr>
          <w:rFonts w:hint="eastAsia" w:ascii="宋体" w:hAnsi="宋体"/>
          <w:b/>
          <w:sz w:val="44"/>
          <w:highlight w:val="none"/>
        </w:rPr>
        <w:t>重庆市政府采购合同</w:t>
      </w:r>
    </w:p>
    <w:p>
      <w:pPr>
        <w:snapToGrid w:val="0"/>
        <w:spacing w:line="500" w:lineRule="exact"/>
        <w:jc w:val="center"/>
        <w:rPr>
          <w:rFonts w:ascii="宋体" w:hAnsi="宋体"/>
          <w:highlight w:val="none"/>
        </w:rPr>
      </w:pPr>
      <w:r>
        <w:rPr>
          <w:rFonts w:hint="eastAsia" w:ascii="宋体" w:hAnsi="宋体"/>
          <w:highlight w:val="none"/>
        </w:rPr>
        <w:t>（项目号：          ）</w:t>
      </w:r>
    </w:p>
    <w:p>
      <w:pPr>
        <w:snapToGrid w:val="0"/>
        <w:spacing w:line="500" w:lineRule="exact"/>
        <w:rPr>
          <w:rFonts w:ascii="宋体" w:hAnsi="宋体"/>
          <w:sz w:val="24"/>
          <w:highlight w:val="none"/>
        </w:rPr>
      </w:pPr>
      <w:r>
        <w:rPr>
          <w:rFonts w:hint="eastAsia" w:ascii="宋体" w:hAnsi="宋体"/>
          <w:sz w:val="24"/>
          <w:highlight w:val="none"/>
        </w:rPr>
        <w:t>甲方（需方）：___________________________      计价单位：____________</w:t>
      </w:r>
    </w:p>
    <w:p>
      <w:pPr>
        <w:snapToGrid w:val="0"/>
        <w:spacing w:line="500" w:lineRule="exact"/>
        <w:rPr>
          <w:rFonts w:ascii="宋体" w:hAnsi="宋体"/>
          <w:sz w:val="24"/>
          <w:highlight w:val="none"/>
        </w:rPr>
      </w:pPr>
      <w:r>
        <w:rPr>
          <w:rFonts w:hint="eastAsia" w:ascii="宋体" w:hAnsi="宋体"/>
          <w:sz w:val="24"/>
          <w:highlight w:val="none"/>
        </w:rPr>
        <w:t>乙方（供方）：___________________________      计量单位：_____________</w:t>
      </w:r>
    </w:p>
    <w:p>
      <w:pPr>
        <w:snapToGrid w:val="0"/>
        <w:spacing w:line="500" w:lineRule="exact"/>
        <w:rPr>
          <w:rFonts w:ascii="宋体" w:hAnsi="宋体"/>
          <w:sz w:val="24"/>
          <w:highlight w:val="none"/>
        </w:rPr>
      </w:pPr>
    </w:p>
    <w:p>
      <w:pPr>
        <w:snapToGrid w:val="0"/>
        <w:spacing w:line="500" w:lineRule="exact"/>
        <w:rPr>
          <w:rFonts w:ascii="宋体" w:hAnsi="宋体"/>
          <w:sz w:val="24"/>
          <w:highlight w:val="none"/>
        </w:rPr>
      </w:pPr>
      <w:r>
        <w:rPr>
          <w:rFonts w:hint="eastAsia" w:ascii="宋体" w:hAnsi="宋体"/>
          <w:sz w:val="24"/>
          <w:highlight w:val="none"/>
        </w:rPr>
        <w:t>经双方协商一致，达成以下购销合同：</w:t>
      </w:r>
    </w:p>
    <w:tbl>
      <w:tblPr>
        <w:tblStyle w:val="57"/>
        <w:tblW w:w="9464" w:type="dxa"/>
        <w:jc w:val="center"/>
        <w:tblLayout w:type="fixed"/>
        <w:tblCellMar>
          <w:top w:w="0" w:type="dxa"/>
          <w:left w:w="0" w:type="dxa"/>
          <w:bottom w:w="0" w:type="dxa"/>
          <w:right w:w="0" w:type="dxa"/>
        </w:tblCellMar>
      </w:tblPr>
      <w:tblGrid>
        <w:gridCol w:w="1330"/>
        <w:gridCol w:w="1741"/>
        <w:gridCol w:w="984"/>
        <w:gridCol w:w="306"/>
        <w:gridCol w:w="992"/>
        <w:gridCol w:w="1134"/>
        <w:gridCol w:w="1559"/>
        <w:gridCol w:w="1418"/>
      </w:tblGrid>
      <w:tr>
        <w:tblPrEx>
          <w:tblCellMar>
            <w:top w:w="0" w:type="dxa"/>
            <w:left w:w="0" w:type="dxa"/>
            <w:bottom w:w="0" w:type="dxa"/>
            <w:right w:w="0" w:type="dxa"/>
          </w:tblCellMar>
        </w:tblPrEx>
        <w:trPr>
          <w:trHeight w:val="452" w:hRule="atLeast"/>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商品名称</w:t>
            </w: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规格型号</w:t>
            </w: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数量</w:t>
            </w: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综合单价</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总价</w:t>
            </w: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交货时间</w:t>
            </w: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r>
              <w:rPr>
                <w:rFonts w:hint="eastAsia" w:ascii="宋体" w:hAnsi="宋体"/>
                <w:sz w:val="22"/>
                <w:highlight w:val="none"/>
              </w:rPr>
              <w:t>交货地点</w:t>
            </w: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74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298"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5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jc w:val="center"/>
              <w:rPr>
                <w:rFonts w:ascii="宋体" w:hAnsi="宋体"/>
                <w:sz w:val="22"/>
                <w:highlight w:val="none"/>
              </w:rPr>
            </w:pPr>
          </w:p>
        </w:tc>
      </w:tr>
      <w:tr>
        <w:tblPrEx>
          <w:tblCellMar>
            <w:top w:w="0" w:type="dxa"/>
            <w:left w:w="0" w:type="dxa"/>
            <w:bottom w:w="0" w:type="dxa"/>
            <w:right w:w="0" w:type="dxa"/>
          </w:tblCellMar>
        </w:tblPrEx>
        <w:trPr>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rPr>
                <w:rFonts w:ascii="宋体" w:hAnsi="宋体"/>
                <w:sz w:val="22"/>
                <w:highlight w:val="none"/>
              </w:rPr>
            </w:pPr>
            <w:r>
              <w:rPr>
                <w:rFonts w:hint="eastAsia" w:ascii="宋体" w:hAnsi="宋体"/>
                <w:sz w:val="22"/>
                <w:highlight w:val="none"/>
              </w:rPr>
              <w:t>合计人民币（小写）：</w:t>
            </w:r>
          </w:p>
        </w:tc>
      </w:tr>
      <w:tr>
        <w:tblPrEx>
          <w:tblCellMar>
            <w:top w:w="0" w:type="dxa"/>
            <w:left w:w="0" w:type="dxa"/>
            <w:bottom w:w="0" w:type="dxa"/>
            <w:right w:w="0" w:type="dxa"/>
          </w:tblCellMar>
        </w:tblPrEx>
        <w:trPr>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276" w:lineRule="auto"/>
              <w:rPr>
                <w:rFonts w:ascii="宋体" w:hAnsi="宋体"/>
                <w:sz w:val="22"/>
                <w:highlight w:val="none"/>
              </w:rPr>
            </w:pPr>
            <w:r>
              <w:rPr>
                <w:rFonts w:hint="eastAsia" w:ascii="宋体" w:hAnsi="宋体"/>
                <w:sz w:val="22"/>
                <w:highlight w:val="none"/>
              </w:rPr>
              <w:t>合计人民币（大写）：</w:t>
            </w:r>
          </w:p>
        </w:tc>
      </w:tr>
      <w:tr>
        <w:tblPrEx>
          <w:tblCellMar>
            <w:top w:w="0" w:type="dxa"/>
            <w:left w:w="0" w:type="dxa"/>
            <w:bottom w:w="0" w:type="dxa"/>
            <w:right w:w="0" w:type="dxa"/>
          </w:tblCellMar>
        </w:tblPrEx>
        <w:trPr>
          <w:trHeight w:val="2052"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一、质量要求和技术标准。供方提供的商品必须是全新的，完全符合国家有关技术标准，供方的质量保证及售后服务承诺如下：</w:t>
            </w:r>
          </w:p>
          <w:p>
            <w:pPr>
              <w:snapToGrid w:val="0"/>
              <w:spacing w:line="276" w:lineRule="auto"/>
              <w:rPr>
                <w:rFonts w:ascii="宋体" w:hAnsi="宋体"/>
                <w:sz w:val="22"/>
                <w:highlight w:val="none"/>
              </w:rPr>
            </w:pPr>
            <w:r>
              <w:rPr>
                <w:rFonts w:hint="eastAsia" w:ascii="宋体" w:hAnsi="宋体"/>
                <w:sz w:val="22"/>
                <w:highlight w:val="none"/>
              </w:rPr>
              <w:t>1、质保期限：</w:t>
            </w:r>
          </w:p>
          <w:p>
            <w:pPr>
              <w:snapToGrid w:val="0"/>
              <w:spacing w:line="276" w:lineRule="auto"/>
              <w:rPr>
                <w:rFonts w:ascii="宋体" w:hAnsi="宋体"/>
                <w:sz w:val="22"/>
                <w:highlight w:val="none"/>
              </w:rPr>
            </w:pPr>
            <w:r>
              <w:rPr>
                <w:rFonts w:hint="eastAsia" w:ascii="宋体" w:hAnsi="宋体"/>
                <w:sz w:val="22"/>
                <w:highlight w:val="none"/>
              </w:rPr>
              <w:t>2、保修范围：</w:t>
            </w:r>
          </w:p>
          <w:p>
            <w:pPr>
              <w:snapToGrid w:val="0"/>
              <w:spacing w:line="276" w:lineRule="auto"/>
              <w:rPr>
                <w:rFonts w:ascii="宋体" w:hAnsi="宋体"/>
                <w:sz w:val="22"/>
                <w:highlight w:val="none"/>
              </w:rPr>
            </w:pPr>
            <w:r>
              <w:rPr>
                <w:rFonts w:hint="eastAsia" w:ascii="宋体" w:hAnsi="宋体"/>
                <w:sz w:val="22"/>
                <w:highlight w:val="none"/>
              </w:rPr>
              <w:t>3、服务措施：</w:t>
            </w:r>
          </w:p>
          <w:p>
            <w:pPr>
              <w:snapToGrid w:val="0"/>
              <w:spacing w:line="276" w:lineRule="auto"/>
              <w:rPr>
                <w:rFonts w:ascii="宋体" w:hAnsi="宋体"/>
                <w:sz w:val="22"/>
                <w:highlight w:val="none"/>
              </w:rPr>
            </w:pPr>
            <w:r>
              <w:rPr>
                <w:rFonts w:hint="eastAsia" w:ascii="宋体" w:hAnsi="宋体"/>
                <w:sz w:val="22"/>
                <w:highlight w:val="none"/>
              </w:rPr>
              <w:t>4、质保期后服务：</w:t>
            </w:r>
          </w:p>
        </w:tc>
      </w:tr>
      <w:tr>
        <w:tblPrEx>
          <w:tblCellMar>
            <w:top w:w="0" w:type="dxa"/>
            <w:left w:w="0" w:type="dxa"/>
            <w:bottom w:w="0" w:type="dxa"/>
            <w:right w:w="0" w:type="dxa"/>
          </w:tblCellMar>
        </w:tblPrEx>
        <w:trPr>
          <w:trHeight w:val="913"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二、随机备品、附件、工具数量及供应方法：</w:t>
            </w:r>
          </w:p>
        </w:tc>
      </w:tr>
      <w:tr>
        <w:tblPrEx>
          <w:tblCellMar>
            <w:top w:w="0" w:type="dxa"/>
            <w:left w:w="0" w:type="dxa"/>
            <w:bottom w:w="0" w:type="dxa"/>
            <w:right w:w="0" w:type="dxa"/>
          </w:tblCellMar>
        </w:tblPrEx>
        <w:trPr>
          <w:trHeight w:val="751"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三、交提货方式：</w:t>
            </w:r>
          </w:p>
        </w:tc>
      </w:tr>
      <w:tr>
        <w:tblPrEx>
          <w:tblCellMar>
            <w:top w:w="0" w:type="dxa"/>
            <w:left w:w="0" w:type="dxa"/>
            <w:bottom w:w="0" w:type="dxa"/>
            <w:right w:w="0" w:type="dxa"/>
          </w:tblCellMar>
        </w:tblPrEx>
        <w:trPr>
          <w:trHeight w:val="1132"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四、验收标准、方法：</w:t>
            </w:r>
          </w:p>
          <w:p>
            <w:pPr>
              <w:snapToGrid w:val="0"/>
              <w:spacing w:line="276" w:lineRule="auto"/>
              <w:rPr>
                <w:rFonts w:ascii="宋体" w:hAnsi="宋体"/>
                <w:sz w:val="22"/>
                <w:highlight w:val="none"/>
              </w:rPr>
            </w:pPr>
            <w:r>
              <w:rPr>
                <w:rFonts w:hint="eastAsia" w:ascii="宋体" w:hAnsi="宋体"/>
                <w:sz w:val="22"/>
                <w:highlight w:val="none"/>
              </w:rPr>
              <w:t>如有异议，请于      日内提出。</w:t>
            </w:r>
          </w:p>
        </w:tc>
      </w:tr>
      <w:tr>
        <w:tblPrEx>
          <w:tblCellMar>
            <w:top w:w="0" w:type="dxa"/>
            <w:left w:w="0" w:type="dxa"/>
            <w:bottom w:w="0" w:type="dxa"/>
            <w:right w:w="0" w:type="dxa"/>
          </w:tblCellMar>
        </w:tblPrEx>
        <w:trPr>
          <w:trHeight w:val="1127"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五、付款方式：</w:t>
            </w:r>
          </w:p>
          <w:p>
            <w:pPr>
              <w:snapToGrid w:val="0"/>
              <w:spacing w:line="276" w:lineRule="auto"/>
              <w:rPr>
                <w:rFonts w:ascii="宋体" w:hAnsi="宋体"/>
                <w:sz w:val="22"/>
                <w:highlight w:val="none"/>
              </w:rPr>
            </w:pPr>
          </w:p>
        </w:tc>
      </w:tr>
      <w:tr>
        <w:tblPrEx>
          <w:tblCellMar>
            <w:top w:w="0" w:type="dxa"/>
            <w:left w:w="0" w:type="dxa"/>
            <w:bottom w:w="0" w:type="dxa"/>
            <w:right w:w="0" w:type="dxa"/>
          </w:tblCellMar>
        </w:tblPrEx>
        <w:trPr>
          <w:trHeight w:val="1127"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六、违约责任：</w:t>
            </w:r>
          </w:p>
          <w:p>
            <w:pPr>
              <w:snapToGrid w:val="0"/>
              <w:spacing w:line="276" w:lineRule="auto"/>
              <w:rPr>
                <w:rFonts w:ascii="宋体" w:hAnsi="宋体"/>
                <w:sz w:val="22"/>
                <w:highlight w:val="none"/>
              </w:rPr>
            </w:pPr>
            <w:r>
              <w:rPr>
                <w:rFonts w:hint="eastAsia" w:ascii="宋体" w:hAnsi="宋体"/>
                <w:sz w:val="22"/>
                <w:highlight w:val="none"/>
              </w:rPr>
              <w:t>按《合同法》、《政府采购法》执行，或按双方约定。(采购人应按项目实际情况完整填写)</w:t>
            </w:r>
          </w:p>
        </w:tc>
      </w:tr>
      <w:tr>
        <w:tblPrEx>
          <w:tblCellMar>
            <w:top w:w="0" w:type="dxa"/>
            <w:left w:w="0" w:type="dxa"/>
            <w:bottom w:w="0" w:type="dxa"/>
            <w:right w:w="0" w:type="dxa"/>
          </w:tblCellMar>
        </w:tblPrEx>
        <w:trPr>
          <w:trHeight w:val="1691"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七、其他约定事项：</w:t>
            </w:r>
          </w:p>
          <w:p>
            <w:pPr>
              <w:snapToGrid w:val="0"/>
              <w:spacing w:line="276" w:lineRule="auto"/>
              <w:rPr>
                <w:rFonts w:ascii="宋体" w:hAnsi="宋体"/>
                <w:sz w:val="22"/>
                <w:highlight w:val="none"/>
              </w:rPr>
            </w:pPr>
            <w:r>
              <w:rPr>
                <w:rFonts w:hint="eastAsia" w:ascii="宋体" w:hAnsi="宋体"/>
                <w:sz w:val="22"/>
                <w:highlight w:val="none"/>
              </w:rPr>
              <w:t>1.竞采文件及其补遗文件、响应文件和承诺是本合同不可分割的部分。</w:t>
            </w:r>
          </w:p>
          <w:p>
            <w:pPr>
              <w:snapToGrid w:val="0"/>
              <w:spacing w:line="276" w:lineRule="auto"/>
              <w:rPr>
                <w:rFonts w:ascii="宋体" w:hAnsi="宋体"/>
                <w:sz w:val="22"/>
                <w:highlight w:val="none"/>
              </w:rPr>
            </w:pPr>
            <w:r>
              <w:rPr>
                <w:rFonts w:hint="eastAsia" w:ascii="宋体" w:hAnsi="宋体"/>
                <w:sz w:val="22"/>
                <w:highlight w:val="none"/>
              </w:rPr>
              <w:t>2.本合同如发生争议由双方协商解决，协商不成向需方所在人民法院提请诉讼。</w:t>
            </w:r>
          </w:p>
          <w:p>
            <w:pPr>
              <w:snapToGrid w:val="0"/>
              <w:spacing w:line="276" w:lineRule="auto"/>
              <w:rPr>
                <w:rFonts w:ascii="宋体" w:hAnsi="宋体"/>
                <w:sz w:val="22"/>
                <w:highlight w:val="none"/>
              </w:rPr>
            </w:pPr>
            <w:r>
              <w:rPr>
                <w:rFonts w:hint="eastAsia" w:ascii="宋体" w:hAnsi="宋体"/>
                <w:sz w:val="22"/>
                <w:highlight w:val="none"/>
              </w:rPr>
              <w:t>3.本合同一式4份， 需方2份，供方2份具备同等法律效力。</w:t>
            </w:r>
          </w:p>
          <w:p>
            <w:pPr>
              <w:snapToGrid w:val="0"/>
              <w:spacing w:line="276" w:lineRule="auto"/>
              <w:rPr>
                <w:rFonts w:ascii="宋体" w:hAnsi="宋体"/>
                <w:sz w:val="22"/>
                <w:highlight w:val="none"/>
              </w:rPr>
            </w:pPr>
            <w:r>
              <w:rPr>
                <w:rFonts w:hint="eastAsia" w:ascii="宋体" w:hAnsi="宋体"/>
                <w:sz w:val="22"/>
                <w:highlight w:val="none"/>
              </w:rPr>
              <w:t>4.其他：</w:t>
            </w:r>
          </w:p>
        </w:tc>
      </w:tr>
      <w:tr>
        <w:tblPrEx>
          <w:tblCellMar>
            <w:top w:w="0" w:type="dxa"/>
            <w:left w:w="0" w:type="dxa"/>
            <w:bottom w:w="0" w:type="dxa"/>
            <w:right w:w="0" w:type="dxa"/>
          </w:tblCellMar>
        </w:tblPrEx>
        <w:trPr>
          <w:trHeight w:val="4488" w:hRule="atLeast"/>
          <w:jc w:val="center"/>
        </w:trPr>
        <w:tc>
          <w:tcPr>
            <w:tcW w:w="4361"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需方：</w:t>
            </w:r>
          </w:p>
          <w:p>
            <w:pPr>
              <w:snapToGrid w:val="0"/>
              <w:spacing w:line="276" w:lineRule="auto"/>
              <w:rPr>
                <w:rFonts w:ascii="宋体" w:hAnsi="宋体"/>
                <w:sz w:val="22"/>
                <w:highlight w:val="none"/>
              </w:rPr>
            </w:pPr>
            <w:r>
              <w:rPr>
                <w:rFonts w:hint="eastAsia" w:ascii="宋体" w:hAnsi="宋体"/>
                <w:sz w:val="22"/>
                <w:highlight w:val="none"/>
              </w:rPr>
              <w:t>地址：</w:t>
            </w:r>
          </w:p>
          <w:p>
            <w:pPr>
              <w:snapToGrid w:val="0"/>
              <w:spacing w:line="276" w:lineRule="auto"/>
              <w:rPr>
                <w:rFonts w:ascii="宋体" w:hAnsi="宋体"/>
                <w:sz w:val="22"/>
                <w:highlight w:val="none"/>
              </w:rPr>
            </w:pPr>
            <w:r>
              <w:rPr>
                <w:rFonts w:hint="eastAsia" w:ascii="宋体" w:hAnsi="宋体"/>
                <w:sz w:val="22"/>
                <w:highlight w:val="none"/>
              </w:rPr>
              <w:t>联系电话：</w:t>
            </w:r>
          </w:p>
          <w:p>
            <w:pPr>
              <w:snapToGrid w:val="0"/>
              <w:spacing w:line="276" w:lineRule="auto"/>
              <w:rPr>
                <w:rFonts w:ascii="宋体" w:hAnsi="宋体"/>
                <w:sz w:val="22"/>
                <w:highlight w:val="none"/>
              </w:rPr>
            </w:pPr>
            <w:r>
              <w:rPr>
                <w:rFonts w:hint="eastAsia" w:ascii="宋体" w:hAnsi="宋体"/>
                <w:sz w:val="22"/>
                <w:highlight w:val="none"/>
              </w:rPr>
              <w:t>授权代表：</w:t>
            </w:r>
          </w:p>
        </w:tc>
        <w:tc>
          <w:tcPr>
            <w:tcW w:w="5103"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供方：</w:t>
            </w:r>
          </w:p>
          <w:p>
            <w:pPr>
              <w:snapToGrid w:val="0"/>
              <w:spacing w:line="276" w:lineRule="auto"/>
              <w:rPr>
                <w:rFonts w:ascii="宋体" w:hAnsi="宋体"/>
                <w:sz w:val="22"/>
                <w:highlight w:val="none"/>
              </w:rPr>
            </w:pPr>
            <w:r>
              <w:rPr>
                <w:rFonts w:hint="eastAsia" w:ascii="宋体" w:hAnsi="宋体"/>
                <w:sz w:val="22"/>
                <w:highlight w:val="none"/>
              </w:rPr>
              <w:t>地址：</w:t>
            </w:r>
          </w:p>
          <w:p>
            <w:pPr>
              <w:snapToGrid w:val="0"/>
              <w:spacing w:line="276" w:lineRule="auto"/>
              <w:rPr>
                <w:rFonts w:ascii="宋体" w:hAnsi="宋体"/>
                <w:sz w:val="22"/>
                <w:highlight w:val="none"/>
              </w:rPr>
            </w:pPr>
            <w:r>
              <w:rPr>
                <w:rFonts w:hint="eastAsia" w:ascii="宋体" w:hAnsi="宋体"/>
                <w:sz w:val="22"/>
                <w:highlight w:val="none"/>
              </w:rPr>
              <w:t>电话：</w:t>
            </w:r>
          </w:p>
          <w:p>
            <w:pPr>
              <w:snapToGrid w:val="0"/>
              <w:spacing w:line="276" w:lineRule="auto"/>
              <w:rPr>
                <w:rFonts w:ascii="宋体" w:hAnsi="宋体"/>
                <w:sz w:val="22"/>
                <w:highlight w:val="none"/>
              </w:rPr>
            </w:pPr>
            <w:r>
              <w:rPr>
                <w:rFonts w:hint="eastAsia" w:ascii="宋体" w:hAnsi="宋体"/>
                <w:sz w:val="22"/>
                <w:highlight w:val="none"/>
              </w:rPr>
              <w:t>传真：</w:t>
            </w:r>
          </w:p>
          <w:p>
            <w:pPr>
              <w:snapToGrid w:val="0"/>
              <w:spacing w:line="276" w:lineRule="auto"/>
              <w:rPr>
                <w:rFonts w:ascii="宋体" w:hAnsi="宋体"/>
                <w:sz w:val="22"/>
                <w:highlight w:val="none"/>
              </w:rPr>
            </w:pPr>
            <w:r>
              <w:rPr>
                <w:rFonts w:hint="eastAsia" w:ascii="宋体" w:hAnsi="宋体"/>
                <w:sz w:val="22"/>
                <w:highlight w:val="none"/>
              </w:rPr>
              <w:t>开户银行：</w:t>
            </w:r>
          </w:p>
          <w:p>
            <w:pPr>
              <w:snapToGrid w:val="0"/>
              <w:spacing w:line="276" w:lineRule="auto"/>
              <w:rPr>
                <w:rFonts w:ascii="宋体" w:hAnsi="宋体"/>
                <w:sz w:val="22"/>
                <w:highlight w:val="none"/>
              </w:rPr>
            </w:pPr>
            <w:r>
              <w:rPr>
                <w:rFonts w:hint="eastAsia" w:ascii="宋体" w:hAnsi="宋体"/>
                <w:sz w:val="22"/>
                <w:highlight w:val="none"/>
              </w:rPr>
              <w:t>账号：</w:t>
            </w:r>
          </w:p>
          <w:p>
            <w:pPr>
              <w:snapToGrid w:val="0"/>
              <w:spacing w:line="276" w:lineRule="auto"/>
              <w:rPr>
                <w:rFonts w:ascii="宋体" w:hAnsi="宋体"/>
                <w:sz w:val="22"/>
                <w:highlight w:val="none"/>
              </w:rPr>
            </w:pPr>
            <w:r>
              <w:rPr>
                <w:rFonts w:hint="eastAsia" w:ascii="宋体" w:hAnsi="宋体"/>
                <w:sz w:val="22"/>
                <w:highlight w:val="none"/>
              </w:rPr>
              <w:t>授权代表：</w:t>
            </w:r>
          </w:p>
          <w:p>
            <w:pPr>
              <w:snapToGrid w:val="0"/>
              <w:spacing w:line="276" w:lineRule="auto"/>
              <w:rPr>
                <w:rFonts w:ascii="宋体" w:hAnsi="宋体"/>
                <w:sz w:val="22"/>
                <w:highlight w:val="none"/>
              </w:rPr>
            </w:pPr>
            <w:r>
              <w:rPr>
                <w:rFonts w:hint="eastAsia" w:ascii="宋体" w:hAnsi="宋体"/>
                <w:sz w:val="22"/>
                <w:highlight w:val="none"/>
              </w:rPr>
              <w:t>（本栏请用计算机打印以便于准确付款）</w:t>
            </w:r>
          </w:p>
          <w:p>
            <w:pPr>
              <w:widowControl/>
              <w:snapToGrid w:val="0"/>
              <w:spacing w:line="276" w:lineRule="auto"/>
              <w:jc w:val="left"/>
              <w:rPr>
                <w:rFonts w:ascii="宋体" w:hAnsi="宋体"/>
                <w:sz w:val="22"/>
                <w:highlight w:val="none"/>
              </w:rPr>
            </w:pPr>
          </w:p>
          <w:p>
            <w:pPr>
              <w:snapToGrid w:val="0"/>
              <w:spacing w:line="276" w:lineRule="auto"/>
              <w:rPr>
                <w:rFonts w:ascii="宋体" w:hAnsi="宋体"/>
                <w:sz w:val="22"/>
                <w:highlight w:val="none"/>
              </w:rPr>
            </w:pPr>
          </w:p>
        </w:tc>
      </w:tr>
      <w:tr>
        <w:tblPrEx>
          <w:tblCellMar>
            <w:top w:w="0" w:type="dxa"/>
            <w:left w:w="0" w:type="dxa"/>
            <w:bottom w:w="0" w:type="dxa"/>
            <w:right w:w="0" w:type="dxa"/>
          </w:tblCellMar>
        </w:tblPrEx>
        <w:trPr>
          <w:trHeight w:val="882" w:hRule="atLeast"/>
          <w:jc w:val="center"/>
        </w:trPr>
        <w:tc>
          <w:tcPr>
            <w:tcW w:w="9464"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snapToGrid w:val="0"/>
              <w:spacing w:line="276" w:lineRule="auto"/>
              <w:rPr>
                <w:rFonts w:ascii="宋体" w:hAnsi="宋体"/>
                <w:sz w:val="22"/>
                <w:highlight w:val="none"/>
              </w:rPr>
            </w:pPr>
            <w:r>
              <w:rPr>
                <w:rFonts w:hint="eastAsia" w:ascii="宋体" w:hAnsi="宋体"/>
                <w:sz w:val="22"/>
                <w:highlight w:val="none"/>
              </w:rPr>
              <w:t>备注：</w:t>
            </w:r>
          </w:p>
          <w:p>
            <w:pPr>
              <w:snapToGrid w:val="0"/>
              <w:spacing w:line="276" w:lineRule="auto"/>
              <w:rPr>
                <w:rFonts w:ascii="宋体" w:hAnsi="宋体"/>
                <w:sz w:val="22"/>
                <w:highlight w:val="none"/>
              </w:rPr>
            </w:pPr>
          </w:p>
          <w:p>
            <w:pPr>
              <w:snapToGrid w:val="0"/>
              <w:spacing w:line="276" w:lineRule="auto"/>
              <w:rPr>
                <w:rFonts w:ascii="宋体" w:hAnsi="宋体"/>
                <w:sz w:val="22"/>
                <w:highlight w:val="none"/>
              </w:rPr>
            </w:pPr>
          </w:p>
        </w:tc>
      </w:tr>
    </w:tbl>
    <w:p>
      <w:pPr>
        <w:rPr>
          <w:rFonts w:ascii="宋体" w:hAnsi="宋体"/>
          <w:sz w:val="24"/>
          <w:highlight w:val="none"/>
        </w:rPr>
      </w:pPr>
      <w:r>
        <w:rPr>
          <w:rFonts w:hint="eastAsia" w:ascii="宋体" w:hAnsi="宋体"/>
          <w:sz w:val="24"/>
          <w:highlight w:val="none"/>
        </w:rPr>
        <w:t>签约时间：           年   月   日</w:t>
      </w:r>
    </w:p>
    <w:p>
      <w:pPr>
        <w:spacing w:line="500" w:lineRule="exact"/>
        <w:rPr>
          <w:rFonts w:ascii="宋体" w:hAnsi="宋体" w:cs="宋体"/>
          <w:color w:val="000000"/>
          <w:sz w:val="24"/>
          <w:highlight w:val="none"/>
        </w:rPr>
      </w:pPr>
    </w:p>
    <w:p>
      <w:pPr>
        <w:rPr>
          <w:rFonts w:ascii="宋体" w:hAnsi="宋体" w:cs="方正仿宋_GBK"/>
          <w:highlight w:val="none"/>
        </w:rPr>
      </w:pPr>
      <w:r>
        <w:rPr>
          <w:rFonts w:ascii="宋体" w:hAnsi="宋体"/>
          <w:sz w:val="24"/>
          <w:highlight w:val="none"/>
        </w:rPr>
        <w:br w:type="page"/>
      </w:r>
    </w:p>
    <w:p>
      <w:pPr>
        <w:ind w:firstLine="480"/>
        <w:rPr>
          <w:rFonts w:ascii="宋体" w:hAnsi="宋体" w:cs="方正仿宋_GBK"/>
          <w:highlight w:val="none"/>
        </w:rPr>
      </w:pPr>
      <w:r>
        <w:rPr>
          <w:rFonts w:hint="eastAsia" w:ascii="宋体" w:hAnsi="宋体" w:cs="方正仿宋_GBK"/>
          <w:highlight w:val="none"/>
        </w:rPr>
        <w:t xml:space="preserve">                                              </w:t>
      </w:r>
    </w:p>
    <w:p>
      <w:pPr>
        <w:jc w:val="center"/>
        <w:rPr>
          <w:rFonts w:ascii="宋体" w:hAnsi="宋体" w:cs="方正仿宋_GBK"/>
          <w:b/>
          <w:sz w:val="72"/>
          <w:szCs w:val="72"/>
          <w:highlight w:val="none"/>
        </w:rPr>
      </w:pPr>
    </w:p>
    <w:p>
      <w:pPr>
        <w:jc w:val="center"/>
        <w:rPr>
          <w:rFonts w:ascii="宋体" w:hAnsi="宋体" w:cs="方正仿宋_GBK"/>
          <w:b/>
          <w:sz w:val="72"/>
          <w:szCs w:val="72"/>
          <w:highlight w:val="none"/>
        </w:rPr>
      </w:pPr>
    </w:p>
    <w:p>
      <w:pPr>
        <w:jc w:val="center"/>
        <w:rPr>
          <w:rFonts w:ascii="宋体" w:hAnsi="宋体" w:cs="方正仿宋_GBK"/>
          <w:b/>
          <w:sz w:val="96"/>
          <w:szCs w:val="72"/>
          <w:highlight w:val="none"/>
        </w:rPr>
      </w:pPr>
      <w:r>
        <w:rPr>
          <w:rFonts w:hint="eastAsia" w:ascii="宋体" w:hAnsi="宋体" w:cs="方正仿宋_GBK"/>
          <w:b/>
          <w:sz w:val="96"/>
          <w:szCs w:val="72"/>
          <w:highlight w:val="none"/>
        </w:rPr>
        <w:t>响 应 文 件</w:t>
      </w:r>
    </w:p>
    <w:p>
      <w:pPr>
        <w:ind w:firstLine="480"/>
        <w:jc w:val="center"/>
        <w:rPr>
          <w:rFonts w:ascii="宋体" w:hAnsi="宋体" w:cs="方正仿宋_GBK"/>
          <w:b/>
          <w:szCs w:val="28"/>
          <w:highlight w:val="none"/>
        </w:rPr>
      </w:pPr>
    </w:p>
    <w:p>
      <w:pPr>
        <w:ind w:firstLine="480"/>
        <w:rPr>
          <w:rFonts w:ascii="宋体" w:hAnsi="宋体" w:cs="方正仿宋_GBK"/>
          <w:b/>
          <w:szCs w:val="28"/>
          <w:highlight w:val="none"/>
        </w:rPr>
      </w:pPr>
    </w:p>
    <w:p>
      <w:pPr>
        <w:jc w:val="center"/>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480"/>
        <w:rPr>
          <w:rFonts w:ascii="宋体" w:hAnsi="宋体" w:cs="方正仿宋_GBK"/>
          <w:b/>
          <w:szCs w:val="28"/>
          <w:highlight w:val="none"/>
        </w:rPr>
      </w:pPr>
    </w:p>
    <w:p>
      <w:pPr>
        <w:ind w:firstLine="640"/>
        <w:rPr>
          <w:rFonts w:ascii="宋体" w:hAnsi="宋体" w:cs="方正仿宋_GBK"/>
          <w:b/>
          <w:sz w:val="32"/>
          <w:szCs w:val="32"/>
          <w:highlight w:val="none"/>
        </w:rPr>
      </w:pPr>
    </w:p>
    <w:p>
      <w:pPr>
        <w:ind w:firstLine="640"/>
        <w:rPr>
          <w:rFonts w:ascii="宋体" w:hAnsi="宋体" w:cs="方正仿宋_GBK"/>
          <w:b/>
          <w:sz w:val="32"/>
          <w:szCs w:val="32"/>
          <w:highlight w:val="none"/>
        </w:rPr>
      </w:pPr>
      <w:r>
        <w:rPr>
          <w:rFonts w:hint="eastAsia" w:ascii="宋体" w:hAnsi="宋体" w:cs="方正仿宋_GBK"/>
          <w:b/>
          <w:sz w:val="32"/>
          <w:szCs w:val="32"/>
          <w:highlight w:val="none"/>
        </w:rPr>
        <w:t>项 目名 称：</w:t>
      </w:r>
    </w:p>
    <w:p>
      <w:pPr>
        <w:ind w:firstLine="640"/>
        <w:rPr>
          <w:rFonts w:ascii="宋体" w:hAnsi="宋体" w:cs="方正仿宋_GBK"/>
          <w:sz w:val="32"/>
          <w:szCs w:val="32"/>
          <w:highlight w:val="none"/>
        </w:rPr>
      </w:pPr>
    </w:p>
    <w:p>
      <w:pPr>
        <w:ind w:firstLine="640"/>
        <w:rPr>
          <w:rFonts w:ascii="宋体" w:hAnsi="宋体" w:cs="方正仿宋_GBK"/>
          <w:b/>
          <w:sz w:val="32"/>
          <w:szCs w:val="32"/>
          <w:highlight w:val="none"/>
        </w:rPr>
      </w:pPr>
      <w:r>
        <w:rPr>
          <w:rFonts w:hint="eastAsia" w:ascii="宋体" w:hAnsi="宋体" w:cs="方正仿宋_GBK"/>
          <w:b/>
          <w:sz w:val="32"/>
          <w:szCs w:val="32"/>
          <w:highlight w:val="none"/>
        </w:rPr>
        <w:t>供应商名称：</w:t>
      </w:r>
    </w:p>
    <w:p>
      <w:pPr>
        <w:ind w:firstLine="480"/>
        <w:jc w:val="center"/>
        <w:rPr>
          <w:rFonts w:ascii="宋体" w:hAnsi="宋体" w:cs="方正仿宋_GBK"/>
          <w:b/>
          <w:szCs w:val="28"/>
          <w:highlight w:val="none"/>
        </w:rPr>
      </w:pPr>
    </w:p>
    <w:p>
      <w:pPr>
        <w:ind w:firstLine="480"/>
        <w:jc w:val="center"/>
        <w:rPr>
          <w:rFonts w:ascii="宋体" w:hAnsi="宋体" w:cs="方正仿宋_GBK"/>
          <w:b/>
          <w:szCs w:val="28"/>
          <w:highlight w:val="none"/>
        </w:rPr>
      </w:pPr>
    </w:p>
    <w:p>
      <w:pPr>
        <w:ind w:firstLine="480"/>
        <w:jc w:val="center"/>
        <w:rPr>
          <w:rFonts w:ascii="宋体" w:hAnsi="宋体" w:cs="方正仿宋_GBK"/>
          <w:b/>
          <w:szCs w:val="28"/>
          <w:highlight w:val="none"/>
        </w:rPr>
      </w:pPr>
    </w:p>
    <w:p>
      <w:pPr>
        <w:ind w:firstLine="480"/>
        <w:jc w:val="center"/>
        <w:rPr>
          <w:rFonts w:ascii="宋体" w:hAnsi="宋体" w:cs="方正仿宋_GBK"/>
          <w:b/>
          <w:szCs w:val="28"/>
          <w:highlight w:val="none"/>
        </w:rPr>
      </w:pPr>
    </w:p>
    <w:p>
      <w:pPr>
        <w:ind w:firstLine="640"/>
        <w:jc w:val="center"/>
        <w:rPr>
          <w:rFonts w:ascii="宋体" w:hAnsi="宋体" w:cs="方正仿宋_GBK"/>
          <w:b/>
          <w:sz w:val="32"/>
          <w:szCs w:val="32"/>
          <w:highlight w:val="none"/>
        </w:rPr>
      </w:pPr>
    </w:p>
    <w:p>
      <w:pPr>
        <w:spacing w:line="360" w:lineRule="auto"/>
        <w:jc w:val="center"/>
        <w:rPr>
          <w:rFonts w:ascii="宋体" w:hAnsi="宋体" w:cs="方正仿宋_GBK"/>
          <w:b/>
          <w:sz w:val="32"/>
          <w:szCs w:val="32"/>
          <w:highlight w:val="none"/>
        </w:rPr>
      </w:pPr>
      <w:r>
        <w:rPr>
          <w:rFonts w:hint="eastAsia" w:ascii="宋体" w:hAnsi="宋体" w:cs="方正仿宋_GBK"/>
          <w:b/>
          <w:sz w:val="32"/>
          <w:szCs w:val="32"/>
          <w:highlight w:val="none"/>
        </w:rPr>
        <w:t xml:space="preserve">   年   月   日</w:t>
      </w:r>
    </w:p>
    <w:p>
      <w:pPr>
        <w:spacing w:line="312" w:lineRule="auto"/>
        <w:ind w:left="451"/>
        <w:outlineLvl w:val="1"/>
        <w:rPr>
          <w:rFonts w:ascii="宋体" w:hAnsi="宋体"/>
          <w:b/>
          <w:sz w:val="24"/>
          <w:szCs w:val="24"/>
          <w:highlight w:val="none"/>
        </w:rPr>
      </w:pPr>
      <w:r>
        <w:rPr>
          <w:rFonts w:ascii="宋体" w:hAnsi="宋体" w:cs="方正仿宋_GBK"/>
          <w:b/>
          <w:sz w:val="32"/>
          <w:szCs w:val="32"/>
          <w:highlight w:val="none"/>
        </w:rPr>
        <w:br w:type="page"/>
      </w:r>
      <w:bookmarkStart w:id="35" w:name="_Toc7787"/>
      <w:r>
        <w:rPr>
          <w:rFonts w:hint="eastAsia" w:ascii="宋体" w:hAnsi="宋体" w:cs="方正仿宋_GBK"/>
          <w:b/>
          <w:sz w:val="24"/>
          <w:szCs w:val="32"/>
          <w:highlight w:val="none"/>
        </w:rPr>
        <w:t>一、</w:t>
      </w:r>
      <w:bookmarkEnd w:id="35"/>
      <w:r>
        <w:rPr>
          <w:rFonts w:hint="eastAsia" w:ascii="宋体" w:hAnsi="宋体"/>
          <w:b/>
          <w:sz w:val="24"/>
          <w:szCs w:val="24"/>
          <w:highlight w:val="none"/>
        </w:rPr>
        <w:t>报价函</w:t>
      </w:r>
    </w:p>
    <w:p>
      <w:pPr>
        <w:spacing w:line="360" w:lineRule="auto"/>
        <w:jc w:val="center"/>
        <w:rPr>
          <w:rFonts w:ascii="宋体" w:hAnsi="宋体"/>
          <w:b/>
          <w:sz w:val="32"/>
          <w:szCs w:val="24"/>
          <w:highlight w:val="none"/>
        </w:rPr>
      </w:pPr>
      <w:r>
        <w:rPr>
          <w:rFonts w:hint="eastAsia" w:ascii="宋体" w:hAnsi="宋体"/>
          <w:b/>
          <w:sz w:val="32"/>
          <w:szCs w:val="24"/>
          <w:highlight w:val="none"/>
        </w:rPr>
        <w:t>报价函</w:t>
      </w:r>
    </w:p>
    <w:p>
      <w:pPr>
        <w:tabs>
          <w:tab w:val="left" w:pos="6300"/>
        </w:tabs>
        <w:snapToGrid w:val="0"/>
        <w:spacing w:line="360" w:lineRule="auto"/>
        <w:rPr>
          <w:rFonts w:ascii="宋体" w:hAnsi="宋体"/>
          <w:sz w:val="24"/>
          <w:szCs w:val="24"/>
          <w:highlight w:val="none"/>
          <w:u w:val="single"/>
        </w:rPr>
      </w:pPr>
    </w:p>
    <w:p>
      <w:pPr>
        <w:tabs>
          <w:tab w:val="left" w:pos="6300"/>
        </w:tabs>
        <w:snapToGrid w:val="0"/>
        <w:spacing w:line="360" w:lineRule="auto"/>
        <w:rPr>
          <w:rFonts w:ascii="宋体" w:hAnsi="宋体"/>
          <w:sz w:val="24"/>
          <w:szCs w:val="24"/>
          <w:highlight w:val="none"/>
        </w:rPr>
      </w:pPr>
      <w:r>
        <w:rPr>
          <w:rFonts w:hint="eastAsia" w:ascii="宋体" w:hAnsi="宋体"/>
          <w:sz w:val="24"/>
          <w:szCs w:val="24"/>
          <w:highlight w:val="none"/>
          <w:u w:val="single"/>
        </w:rPr>
        <w:t xml:space="preserve">（采购人名称）                 </w:t>
      </w:r>
      <w:r>
        <w:rPr>
          <w:rFonts w:hint="eastAsia" w:ascii="宋体" w:hAnsi="宋体"/>
          <w:sz w:val="24"/>
          <w:szCs w:val="24"/>
          <w:highlight w:val="none"/>
        </w:rPr>
        <w:t>：</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我方收到</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（项目名称）的采购文件，经详细研究，决定参加该项目的竞采。</w:t>
      </w:r>
    </w:p>
    <w:p>
      <w:pPr>
        <w:tabs>
          <w:tab w:val="left" w:pos="4820"/>
          <w:tab w:val="left" w:pos="6300"/>
        </w:tabs>
        <w:snapToGrid w:val="0"/>
        <w:spacing w:line="360" w:lineRule="auto"/>
        <w:ind w:left="14" w:leftChars="5" w:firstLine="458" w:firstLineChars="191"/>
        <w:jc w:val="left"/>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、愿意按照采购文件中的一切要求，提供本项目的技术服务，响应总报价为人民币大写：</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；人民币小写：</w:t>
      </w:r>
      <w:r>
        <w:rPr>
          <w:rFonts w:hint="eastAsia" w:ascii="宋体" w:hAnsi="宋体"/>
          <w:sz w:val="24"/>
          <w:szCs w:val="24"/>
          <w:highlight w:val="none"/>
          <w:u w:val="single"/>
        </w:rPr>
        <w:t xml:space="preserve">         </w:t>
      </w:r>
      <w:r>
        <w:rPr>
          <w:rFonts w:hint="eastAsia" w:ascii="宋体" w:hAnsi="宋体"/>
          <w:sz w:val="24"/>
          <w:szCs w:val="24"/>
          <w:highlight w:val="none"/>
        </w:rPr>
        <w:t>元，分项报价详见附件：分项报价表。</w:t>
      </w:r>
    </w:p>
    <w:p>
      <w:pPr>
        <w:tabs>
          <w:tab w:val="left" w:pos="4820"/>
          <w:tab w:val="left" w:pos="6300"/>
        </w:tabs>
        <w:snapToGrid w:val="0"/>
        <w:spacing w:line="360" w:lineRule="auto"/>
        <w:ind w:left="14" w:leftChars="5" w:firstLine="458" w:firstLineChars="191"/>
        <w:jc w:val="left"/>
        <w:rPr>
          <w:rFonts w:ascii="宋体" w:hAnsi="宋体"/>
          <w:sz w:val="24"/>
          <w:szCs w:val="24"/>
          <w:highlight w:val="none"/>
        </w:rPr>
      </w:pPr>
      <w:r>
        <w:rPr>
          <w:rFonts w:hint="eastAsia" w:ascii="宋体" w:hAnsi="宋体"/>
          <w:sz w:val="24"/>
          <w:szCs w:val="24"/>
          <w:highlight w:val="none"/>
        </w:rPr>
        <w:t xml:space="preserve"> 2、我方现提交的响应文件为：P</w:t>
      </w:r>
      <w:r>
        <w:rPr>
          <w:rFonts w:ascii="宋体" w:hAnsi="宋体"/>
          <w:sz w:val="24"/>
          <w:szCs w:val="24"/>
          <w:highlight w:val="none"/>
        </w:rPr>
        <w:t>DF</w:t>
      </w:r>
      <w:r>
        <w:rPr>
          <w:rFonts w:hint="eastAsia" w:ascii="宋体" w:hAnsi="宋体"/>
          <w:sz w:val="24"/>
          <w:szCs w:val="24"/>
          <w:highlight w:val="none"/>
        </w:rPr>
        <w:t>电子文档1份。</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3、我方承诺：本次竞采有效期为90天。</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4、我方完全理解和接受贵方采购文件的一切规定和要求及评审办法。</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5、在整个采购过程中，我方若有违规行为，接受相关处罚。</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6、我方完全接受采购文件中的全部内容，合同实施过程中也将严格按照其要求执行。</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7、我方若中选，将按照采购结果签订合同，并且严格履行合同义务，承诺向采购代理机构交纳采购代理服务费。本承诺函将成为合同不可分割的一部分，与合同具有同等的法律效力。</w:t>
      </w: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570"/>
        <w:rPr>
          <w:rFonts w:ascii="宋体" w:hAnsi="宋体"/>
          <w:sz w:val="24"/>
          <w:szCs w:val="24"/>
          <w:highlight w:val="none"/>
        </w:rPr>
      </w:pPr>
    </w:p>
    <w:p>
      <w:pPr>
        <w:tabs>
          <w:tab w:val="left" w:pos="6300"/>
        </w:tabs>
        <w:snapToGrid w:val="0"/>
        <w:spacing w:line="360" w:lineRule="auto"/>
        <w:ind w:firstLine="3000" w:firstLineChars="1250"/>
        <w:rPr>
          <w:rFonts w:ascii="宋体" w:hAnsi="宋体"/>
          <w:sz w:val="24"/>
          <w:szCs w:val="24"/>
          <w:highlight w:val="none"/>
        </w:rPr>
      </w:pPr>
      <w:r>
        <w:rPr>
          <w:rFonts w:hint="eastAsia" w:ascii="宋体" w:hAnsi="宋体"/>
          <w:sz w:val="24"/>
          <w:szCs w:val="24"/>
          <w:highlight w:val="none"/>
        </w:rPr>
        <w:t>供应商名称（公章）：</w:t>
      </w:r>
    </w:p>
    <w:p>
      <w:pPr>
        <w:tabs>
          <w:tab w:val="left" w:pos="6300"/>
        </w:tabs>
        <w:snapToGrid w:val="0"/>
        <w:spacing w:line="360" w:lineRule="auto"/>
        <w:ind w:firstLine="3000" w:firstLineChars="1250"/>
        <w:rPr>
          <w:rFonts w:ascii="宋体" w:hAnsi="宋体"/>
          <w:sz w:val="24"/>
          <w:szCs w:val="24"/>
          <w:highlight w:val="none"/>
        </w:rPr>
      </w:pPr>
      <w:r>
        <w:rPr>
          <w:rFonts w:hint="eastAsia" w:ascii="宋体" w:hAnsi="宋体"/>
          <w:sz w:val="24"/>
          <w:szCs w:val="24"/>
          <w:highlight w:val="none"/>
        </w:rPr>
        <w:t>联系电话：</w:t>
      </w:r>
    </w:p>
    <w:p>
      <w:pPr>
        <w:snapToGrid w:val="0"/>
        <w:spacing w:line="360" w:lineRule="auto"/>
        <w:ind w:firstLine="3720" w:firstLineChars="1550"/>
        <w:rPr>
          <w:rFonts w:ascii="宋体" w:hAnsi="宋体"/>
          <w:sz w:val="24"/>
          <w:szCs w:val="24"/>
          <w:highlight w:val="none"/>
        </w:rPr>
      </w:pPr>
      <w:r>
        <w:rPr>
          <w:rFonts w:hint="eastAsia" w:ascii="宋体" w:hAnsi="宋体"/>
          <w:sz w:val="24"/>
          <w:szCs w:val="24"/>
          <w:highlight w:val="none"/>
        </w:rPr>
        <w:t xml:space="preserve">       年   月   日</w:t>
      </w:r>
    </w:p>
    <w:p>
      <w:pPr>
        <w:keepNext/>
        <w:keepLines/>
        <w:adjustRightInd w:val="0"/>
        <w:snapToGrid w:val="0"/>
        <w:jc w:val="left"/>
        <w:rPr>
          <w:rFonts w:ascii="宋体" w:hAnsi="宋体"/>
          <w:b/>
          <w:sz w:val="24"/>
          <w:szCs w:val="24"/>
          <w:highlight w:val="none"/>
        </w:rPr>
      </w:pPr>
      <w:r>
        <w:rPr>
          <w:rFonts w:ascii="宋体" w:hAnsi="宋体"/>
          <w:sz w:val="24"/>
          <w:szCs w:val="24"/>
          <w:highlight w:val="none"/>
        </w:rPr>
        <w:br w:type="page"/>
      </w:r>
      <w:r>
        <w:rPr>
          <w:rFonts w:hint="eastAsia" w:ascii="宋体" w:hAnsi="宋体"/>
          <w:b/>
          <w:sz w:val="24"/>
          <w:szCs w:val="24"/>
          <w:highlight w:val="none"/>
        </w:rPr>
        <w:t>附件：分项报价表</w:t>
      </w:r>
    </w:p>
    <w:p>
      <w:pPr>
        <w:keepNext/>
        <w:keepLines/>
        <w:adjustRightInd w:val="0"/>
        <w:snapToGrid w:val="0"/>
        <w:jc w:val="left"/>
        <w:rPr>
          <w:rFonts w:ascii="宋体" w:hAnsi="宋体"/>
          <w:b/>
          <w:sz w:val="24"/>
          <w:szCs w:val="24"/>
          <w:highlight w:val="none"/>
        </w:rPr>
      </w:pP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序号</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名称</w:t>
            </w:r>
          </w:p>
        </w:tc>
        <w:tc>
          <w:tcPr>
            <w:tcW w:w="12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品牌、规格型号</w:t>
            </w:r>
          </w:p>
        </w:tc>
        <w:tc>
          <w:tcPr>
            <w:tcW w:w="64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制造商</w:t>
            </w:r>
          </w:p>
        </w:tc>
        <w:tc>
          <w:tcPr>
            <w:tcW w:w="64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生产地</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数量</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单价</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1</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2</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3</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4</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5</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6</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7</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8</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w:t>
            </w: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9</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w:t>
            </w: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10</w:t>
            </w:r>
          </w:p>
        </w:tc>
        <w:tc>
          <w:tcPr>
            <w:tcW w:w="485" w:type="pct"/>
            <w:vAlign w:val="center"/>
          </w:tcPr>
          <w:p>
            <w:pPr>
              <w:keepNext/>
              <w:keepLines/>
              <w:adjustRightInd w:val="0"/>
              <w:snapToGrid w:val="0"/>
              <w:jc w:val="left"/>
              <w:rPr>
                <w:rFonts w:ascii="宋体" w:hAnsi="宋体"/>
                <w:sz w:val="24"/>
                <w:szCs w:val="24"/>
                <w:highlight w:val="none"/>
              </w:rPr>
            </w:pP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w:t>
            </w: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11</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w:t>
            </w:r>
          </w:p>
        </w:tc>
        <w:tc>
          <w:tcPr>
            <w:tcW w:w="128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645" w:type="pct"/>
          </w:tcPr>
          <w:p>
            <w:pPr>
              <w:keepNext/>
              <w:keepLines/>
              <w:adjustRightInd w:val="0"/>
              <w:snapToGrid w:val="0"/>
              <w:jc w:val="left"/>
              <w:rPr>
                <w:rFonts w:ascii="宋体" w:hAnsi="宋体"/>
                <w:sz w:val="24"/>
                <w:szCs w:val="24"/>
                <w:highlight w:val="none"/>
              </w:rPr>
            </w:pP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w:t>
            </w:r>
          </w:p>
        </w:tc>
        <w:tc>
          <w:tcPr>
            <w:tcW w:w="485" w:type="pct"/>
          </w:tcPr>
          <w:p>
            <w:pPr>
              <w:keepNext/>
              <w:keepLines/>
              <w:adjustRightInd w:val="0"/>
              <w:snapToGrid w:val="0"/>
              <w:jc w:val="left"/>
              <w:rPr>
                <w:rFonts w:ascii="宋体" w:hAnsi="宋体"/>
                <w:sz w:val="24"/>
                <w:szCs w:val="24"/>
                <w:highlight w:val="none"/>
              </w:rPr>
            </w:pPr>
          </w:p>
        </w:tc>
        <w:tc>
          <w:tcPr>
            <w:tcW w:w="485" w:type="pct"/>
          </w:tcPr>
          <w:p>
            <w:pPr>
              <w:keepNext/>
              <w:keepLines/>
              <w:adjustRightInd w:val="0"/>
              <w:snapToGrid w:val="0"/>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12</w:t>
            </w:r>
          </w:p>
        </w:tc>
        <w:tc>
          <w:tcPr>
            <w:tcW w:w="485" w:type="pct"/>
            <w:vAlign w:val="center"/>
          </w:tcPr>
          <w:p>
            <w:pPr>
              <w:keepNext/>
              <w:keepLines/>
              <w:adjustRightInd w:val="0"/>
              <w:snapToGrid w:val="0"/>
              <w:jc w:val="left"/>
              <w:rPr>
                <w:rFonts w:ascii="宋体" w:hAnsi="宋体"/>
                <w:sz w:val="24"/>
                <w:szCs w:val="24"/>
                <w:highlight w:val="none"/>
              </w:rPr>
            </w:pPr>
            <w:r>
              <w:rPr>
                <w:rFonts w:hint="eastAsia" w:ascii="宋体" w:hAnsi="宋体"/>
                <w:sz w:val="24"/>
                <w:szCs w:val="24"/>
                <w:highlight w:val="none"/>
              </w:rPr>
              <w:t>总计</w:t>
            </w:r>
          </w:p>
        </w:tc>
        <w:tc>
          <w:tcPr>
            <w:tcW w:w="4030" w:type="pct"/>
            <w:gridSpan w:val="6"/>
          </w:tcPr>
          <w:p>
            <w:pPr>
              <w:keepNext/>
              <w:keepLines/>
              <w:adjustRightInd w:val="0"/>
              <w:snapToGrid w:val="0"/>
              <w:jc w:val="left"/>
              <w:rPr>
                <w:rFonts w:ascii="宋体" w:hAnsi="宋体"/>
                <w:sz w:val="24"/>
                <w:szCs w:val="24"/>
                <w:highlight w:val="none"/>
              </w:rPr>
            </w:pPr>
          </w:p>
        </w:tc>
      </w:tr>
    </w:tbl>
    <w:p>
      <w:pPr>
        <w:keepNext/>
        <w:keepLines/>
        <w:adjustRightInd w:val="0"/>
        <w:snapToGrid w:val="0"/>
        <w:jc w:val="left"/>
        <w:rPr>
          <w:rFonts w:ascii="宋体" w:hAnsi="宋体"/>
          <w:sz w:val="24"/>
          <w:szCs w:val="24"/>
          <w:highlight w:val="none"/>
        </w:rPr>
      </w:pPr>
    </w:p>
    <w:p>
      <w:pPr>
        <w:keepNext/>
        <w:keepLines/>
        <w:adjustRightInd w:val="0"/>
        <w:snapToGrid w:val="0"/>
        <w:ind w:firstLine="482" w:firstLineChars="200"/>
        <w:jc w:val="left"/>
        <w:rPr>
          <w:rFonts w:ascii="宋体" w:hAnsi="宋体"/>
          <w:b/>
          <w:sz w:val="24"/>
          <w:szCs w:val="24"/>
          <w:highlight w:val="none"/>
        </w:rPr>
      </w:pPr>
      <w:r>
        <w:rPr>
          <w:rFonts w:hint="eastAsia" w:ascii="宋体" w:hAnsi="宋体"/>
          <w:b/>
          <w:sz w:val="24"/>
          <w:szCs w:val="24"/>
          <w:highlight w:val="none"/>
        </w:rPr>
        <w:t>注：1.此表合计金额必须与报价函中响应总报价一致，否则按无效竞采处理；</w:t>
      </w:r>
    </w:p>
    <w:p>
      <w:pPr>
        <w:keepNext/>
        <w:keepLines/>
        <w:adjustRightInd w:val="0"/>
        <w:snapToGrid w:val="0"/>
        <w:ind w:firstLine="964" w:firstLineChars="400"/>
        <w:jc w:val="left"/>
        <w:rPr>
          <w:rFonts w:ascii="宋体" w:hAnsi="宋体"/>
          <w:b/>
          <w:sz w:val="24"/>
          <w:szCs w:val="24"/>
          <w:highlight w:val="none"/>
        </w:rPr>
      </w:pPr>
      <w:r>
        <w:rPr>
          <w:rFonts w:hint="eastAsia" w:ascii="宋体" w:hAnsi="宋体"/>
          <w:b/>
          <w:sz w:val="24"/>
          <w:szCs w:val="24"/>
          <w:highlight w:val="none"/>
        </w:rPr>
        <w:t>2.此表合计金额不能超过采购预算金额，否则按无效竞采处理；</w:t>
      </w:r>
    </w:p>
    <w:p>
      <w:pPr>
        <w:tabs>
          <w:tab w:val="left" w:pos="6300"/>
        </w:tabs>
        <w:snapToGrid w:val="0"/>
        <w:spacing w:line="360" w:lineRule="auto"/>
        <w:ind w:firstLine="964" w:firstLineChars="400"/>
        <w:jc w:val="left"/>
        <w:rPr>
          <w:rFonts w:ascii="宋体" w:hAnsi="宋体"/>
          <w:b/>
          <w:sz w:val="24"/>
          <w:szCs w:val="24"/>
          <w:highlight w:val="none"/>
        </w:rPr>
      </w:pPr>
      <w:r>
        <w:rPr>
          <w:rFonts w:hint="eastAsia" w:ascii="宋体" w:hAnsi="宋体"/>
          <w:b/>
          <w:sz w:val="24"/>
          <w:szCs w:val="24"/>
          <w:highlight w:val="none"/>
        </w:rPr>
        <w:t>3.供应商的分项报价不得超过竞采文件给出的单价金额，否则按无效竞采处理。</w:t>
      </w:r>
    </w:p>
    <w:p>
      <w:pPr>
        <w:pStyle w:val="2"/>
        <w:rPr>
          <w:highlight w:val="none"/>
        </w:rPr>
      </w:pPr>
    </w:p>
    <w:p>
      <w:pPr>
        <w:tabs>
          <w:tab w:val="left" w:pos="6300"/>
        </w:tabs>
        <w:snapToGrid w:val="0"/>
        <w:spacing w:line="360" w:lineRule="auto"/>
        <w:ind w:firstLine="3000" w:firstLineChars="1250"/>
        <w:jc w:val="right"/>
        <w:rPr>
          <w:rFonts w:ascii="宋体" w:hAnsi="宋体"/>
          <w:sz w:val="24"/>
          <w:szCs w:val="24"/>
          <w:highlight w:val="none"/>
        </w:rPr>
      </w:pPr>
    </w:p>
    <w:p>
      <w:pPr>
        <w:tabs>
          <w:tab w:val="left" w:pos="6300"/>
        </w:tabs>
        <w:snapToGrid w:val="0"/>
        <w:spacing w:line="360" w:lineRule="auto"/>
        <w:ind w:firstLine="3000" w:firstLineChars="1250"/>
        <w:jc w:val="right"/>
        <w:rPr>
          <w:rFonts w:ascii="宋体" w:hAnsi="宋体"/>
          <w:sz w:val="24"/>
          <w:szCs w:val="24"/>
          <w:highlight w:val="none"/>
        </w:rPr>
      </w:pPr>
    </w:p>
    <w:p>
      <w:pPr>
        <w:tabs>
          <w:tab w:val="left" w:pos="6300"/>
        </w:tabs>
        <w:snapToGrid w:val="0"/>
        <w:spacing w:line="360" w:lineRule="auto"/>
        <w:ind w:firstLine="3000" w:firstLineChars="1250"/>
        <w:jc w:val="right"/>
        <w:rPr>
          <w:rFonts w:ascii="宋体" w:hAnsi="宋体"/>
          <w:sz w:val="24"/>
          <w:szCs w:val="24"/>
          <w:highlight w:val="none"/>
        </w:rPr>
      </w:pPr>
      <w:r>
        <w:rPr>
          <w:rFonts w:hint="eastAsia" w:ascii="宋体" w:hAnsi="宋体"/>
          <w:sz w:val="24"/>
          <w:szCs w:val="24"/>
          <w:highlight w:val="none"/>
        </w:rPr>
        <w:t>供应商名称（公章）：</w:t>
      </w:r>
    </w:p>
    <w:p>
      <w:pPr>
        <w:snapToGrid w:val="0"/>
        <w:spacing w:line="360" w:lineRule="auto"/>
        <w:ind w:firstLine="3720" w:firstLineChars="1550"/>
        <w:jc w:val="right"/>
        <w:rPr>
          <w:rFonts w:ascii="宋体" w:hAnsi="宋体"/>
          <w:b/>
          <w:sz w:val="24"/>
          <w:szCs w:val="24"/>
          <w:highlight w:val="none"/>
        </w:rPr>
      </w:pPr>
      <w:r>
        <w:rPr>
          <w:rFonts w:hint="eastAsia" w:ascii="宋体" w:hAnsi="宋体"/>
          <w:sz w:val="24"/>
          <w:szCs w:val="24"/>
          <w:highlight w:val="none"/>
        </w:rPr>
        <w:t xml:space="preserve">       年   月   日</w:t>
      </w:r>
    </w:p>
    <w:p>
      <w:pPr>
        <w:spacing w:line="312" w:lineRule="auto"/>
        <w:outlineLvl w:val="1"/>
        <w:rPr>
          <w:rFonts w:ascii="宋体" w:hAnsi="宋体" w:cs="方正仿宋_GBK"/>
          <w:b/>
          <w:sz w:val="24"/>
          <w:szCs w:val="32"/>
          <w:highlight w:val="none"/>
        </w:rPr>
      </w:pPr>
      <w:r>
        <w:rPr>
          <w:rFonts w:ascii="宋体" w:hAnsi="宋体"/>
          <w:sz w:val="24"/>
          <w:szCs w:val="24"/>
          <w:highlight w:val="none"/>
        </w:rPr>
        <w:br w:type="page"/>
      </w:r>
    </w:p>
    <w:p>
      <w:pPr>
        <w:spacing w:line="312" w:lineRule="auto"/>
        <w:ind w:left="451"/>
        <w:outlineLvl w:val="1"/>
        <w:rPr>
          <w:rFonts w:ascii="宋体" w:hAnsi="宋体"/>
          <w:b/>
          <w:sz w:val="24"/>
          <w:szCs w:val="24"/>
          <w:highlight w:val="none"/>
        </w:rPr>
      </w:pPr>
      <w:r>
        <w:rPr>
          <w:rFonts w:hint="eastAsia" w:ascii="宋体" w:hAnsi="宋体" w:cs="方正仿宋_GBK"/>
          <w:b/>
          <w:sz w:val="24"/>
          <w:szCs w:val="32"/>
          <w:highlight w:val="none"/>
        </w:rPr>
        <w:t>二、技术需求偏离表</w:t>
      </w:r>
    </w:p>
    <w:tbl>
      <w:tblPr>
        <w:tblStyle w:val="57"/>
        <w:tblW w:w="95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702"/>
        <w:gridCol w:w="1956"/>
        <w:gridCol w:w="2693"/>
        <w:gridCol w:w="1559"/>
        <w:gridCol w:w="9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83" w:type="dxa"/>
            <w:vAlign w:val="center"/>
          </w:tcPr>
          <w:p>
            <w:pPr>
              <w:jc w:val="center"/>
              <w:rPr>
                <w:rFonts w:ascii="宋体" w:hAnsi="宋体"/>
                <w:b/>
                <w:bCs/>
                <w:sz w:val="22"/>
                <w:highlight w:val="none"/>
              </w:rPr>
            </w:pPr>
            <w:r>
              <w:rPr>
                <w:rFonts w:hint="eastAsia" w:ascii="宋体" w:hAnsi="宋体"/>
                <w:b/>
                <w:bCs/>
                <w:sz w:val="22"/>
                <w:highlight w:val="none"/>
              </w:rPr>
              <w:t>序号</w:t>
            </w:r>
          </w:p>
        </w:tc>
        <w:tc>
          <w:tcPr>
            <w:tcW w:w="1702" w:type="dxa"/>
            <w:tcBorders>
              <w:righ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名称</w:t>
            </w:r>
          </w:p>
        </w:tc>
        <w:tc>
          <w:tcPr>
            <w:tcW w:w="1956" w:type="dxa"/>
            <w:tcBorders>
              <w:left w:val="single" w:color="auto" w:sz="4" w:space="0"/>
            </w:tcBorders>
            <w:vAlign w:val="center"/>
          </w:tcPr>
          <w:p>
            <w:pPr>
              <w:jc w:val="center"/>
              <w:rPr>
                <w:rFonts w:ascii="宋体" w:hAnsi="宋体"/>
                <w:b/>
                <w:bCs/>
                <w:sz w:val="22"/>
                <w:highlight w:val="none"/>
              </w:rPr>
            </w:pPr>
            <w:r>
              <w:rPr>
                <w:rFonts w:hint="eastAsia" w:ascii="宋体" w:hAnsi="宋体"/>
                <w:b/>
                <w:sz w:val="22"/>
                <w:highlight w:val="none"/>
              </w:rPr>
              <w:t>采购文件要求</w:t>
            </w:r>
          </w:p>
        </w:tc>
        <w:tc>
          <w:tcPr>
            <w:tcW w:w="2693" w:type="dxa"/>
            <w:vAlign w:val="center"/>
          </w:tcPr>
          <w:p>
            <w:pPr>
              <w:jc w:val="center"/>
              <w:rPr>
                <w:rFonts w:ascii="宋体" w:hAnsi="宋体"/>
                <w:b/>
                <w:bCs/>
                <w:sz w:val="22"/>
                <w:highlight w:val="none"/>
              </w:rPr>
            </w:pPr>
            <w:r>
              <w:rPr>
                <w:rFonts w:hint="eastAsia" w:ascii="宋体" w:hAnsi="宋体"/>
                <w:b/>
                <w:sz w:val="22"/>
                <w:highlight w:val="none"/>
              </w:rPr>
              <w:t>响应文件响应</w:t>
            </w:r>
          </w:p>
        </w:tc>
        <w:tc>
          <w:tcPr>
            <w:tcW w:w="1559" w:type="dxa"/>
            <w:tcBorders>
              <w:righ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正偏或负偏或无差异</w:t>
            </w:r>
          </w:p>
        </w:tc>
        <w:tc>
          <w:tcPr>
            <w:tcW w:w="994" w:type="dxa"/>
            <w:tcBorders>
              <w:lef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r>
              <w:rPr>
                <w:rFonts w:ascii="宋体" w:hAnsi="宋体"/>
                <w:sz w:val="22"/>
                <w:highlight w:val="none"/>
              </w:rPr>
              <w:t>…</w:t>
            </w: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693" w:type="dxa"/>
          </w:tcPr>
          <w:p>
            <w:pPr>
              <w:spacing w:line="360" w:lineRule="auto"/>
              <w:jc w:val="center"/>
              <w:rPr>
                <w:rFonts w:ascii="宋体" w:hAnsi="宋体"/>
                <w:sz w:val="22"/>
                <w:highlight w:val="none"/>
              </w:rPr>
            </w:pPr>
          </w:p>
        </w:tc>
        <w:tc>
          <w:tcPr>
            <w:tcW w:w="1559" w:type="dxa"/>
            <w:tcBorders>
              <w:right w:val="single" w:color="auto" w:sz="4" w:space="0"/>
            </w:tcBorders>
          </w:tcPr>
          <w:p>
            <w:pPr>
              <w:spacing w:line="360" w:lineRule="auto"/>
              <w:jc w:val="center"/>
              <w:rPr>
                <w:rFonts w:ascii="宋体" w:hAnsi="宋体"/>
                <w:sz w:val="22"/>
                <w:highlight w:val="none"/>
              </w:rPr>
            </w:pPr>
          </w:p>
        </w:tc>
        <w:tc>
          <w:tcPr>
            <w:tcW w:w="994"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80" w:hRule="atLeast"/>
          <w:jc w:val="center"/>
        </w:trPr>
        <w:tc>
          <w:tcPr>
            <w:tcW w:w="9587" w:type="dxa"/>
            <w:gridSpan w:val="6"/>
          </w:tcPr>
          <w:p>
            <w:pPr>
              <w:spacing w:line="360" w:lineRule="auto"/>
              <w:ind w:left="843" w:hanging="843" w:hangingChars="300"/>
              <w:rPr>
                <w:rFonts w:ascii="宋体" w:hAnsi="宋体"/>
                <w:b/>
                <w:highlight w:val="none"/>
              </w:rPr>
            </w:pPr>
            <w:r>
              <w:rPr>
                <w:rFonts w:hint="eastAsia" w:ascii="宋体" w:hAnsi="宋体"/>
                <w:b/>
                <w:highlight w:val="none"/>
              </w:rPr>
              <w:t>备注：</w:t>
            </w:r>
          </w:p>
          <w:p>
            <w:pPr>
              <w:spacing w:line="360" w:lineRule="auto"/>
              <w:ind w:left="2" w:firstLine="562" w:firstLineChars="200"/>
              <w:jc w:val="left"/>
              <w:rPr>
                <w:rFonts w:ascii="宋体" w:hAnsi="宋体"/>
                <w:b/>
                <w:highlight w:val="none"/>
              </w:rPr>
            </w:pPr>
            <w:r>
              <w:rPr>
                <w:rFonts w:hint="eastAsia" w:ascii="宋体" w:hAnsi="宋体"/>
                <w:b/>
                <w:highlight w:val="none"/>
              </w:rPr>
              <w:t>1、供应商须对“三、采购内容及技术要求”所有条款逐条编列，并写明相应情况；正偏离，即优于文件要求；负偏离，即低于文件要求；无差异，即与文件要求一致；</w:t>
            </w:r>
          </w:p>
          <w:p>
            <w:pPr>
              <w:spacing w:line="360" w:lineRule="auto"/>
              <w:ind w:left="2" w:firstLine="562" w:firstLineChars="200"/>
              <w:jc w:val="left"/>
              <w:rPr>
                <w:rFonts w:ascii="宋体" w:hAnsi="宋体"/>
                <w:b/>
                <w:highlight w:val="none"/>
              </w:rPr>
            </w:pPr>
            <w:r>
              <w:rPr>
                <w:rFonts w:hint="eastAsia" w:ascii="宋体" w:hAnsi="宋体"/>
                <w:b/>
                <w:highlight w:val="none"/>
              </w:rPr>
              <w:t>2、供应商须在本表后附上“三、采购内容及技术要求”中要求的所有相关检测报告或证明文件复印件并加盖供应商公章；</w:t>
            </w:r>
          </w:p>
          <w:p>
            <w:pPr>
              <w:spacing w:line="360" w:lineRule="auto"/>
              <w:ind w:left="2" w:firstLine="562" w:firstLineChars="200"/>
              <w:jc w:val="left"/>
              <w:rPr>
                <w:rFonts w:ascii="宋体" w:hAnsi="宋体"/>
                <w:b/>
                <w:highlight w:val="none"/>
              </w:rPr>
            </w:pPr>
            <w:r>
              <w:rPr>
                <w:rFonts w:hint="eastAsia" w:ascii="宋体" w:hAnsi="宋体"/>
                <w:b/>
                <w:highlight w:val="none"/>
              </w:rPr>
              <w:t>3、本表可扩展。</w:t>
            </w:r>
          </w:p>
        </w:tc>
      </w:tr>
    </w:tbl>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tabs>
          <w:tab w:val="left" w:pos="6300"/>
        </w:tabs>
        <w:snapToGrid w:val="0"/>
        <w:spacing w:line="360" w:lineRule="auto"/>
        <w:ind w:firstLine="3000" w:firstLineChars="1250"/>
        <w:jc w:val="right"/>
        <w:rPr>
          <w:rFonts w:ascii="宋体" w:hAnsi="宋体"/>
          <w:sz w:val="24"/>
          <w:szCs w:val="24"/>
          <w:highlight w:val="none"/>
        </w:rPr>
      </w:pPr>
      <w:r>
        <w:rPr>
          <w:rFonts w:hint="eastAsia" w:ascii="宋体" w:hAnsi="宋体"/>
          <w:sz w:val="24"/>
          <w:szCs w:val="24"/>
          <w:highlight w:val="none"/>
        </w:rPr>
        <w:t>供应商名称（公章）：</w:t>
      </w:r>
    </w:p>
    <w:p>
      <w:pPr>
        <w:snapToGrid w:val="0"/>
        <w:spacing w:line="360" w:lineRule="auto"/>
        <w:ind w:firstLine="3720" w:firstLineChars="1550"/>
        <w:jc w:val="right"/>
        <w:rPr>
          <w:rFonts w:ascii="宋体" w:hAnsi="宋体"/>
          <w:b/>
          <w:sz w:val="24"/>
          <w:szCs w:val="24"/>
          <w:highlight w:val="none"/>
        </w:rPr>
      </w:pPr>
      <w:r>
        <w:rPr>
          <w:rFonts w:hint="eastAsia" w:ascii="宋体" w:hAnsi="宋体"/>
          <w:sz w:val="24"/>
          <w:szCs w:val="24"/>
          <w:highlight w:val="none"/>
        </w:rPr>
        <w:t xml:space="preserve">       年   月   日</w:t>
      </w:r>
    </w:p>
    <w:p>
      <w:pPr>
        <w:spacing w:line="312" w:lineRule="auto"/>
        <w:ind w:left="451"/>
        <w:outlineLvl w:val="1"/>
        <w:rPr>
          <w:rFonts w:ascii="宋体" w:hAnsi="宋体"/>
          <w:b/>
          <w:sz w:val="24"/>
          <w:szCs w:val="24"/>
          <w:highlight w:val="none"/>
        </w:rPr>
      </w:pPr>
      <w:r>
        <w:rPr>
          <w:rFonts w:ascii="宋体" w:hAnsi="宋体" w:cs="方正仿宋_GBK"/>
          <w:b/>
          <w:sz w:val="24"/>
          <w:szCs w:val="32"/>
          <w:highlight w:val="none"/>
        </w:rPr>
        <w:br w:type="page"/>
      </w:r>
      <w:r>
        <w:rPr>
          <w:rFonts w:hint="eastAsia" w:ascii="宋体" w:hAnsi="宋体" w:cs="方正仿宋_GBK"/>
          <w:b/>
          <w:sz w:val="24"/>
          <w:szCs w:val="32"/>
          <w:highlight w:val="none"/>
        </w:rPr>
        <w:t>三、商务要求偏离表</w:t>
      </w:r>
    </w:p>
    <w:tbl>
      <w:tblPr>
        <w:tblStyle w:val="57"/>
        <w:tblW w:w="95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702"/>
        <w:gridCol w:w="1956"/>
        <w:gridCol w:w="2268"/>
        <w:gridCol w:w="2268"/>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683" w:type="dxa"/>
            <w:vAlign w:val="center"/>
          </w:tcPr>
          <w:p>
            <w:pPr>
              <w:jc w:val="center"/>
              <w:rPr>
                <w:rFonts w:ascii="宋体" w:hAnsi="宋体"/>
                <w:b/>
                <w:bCs/>
                <w:sz w:val="22"/>
                <w:highlight w:val="none"/>
              </w:rPr>
            </w:pPr>
            <w:r>
              <w:rPr>
                <w:rFonts w:hint="eastAsia" w:ascii="宋体" w:hAnsi="宋体"/>
                <w:b/>
                <w:bCs/>
                <w:sz w:val="22"/>
                <w:highlight w:val="none"/>
              </w:rPr>
              <w:t>序号</w:t>
            </w:r>
          </w:p>
        </w:tc>
        <w:tc>
          <w:tcPr>
            <w:tcW w:w="1702" w:type="dxa"/>
            <w:tcBorders>
              <w:righ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名称</w:t>
            </w:r>
          </w:p>
        </w:tc>
        <w:tc>
          <w:tcPr>
            <w:tcW w:w="1956" w:type="dxa"/>
            <w:tcBorders>
              <w:left w:val="single" w:color="auto" w:sz="4" w:space="0"/>
            </w:tcBorders>
            <w:vAlign w:val="center"/>
          </w:tcPr>
          <w:p>
            <w:pPr>
              <w:jc w:val="center"/>
              <w:rPr>
                <w:rFonts w:ascii="宋体" w:hAnsi="宋体"/>
                <w:b/>
                <w:bCs/>
                <w:sz w:val="22"/>
                <w:highlight w:val="none"/>
              </w:rPr>
            </w:pPr>
            <w:r>
              <w:rPr>
                <w:rFonts w:hint="eastAsia" w:ascii="宋体" w:hAnsi="宋体"/>
                <w:b/>
                <w:sz w:val="22"/>
                <w:highlight w:val="none"/>
              </w:rPr>
              <w:t>采购文件要求</w:t>
            </w:r>
          </w:p>
        </w:tc>
        <w:tc>
          <w:tcPr>
            <w:tcW w:w="2268" w:type="dxa"/>
            <w:vAlign w:val="center"/>
          </w:tcPr>
          <w:p>
            <w:pPr>
              <w:jc w:val="center"/>
              <w:rPr>
                <w:rFonts w:ascii="宋体" w:hAnsi="宋体"/>
                <w:b/>
                <w:bCs/>
                <w:sz w:val="22"/>
                <w:highlight w:val="none"/>
              </w:rPr>
            </w:pPr>
            <w:r>
              <w:rPr>
                <w:rFonts w:hint="eastAsia" w:ascii="宋体" w:hAnsi="宋体"/>
                <w:b/>
                <w:sz w:val="22"/>
                <w:highlight w:val="none"/>
              </w:rPr>
              <w:t>响应文件响应</w:t>
            </w:r>
          </w:p>
        </w:tc>
        <w:tc>
          <w:tcPr>
            <w:tcW w:w="2268" w:type="dxa"/>
            <w:tcBorders>
              <w:righ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正偏或负偏或无差异</w:t>
            </w:r>
          </w:p>
        </w:tc>
        <w:tc>
          <w:tcPr>
            <w:tcW w:w="710" w:type="dxa"/>
            <w:tcBorders>
              <w:left w:val="single" w:color="auto" w:sz="4" w:space="0"/>
            </w:tcBorders>
            <w:vAlign w:val="center"/>
          </w:tcPr>
          <w:p>
            <w:pPr>
              <w:jc w:val="center"/>
              <w:rPr>
                <w:rFonts w:ascii="宋体" w:hAnsi="宋体"/>
                <w:b/>
                <w:bCs/>
                <w:sz w:val="22"/>
                <w:highlight w:val="none"/>
              </w:rPr>
            </w:pPr>
            <w:r>
              <w:rPr>
                <w:rFonts w:hint="eastAsia" w:ascii="宋体" w:hAnsi="宋体"/>
                <w:b/>
                <w:bCs/>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tcPr>
          <w:p>
            <w:pPr>
              <w:spacing w:line="360" w:lineRule="auto"/>
              <w:jc w:val="center"/>
              <w:rPr>
                <w:rFonts w:ascii="宋体" w:hAnsi="宋体"/>
                <w:sz w:val="22"/>
                <w:highlight w:val="none"/>
              </w:rPr>
            </w:pPr>
            <w:r>
              <w:rPr>
                <w:rFonts w:ascii="宋体" w:hAnsi="宋体"/>
                <w:sz w:val="22"/>
                <w:highlight w:val="none"/>
              </w:rPr>
              <w:t>…</w:t>
            </w:r>
          </w:p>
        </w:tc>
        <w:tc>
          <w:tcPr>
            <w:tcW w:w="1702" w:type="dxa"/>
            <w:tcBorders>
              <w:right w:val="single" w:color="auto" w:sz="4" w:space="0"/>
            </w:tcBorders>
          </w:tcPr>
          <w:p>
            <w:pPr>
              <w:spacing w:line="360" w:lineRule="auto"/>
              <w:jc w:val="center"/>
              <w:rPr>
                <w:rFonts w:ascii="宋体" w:hAnsi="宋体"/>
                <w:sz w:val="22"/>
                <w:highlight w:val="none"/>
              </w:rPr>
            </w:pPr>
          </w:p>
        </w:tc>
        <w:tc>
          <w:tcPr>
            <w:tcW w:w="1956" w:type="dxa"/>
            <w:tcBorders>
              <w:left w:val="single" w:color="auto" w:sz="4" w:space="0"/>
            </w:tcBorders>
          </w:tcPr>
          <w:p>
            <w:pPr>
              <w:spacing w:line="360" w:lineRule="auto"/>
              <w:jc w:val="center"/>
              <w:rPr>
                <w:rFonts w:ascii="宋体" w:hAnsi="宋体"/>
                <w:sz w:val="22"/>
                <w:highlight w:val="none"/>
              </w:rPr>
            </w:pPr>
          </w:p>
        </w:tc>
        <w:tc>
          <w:tcPr>
            <w:tcW w:w="2268" w:type="dxa"/>
          </w:tcPr>
          <w:p>
            <w:pPr>
              <w:spacing w:line="360" w:lineRule="auto"/>
              <w:jc w:val="center"/>
              <w:rPr>
                <w:rFonts w:ascii="宋体" w:hAnsi="宋体"/>
                <w:sz w:val="22"/>
                <w:highlight w:val="none"/>
              </w:rPr>
            </w:pPr>
          </w:p>
        </w:tc>
        <w:tc>
          <w:tcPr>
            <w:tcW w:w="2268" w:type="dxa"/>
            <w:tcBorders>
              <w:right w:val="single" w:color="auto" w:sz="4" w:space="0"/>
            </w:tcBorders>
          </w:tcPr>
          <w:p>
            <w:pPr>
              <w:spacing w:line="360" w:lineRule="auto"/>
              <w:jc w:val="center"/>
              <w:rPr>
                <w:rFonts w:ascii="宋体" w:hAnsi="宋体"/>
                <w:sz w:val="22"/>
                <w:highlight w:val="none"/>
              </w:rPr>
            </w:pPr>
          </w:p>
        </w:tc>
        <w:tc>
          <w:tcPr>
            <w:tcW w:w="710" w:type="dxa"/>
            <w:tcBorders>
              <w:left w:val="single" w:color="auto" w:sz="4" w:space="0"/>
            </w:tcBorders>
          </w:tcPr>
          <w:p>
            <w:pPr>
              <w:spacing w:line="360" w:lineRule="auto"/>
              <w:jc w:val="center"/>
              <w:rPr>
                <w:rFonts w:ascii="宋体" w:hAnsi="宋体"/>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9587" w:type="dxa"/>
            <w:gridSpan w:val="6"/>
          </w:tcPr>
          <w:p>
            <w:pPr>
              <w:spacing w:line="276" w:lineRule="auto"/>
              <w:ind w:left="843" w:hanging="843" w:hangingChars="300"/>
              <w:rPr>
                <w:rFonts w:ascii="宋体" w:hAnsi="宋体"/>
                <w:b/>
                <w:highlight w:val="none"/>
              </w:rPr>
            </w:pPr>
            <w:r>
              <w:rPr>
                <w:rFonts w:hint="eastAsia" w:ascii="宋体" w:hAnsi="宋体"/>
                <w:b/>
                <w:highlight w:val="none"/>
              </w:rPr>
              <w:t>备注：</w:t>
            </w:r>
          </w:p>
          <w:p>
            <w:pPr>
              <w:spacing w:line="276" w:lineRule="auto"/>
              <w:ind w:left="2" w:firstLine="562" w:firstLineChars="200"/>
              <w:jc w:val="left"/>
              <w:rPr>
                <w:rFonts w:ascii="宋体" w:hAnsi="宋体"/>
                <w:b/>
                <w:highlight w:val="none"/>
              </w:rPr>
            </w:pPr>
            <w:r>
              <w:rPr>
                <w:rFonts w:hint="eastAsia" w:ascii="宋体" w:hAnsi="宋体"/>
                <w:b/>
                <w:highlight w:val="none"/>
              </w:rPr>
              <w:t>1、供应商须对“四、项目商务要求”中所有条款逐条编列，并写明相应情况；正偏离，即优于文件要求；负偏离，即低于文件要求；无差异，即与文件要求一致；</w:t>
            </w:r>
          </w:p>
          <w:p>
            <w:pPr>
              <w:spacing w:line="276" w:lineRule="auto"/>
              <w:ind w:left="2" w:firstLine="562" w:firstLineChars="200"/>
              <w:jc w:val="left"/>
              <w:rPr>
                <w:rFonts w:ascii="宋体" w:hAnsi="宋体"/>
                <w:b/>
                <w:highlight w:val="none"/>
              </w:rPr>
            </w:pPr>
            <w:r>
              <w:rPr>
                <w:rFonts w:hint="eastAsia" w:ascii="宋体" w:hAnsi="宋体"/>
                <w:b/>
                <w:highlight w:val="none"/>
              </w:rPr>
              <w:t>2、本表可扩展。</w:t>
            </w:r>
          </w:p>
        </w:tc>
      </w:tr>
    </w:tbl>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tabs>
          <w:tab w:val="left" w:pos="6300"/>
        </w:tabs>
        <w:snapToGrid w:val="0"/>
        <w:spacing w:line="360" w:lineRule="auto"/>
        <w:ind w:firstLine="3000" w:firstLineChars="1250"/>
        <w:jc w:val="right"/>
        <w:rPr>
          <w:rFonts w:ascii="宋体" w:hAnsi="宋体"/>
          <w:sz w:val="24"/>
          <w:szCs w:val="24"/>
          <w:highlight w:val="none"/>
        </w:rPr>
      </w:pPr>
      <w:r>
        <w:rPr>
          <w:rFonts w:hint="eastAsia" w:ascii="宋体" w:hAnsi="宋体"/>
          <w:sz w:val="24"/>
          <w:szCs w:val="24"/>
          <w:highlight w:val="none"/>
        </w:rPr>
        <w:t>供应商名称（公章）：</w:t>
      </w:r>
    </w:p>
    <w:p>
      <w:pPr>
        <w:snapToGrid w:val="0"/>
        <w:spacing w:line="360" w:lineRule="auto"/>
        <w:ind w:firstLine="3720" w:firstLineChars="1550"/>
        <w:jc w:val="right"/>
        <w:rPr>
          <w:rFonts w:ascii="宋体" w:hAnsi="宋体"/>
          <w:sz w:val="24"/>
          <w:szCs w:val="24"/>
          <w:highlight w:val="none"/>
        </w:rPr>
      </w:pPr>
      <w:r>
        <w:rPr>
          <w:rFonts w:hint="eastAsia" w:ascii="宋体" w:hAnsi="宋体"/>
          <w:sz w:val="24"/>
          <w:szCs w:val="24"/>
          <w:highlight w:val="none"/>
        </w:rPr>
        <w:t xml:space="preserve">       年   月   日</w:t>
      </w:r>
    </w:p>
    <w:p>
      <w:pPr>
        <w:spacing w:line="312" w:lineRule="auto"/>
        <w:ind w:left="451"/>
        <w:outlineLvl w:val="1"/>
        <w:rPr>
          <w:rFonts w:ascii="宋体" w:hAnsi="宋体" w:cs="方正仿宋_GBK"/>
          <w:b/>
          <w:sz w:val="24"/>
          <w:szCs w:val="32"/>
          <w:highlight w:val="none"/>
        </w:rPr>
      </w:pPr>
      <w:r>
        <w:rPr>
          <w:rFonts w:ascii="宋体" w:hAnsi="宋体"/>
          <w:sz w:val="24"/>
          <w:szCs w:val="24"/>
          <w:highlight w:val="none"/>
        </w:rPr>
        <w:br w:type="page"/>
      </w:r>
      <w:r>
        <w:rPr>
          <w:rFonts w:hint="eastAsia" w:ascii="宋体" w:hAnsi="宋体" w:cs="方正仿宋_GBK"/>
          <w:b/>
          <w:sz w:val="24"/>
          <w:szCs w:val="32"/>
          <w:highlight w:val="none"/>
        </w:rPr>
        <w:t>四、供应商法人营业执照（副本）或事业单位法人证书（副本）或个体工商户营业执照或有效的自然人身份证明或社会团体法人登记证书复印件</w:t>
      </w:r>
    </w:p>
    <w:p>
      <w:pPr>
        <w:spacing w:line="312" w:lineRule="auto"/>
        <w:ind w:left="451"/>
        <w:outlineLvl w:val="1"/>
        <w:rPr>
          <w:rFonts w:ascii="宋体" w:hAnsi="宋体" w:cs="方正仿宋_GBK"/>
          <w:b/>
          <w:sz w:val="24"/>
          <w:szCs w:val="32"/>
          <w:highlight w:val="none"/>
        </w:rPr>
      </w:pPr>
      <w:r>
        <w:rPr>
          <w:rFonts w:ascii="宋体" w:hAnsi="宋体"/>
          <w:sz w:val="24"/>
          <w:szCs w:val="24"/>
          <w:highlight w:val="none"/>
        </w:rPr>
        <w:br w:type="page"/>
      </w:r>
      <w:r>
        <w:rPr>
          <w:rFonts w:hint="eastAsia" w:ascii="宋体" w:hAnsi="宋体" w:cs="方正仿宋_GBK"/>
          <w:b/>
          <w:sz w:val="24"/>
          <w:szCs w:val="32"/>
          <w:highlight w:val="none"/>
        </w:rPr>
        <w:t>五、法定代表人身份证明及授权委托书</w:t>
      </w:r>
    </w:p>
    <w:p>
      <w:pPr>
        <w:tabs>
          <w:tab w:val="left" w:pos="6300"/>
        </w:tabs>
        <w:snapToGrid w:val="0"/>
        <w:spacing w:line="360" w:lineRule="auto"/>
        <w:jc w:val="center"/>
        <w:rPr>
          <w:rFonts w:ascii="宋体" w:hAnsi="宋体" w:cs="宋体"/>
          <w:sz w:val="24"/>
          <w:szCs w:val="24"/>
          <w:highlight w:val="none"/>
        </w:rPr>
      </w:pPr>
    </w:p>
    <w:p>
      <w:pPr>
        <w:tabs>
          <w:tab w:val="left" w:pos="6300"/>
        </w:tabs>
        <w:snapToGrid w:val="0"/>
        <w:spacing w:line="360"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pPr>
        <w:tabs>
          <w:tab w:val="left" w:pos="6300"/>
        </w:tabs>
        <w:snapToGrid w:val="0"/>
        <w:spacing w:line="360" w:lineRule="auto"/>
        <w:rPr>
          <w:rFonts w:ascii="宋体" w:hAnsi="宋体" w:cs="宋体"/>
          <w:sz w:val="24"/>
          <w:szCs w:val="24"/>
          <w:highlight w:val="none"/>
        </w:rPr>
      </w:pP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（被授权人姓名及身份证号）代表我单位全权办理</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项目的竞采、签约等具体工作，并签署全部有关文件、协议及合同。</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480" w:firstLineChars="200"/>
        <w:rPr>
          <w:rFonts w:ascii="宋体" w:hAnsi="宋体" w:cs="宋体"/>
          <w:sz w:val="24"/>
          <w:szCs w:val="24"/>
          <w:highlight w:val="none"/>
        </w:rPr>
      </w:pPr>
    </w:p>
    <w:p>
      <w:pPr>
        <w:tabs>
          <w:tab w:val="left" w:pos="6300"/>
        </w:tabs>
        <w:snapToGrid w:val="0"/>
        <w:spacing w:line="360" w:lineRule="auto"/>
        <w:ind w:firstLine="570"/>
        <w:rPr>
          <w:rFonts w:ascii="宋体" w:hAnsi="宋体" w:cs="宋体"/>
          <w:sz w:val="24"/>
          <w:szCs w:val="24"/>
          <w:highlight w:val="none"/>
        </w:rPr>
      </w:pPr>
      <w:r>
        <w:rPr>
          <w:rFonts w:hint="eastAsia" w:ascii="宋体" w:hAnsi="宋体" w:cs="宋体"/>
          <w:sz w:val="24"/>
          <w:szCs w:val="24"/>
          <w:highlight w:val="none"/>
        </w:rPr>
        <w:t>被授权人：                          法定代表人：</w:t>
      </w:r>
    </w:p>
    <w:p>
      <w:pPr>
        <w:tabs>
          <w:tab w:val="left" w:pos="6300"/>
        </w:tabs>
        <w:snapToGrid w:val="0"/>
        <w:spacing w:line="360" w:lineRule="auto"/>
        <w:ind w:firstLine="570"/>
        <w:rPr>
          <w:rFonts w:ascii="宋体" w:hAnsi="宋体" w:cs="宋体"/>
          <w:sz w:val="24"/>
          <w:szCs w:val="24"/>
          <w:highlight w:val="none"/>
        </w:rPr>
      </w:pPr>
      <w:r>
        <w:rPr>
          <w:rFonts w:hint="eastAsia" w:ascii="宋体" w:hAnsi="宋体" w:cs="宋体"/>
          <w:sz w:val="24"/>
          <w:szCs w:val="24"/>
          <w:highlight w:val="none"/>
        </w:rPr>
        <w:t>（签字或盖章）                      （签字或盖章）</w:t>
      </w:r>
    </w:p>
    <w:p>
      <w:pPr>
        <w:tabs>
          <w:tab w:val="left" w:pos="6300"/>
        </w:tabs>
        <w:snapToGrid w:val="0"/>
        <w:spacing w:line="360" w:lineRule="auto"/>
        <w:ind w:firstLine="570"/>
        <w:rPr>
          <w:rFonts w:ascii="宋体" w:hAnsi="宋体" w:cs="宋体"/>
          <w:sz w:val="24"/>
          <w:szCs w:val="24"/>
          <w:highlight w:val="none"/>
        </w:rPr>
      </w:pPr>
      <w:r>
        <w:rPr>
          <w:rFonts w:hint="eastAsia" w:ascii="宋体" w:hAnsi="宋体" w:cs="宋体"/>
          <w:sz w:val="24"/>
          <w:szCs w:val="24"/>
          <w:highlight w:val="none"/>
        </w:rPr>
        <w:t>附：被授权人身份证正反面复印件</w:t>
      </w:r>
    </w:p>
    <w:p>
      <w:pPr>
        <w:tabs>
          <w:tab w:val="left" w:pos="6300"/>
        </w:tabs>
        <w:snapToGrid w:val="0"/>
        <w:spacing w:line="360" w:lineRule="auto"/>
        <w:ind w:firstLine="570"/>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firstLine="907" w:firstLineChars="378"/>
        <w:rPr>
          <w:rFonts w:ascii="宋体" w:hAnsi="宋体" w:cs="宋体"/>
          <w:sz w:val="24"/>
          <w:szCs w:val="24"/>
          <w:highlight w:val="none"/>
        </w:rPr>
      </w:pPr>
      <w:r>
        <w:rPr>
          <w:rFonts w:hint="eastAsia" w:ascii="宋体" w:hAnsi="宋体" w:cs="宋体"/>
          <w:sz w:val="24"/>
          <w:szCs w:val="24"/>
          <w:highlight w:val="none"/>
        </w:rPr>
        <w:t>法人身份证正反面复印件</w:t>
      </w: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p>
    <w:p>
      <w:pPr>
        <w:tabs>
          <w:tab w:val="left" w:pos="6300"/>
        </w:tabs>
        <w:snapToGrid w:val="0"/>
        <w:spacing w:line="360" w:lineRule="auto"/>
        <w:ind w:right="480" w:firstLine="570"/>
        <w:jc w:val="right"/>
        <w:rPr>
          <w:rFonts w:ascii="宋体" w:hAnsi="宋体" w:cs="宋体"/>
          <w:sz w:val="24"/>
          <w:szCs w:val="24"/>
          <w:highlight w:val="none"/>
        </w:rPr>
      </w:pPr>
      <w:r>
        <w:rPr>
          <w:rFonts w:hint="eastAsia" w:ascii="宋体" w:hAnsi="宋体" w:cs="宋体"/>
          <w:sz w:val="24"/>
          <w:szCs w:val="24"/>
          <w:highlight w:val="none"/>
        </w:rPr>
        <w:t>（供应商公章）</w:t>
      </w:r>
    </w:p>
    <w:p>
      <w:pPr>
        <w:tabs>
          <w:tab w:val="left" w:pos="6300"/>
        </w:tabs>
        <w:snapToGrid w:val="0"/>
        <w:spacing w:line="360" w:lineRule="auto"/>
        <w:ind w:right="480" w:firstLine="570"/>
        <w:jc w:val="right"/>
        <w:rPr>
          <w:rFonts w:ascii="宋体" w:hAnsi="宋体"/>
          <w:snapToGrid w:val="0"/>
          <w:kern w:val="0"/>
          <w:sz w:val="24"/>
          <w:szCs w:val="24"/>
          <w:highlight w:val="none"/>
        </w:rPr>
      </w:pPr>
      <w:r>
        <w:rPr>
          <w:rFonts w:hint="eastAsia" w:ascii="宋体" w:hAnsi="宋体" w:cs="宋体"/>
          <w:sz w:val="24"/>
          <w:szCs w:val="24"/>
          <w:highlight w:val="none"/>
        </w:rPr>
        <w:t>年   月   日</w:t>
      </w:r>
    </w:p>
    <w:p>
      <w:pPr>
        <w:spacing w:line="312" w:lineRule="auto"/>
        <w:ind w:left="451"/>
        <w:outlineLvl w:val="1"/>
        <w:rPr>
          <w:rFonts w:ascii="宋体" w:hAnsi="宋体" w:cs="方正仿宋_GBK"/>
          <w:b/>
          <w:sz w:val="24"/>
          <w:szCs w:val="32"/>
          <w:highlight w:val="none"/>
        </w:rPr>
      </w:pPr>
      <w:r>
        <w:rPr>
          <w:rFonts w:ascii="宋体" w:hAnsi="宋体"/>
          <w:b/>
          <w:szCs w:val="24"/>
          <w:highlight w:val="none"/>
        </w:rPr>
        <w:br w:type="page"/>
      </w:r>
      <w:bookmarkStart w:id="36" w:name="_Toc31049"/>
      <w:bookmarkStart w:id="37" w:name="_Toc19220"/>
      <w:bookmarkStart w:id="38" w:name="_Toc12939"/>
      <w:bookmarkStart w:id="39" w:name="_Toc7912"/>
      <w:bookmarkStart w:id="40" w:name="_Toc30360"/>
      <w:bookmarkStart w:id="41" w:name="_Toc16626"/>
      <w:bookmarkStart w:id="42" w:name="_Toc1125"/>
      <w:bookmarkStart w:id="43" w:name="_Toc21434"/>
      <w:bookmarkStart w:id="44" w:name="_Toc29161"/>
      <w:bookmarkStart w:id="45" w:name="_Toc3134"/>
      <w:bookmarkStart w:id="46" w:name="_Toc2549"/>
      <w:r>
        <w:rPr>
          <w:rFonts w:hint="eastAsia" w:ascii="宋体" w:hAnsi="宋体" w:cs="方正仿宋_GBK"/>
          <w:b/>
          <w:sz w:val="24"/>
          <w:szCs w:val="32"/>
          <w:highlight w:val="none"/>
        </w:rPr>
        <w:t>六、书面声明（格式）</w:t>
      </w:r>
      <w:bookmarkEnd w:id="36"/>
      <w:bookmarkEnd w:id="37"/>
      <w:bookmarkEnd w:id="38"/>
      <w:bookmarkEnd w:id="39"/>
      <w:bookmarkEnd w:id="40"/>
      <w:bookmarkEnd w:id="41"/>
      <w:bookmarkEnd w:id="42"/>
      <w:bookmarkEnd w:id="43"/>
      <w:bookmarkEnd w:id="44"/>
      <w:bookmarkEnd w:id="45"/>
      <w:bookmarkEnd w:id="46"/>
    </w:p>
    <w:p>
      <w:pPr>
        <w:spacing w:line="360" w:lineRule="auto"/>
        <w:jc w:val="center"/>
        <w:rPr>
          <w:rFonts w:ascii="宋体" w:hAnsi="宋体"/>
          <w:b/>
          <w:szCs w:val="24"/>
          <w:highlight w:val="none"/>
        </w:rPr>
      </w:pPr>
    </w:p>
    <w:p>
      <w:pPr>
        <w:spacing w:line="360" w:lineRule="auto"/>
        <w:rPr>
          <w:rFonts w:ascii="宋体" w:hAnsi="宋体"/>
          <w:sz w:val="24"/>
          <w:szCs w:val="24"/>
          <w:highlight w:val="none"/>
          <w:u w:val="single"/>
        </w:rPr>
      </w:pPr>
      <w:r>
        <w:rPr>
          <w:rFonts w:hint="eastAsia" w:ascii="宋体" w:hAnsi="宋体"/>
          <w:sz w:val="24"/>
          <w:szCs w:val="24"/>
          <w:highlight w:val="none"/>
        </w:rPr>
        <w:t>项目名称：</w:t>
      </w:r>
      <w:r>
        <w:rPr>
          <w:rFonts w:hint="eastAsia" w:ascii="宋体" w:hAnsi="宋体"/>
          <w:sz w:val="24"/>
          <w:szCs w:val="24"/>
          <w:highlight w:val="none"/>
          <w:u w:val="single"/>
        </w:rPr>
        <w:t xml:space="preserve">                   </w:t>
      </w:r>
    </w:p>
    <w:p>
      <w:pPr>
        <w:spacing w:line="360" w:lineRule="auto"/>
        <w:jc w:val="center"/>
        <w:rPr>
          <w:rFonts w:ascii="宋体" w:hAnsi="宋体"/>
          <w:sz w:val="24"/>
          <w:szCs w:val="24"/>
          <w:highlight w:val="none"/>
        </w:rPr>
      </w:pPr>
      <w:r>
        <w:rPr>
          <w:rFonts w:hint="eastAsia" w:ascii="宋体" w:hAnsi="宋体"/>
          <w:sz w:val="24"/>
          <w:szCs w:val="24"/>
          <w:highlight w:val="none"/>
        </w:rPr>
        <w:t xml:space="preserve">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（采购人名称）：</w:t>
      </w:r>
    </w:p>
    <w:p>
      <w:pPr>
        <w:spacing w:line="360" w:lineRule="auto"/>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供应商名称）郑重声明，我公司具有良好的商业信誉和健全的财务会计制度，具有履行合同所必需的货物和专业技术能力，有依法缴纳税收和社会保障资金的良好记录，在合同签订前后随时愿意提供相关证明材料；我公司还同时声明参加本项目采购活动前三年内无重大违法活动记录，符合《政府采购法》规定的供应商资格条</w:t>
      </w:r>
    </w:p>
    <w:p>
      <w:pPr>
        <w:spacing w:line="360" w:lineRule="auto"/>
        <w:rPr>
          <w:rFonts w:ascii="宋体" w:hAnsi="宋体"/>
          <w:sz w:val="24"/>
          <w:szCs w:val="24"/>
          <w:highlight w:val="none"/>
        </w:rPr>
      </w:pPr>
      <w:r>
        <w:rPr>
          <w:rFonts w:hint="eastAsia" w:ascii="宋体" w:hAnsi="宋体"/>
          <w:sz w:val="24"/>
          <w:szCs w:val="24"/>
          <w:highlight w:val="none"/>
        </w:rPr>
        <w:t>件。我方对以上声明负全部法律责任。</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特此声明。</w:t>
      </w:r>
    </w:p>
    <w:p>
      <w:pPr>
        <w:spacing w:line="360" w:lineRule="auto"/>
        <w:jc w:val="center"/>
        <w:rPr>
          <w:rFonts w:ascii="宋体" w:hAnsi="宋体"/>
          <w:sz w:val="24"/>
          <w:szCs w:val="24"/>
          <w:highlight w:val="none"/>
        </w:rPr>
      </w:pPr>
    </w:p>
    <w:p>
      <w:pPr>
        <w:spacing w:line="360" w:lineRule="auto"/>
        <w:jc w:val="center"/>
        <w:rPr>
          <w:rFonts w:ascii="宋体" w:hAnsi="宋体"/>
          <w:sz w:val="24"/>
          <w:szCs w:val="24"/>
          <w:highlight w:val="none"/>
        </w:rPr>
      </w:pPr>
    </w:p>
    <w:p>
      <w:pPr>
        <w:spacing w:line="360" w:lineRule="auto"/>
        <w:jc w:val="center"/>
        <w:rPr>
          <w:rFonts w:ascii="宋体" w:hAnsi="宋体"/>
          <w:sz w:val="24"/>
          <w:szCs w:val="24"/>
          <w:highlight w:val="none"/>
        </w:rPr>
      </w:pPr>
    </w:p>
    <w:p>
      <w:pPr>
        <w:spacing w:line="360" w:lineRule="auto"/>
        <w:jc w:val="center"/>
        <w:rPr>
          <w:rFonts w:ascii="宋体" w:hAnsi="宋体"/>
          <w:sz w:val="24"/>
          <w:szCs w:val="24"/>
          <w:highlight w:val="none"/>
        </w:rPr>
      </w:pPr>
    </w:p>
    <w:p>
      <w:pPr>
        <w:spacing w:line="360" w:lineRule="auto"/>
        <w:jc w:val="center"/>
        <w:rPr>
          <w:rFonts w:ascii="宋体" w:hAnsi="宋体"/>
          <w:sz w:val="24"/>
          <w:szCs w:val="24"/>
          <w:highlight w:val="none"/>
        </w:rPr>
      </w:pPr>
    </w:p>
    <w:p>
      <w:pPr>
        <w:spacing w:line="360" w:lineRule="auto"/>
        <w:jc w:val="right"/>
        <w:rPr>
          <w:rFonts w:ascii="宋体" w:hAnsi="宋体"/>
          <w:sz w:val="24"/>
          <w:szCs w:val="24"/>
          <w:highlight w:val="none"/>
        </w:rPr>
      </w:pPr>
      <w:r>
        <w:rPr>
          <w:rFonts w:hint="eastAsia" w:ascii="宋体" w:hAnsi="宋体"/>
          <w:sz w:val="24"/>
          <w:szCs w:val="24"/>
          <w:highlight w:val="none"/>
        </w:rPr>
        <w:t>（供应商公章）</w:t>
      </w:r>
    </w:p>
    <w:p>
      <w:pPr>
        <w:spacing w:line="360" w:lineRule="auto"/>
        <w:jc w:val="right"/>
        <w:rPr>
          <w:rFonts w:ascii="宋体" w:hAnsi="宋体"/>
          <w:sz w:val="24"/>
          <w:szCs w:val="24"/>
          <w:highlight w:val="none"/>
        </w:rPr>
      </w:pPr>
      <w:r>
        <w:rPr>
          <w:rFonts w:hint="eastAsia" w:ascii="宋体" w:hAnsi="宋体"/>
          <w:sz w:val="24"/>
          <w:szCs w:val="24"/>
          <w:highlight w:val="none"/>
        </w:rPr>
        <w:t>年   月   日</w:t>
      </w:r>
    </w:p>
    <w:p>
      <w:pPr>
        <w:spacing w:line="312" w:lineRule="auto"/>
        <w:ind w:left="451"/>
        <w:outlineLvl w:val="1"/>
        <w:rPr>
          <w:rFonts w:ascii="宋体" w:hAnsi="宋体" w:cs="方正仿宋_GBK"/>
          <w:b/>
          <w:sz w:val="24"/>
          <w:szCs w:val="32"/>
          <w:highlight w:val="none"/>
        </w:rPr>
      </w:pPr>
      <w:r>
        <w:rPr>
          <w:rFonts w:ascii="宋体" w:hAnsi="宋体"/>
          <w:sz w:val="24"/>
          <w:szCs w:val="24"/>
          <w:highlight w:val="none"/>
        </w:rPr>
        <w:br w:type="page"/>
      </w:r>
      <w:r>
        <w:rPr>
          <w:rFonts w:hint="eastAsia" w:ascii="宋体" w:hAnsi="宋体" w:cs="方正仿宋_GBK"/>
          <w:b/>
          <w:sz w:val="24"/>
          <w:szCs w:val="32"/>
          <w:highlight w:val="none"/>
        </w:rPr>
        <w:t>七、其他材料</w:t>
      </w:r>
    </w:p>
    <w:p>
      <w:pPr>
        <w:spacing w:line="360" w:lineRule="auto"/>
        <w:ind w:firstLine="480" w:firstLineChars="200"/>
        <w:rPr>
          <w:rFonts w:ascii="宋体" w:hAnsi="宋体"/>
          <w:sz w:val="24"/>
          <w:szCs w:val="24"/>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其他与本项目有关的资料（自附）</w:t>
      </w:r>
    </w:p>
    <w:p>
      <w:pPr>
        <w:spacing w:line="360" w:lineRule="auto"/>
        <w:ind w:firstLine="480" w:firstLineChars="200"/>
        <w:rPr>
          <w:rFonts w:ascii="宋体" w:hAnsi="宋体"/>
          <w:sz w:val="24"/>
          <w:szCs w:val="24"/>
          <w:highlight w:val="none"/>
        </w:rPr>
      </w:pPr>
    </w:p>
    <w:p>
      <w:pPr>
        <w:tabs>
          <w:tab w:val="left" w:pos="6300"/>
        </w:tabs>
        <w:snapToGrid w:val="0"/>
        <w:spacing w:line="312" w:lineRule="auto"/>
        <w:ind w:right="480" w:firstLine="570"/>
        <w:jc w:val="center"/>
        <w:rPr>
          <w:rFonts w:asciiTheme="minorEastAsia" w:hAnsiTheme="minorEastAsia" w:eastAsiaTheme="minorEastAsia"/>
          <w:color w:val="000000" w:themeColor="text1"/>
          <w:highlight w:val="none"/>
          <w14:textFill>
            <w14:solidFill>
              <w14:schemeClr w14:val="tx1"/>
            </w14:solidFill>
          </w14:textFill>
        </w:rPr>
      </w:pPr>
    </w:p>
    <w:sectPr>
      <w:headerReference r:id="rId3" w:type="default"/>
      <w:footerReference r:id="rId4"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1BEAE2-F8B9-4785-95C6-A493FFAF93F2}"/>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2DDEF606-9ACC-445C-8BBB-04FA694597CA}"/>
  </w:font>
  <w:font w:name="方正仿宋_GBK">
    <w:panose1 w:val="02000000000000000000"/>
    <w:charset w:val="86"/>
    <w:family w:val="script"/>
    <w:pitch w:val="default"/>
    <w:sig w:usb0="A00002BF" w:usb1="38CF7CFA" w:usb2="00082016" w:usb3="00000000" w:csb0="00040001" w:csb1="00000000"/>
    <w:embedRegular r:id="rId3" w:fontKey="{62AE960D-E678-4481-8B3E-AEA08A0A0F85}"/>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BFB4"/>
    <w:multiLevelType w:val="singleLevel"/>
    <w:tmpl w:val="A02DBFB4"/>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149"/>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62"/>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64"/>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46"/>
      <w:suff w:val="nothing"/>
      <w:lvlText w:val="附　录　%1"/>
      <w:lvlJc w:val="left"/>
      <w:rPr>
        <w:rFonts w:hint="eastAsia" w:ascii="黑体" w:hAnsi="Times New Roman" w:eastAsia="黑体" w:cs="Times New Roman"/>
        <w:b w:val="0"/>
        <w:i w:val="0"/>
        <w:sz w:val="21"/>
      </w:rPr>
    </w:lvl>
    <w:lvl w:ilvl="1" w:tentative="0">
      <w:start w:val="1"/>
      <w:numFmt w:val="decimal"/>
      <w:pStyle w:val="188"/>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cs="Times New Roman"/>
      </w:rPr>
    </w:lvl>
  </w:abstractNum>
  <w:abstractNum w:abstractNumId="8">
    <w:nsid w:val="00000012"/>
    <w:multiLevelType w:val="multilevel"/>
    <w:tmpl w:val="00000012"/>
    <w:lvl w:ilvl="0" w:tentative="0">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60"/>
      <w:lvlText w:val="%1)"/>
      <w:lvlJc w:val="left"/>
      <w:pPr>
        <w:tabs>
          <w:tab w:val="left" w:pos="425"/>
        </w:tabs>
        <w:ind w:left="425" w:hanging="425"/>
      </w:pPr>
      <w:rPr>
        <w:rFonts w:hint="eastAsia" w:cs="Times New Roman"/>
      </w:rPr>
    </w:lvl>
  </w:abstractNum>
  <w:abstractNum w:abstractNumId="11">
    <w:nsid w:val="00000015"/>
    <w:multiLevelType w:val="multilevel"/>
    <w:tmpl w:val="00000015"/>
    <w:lvl w:ilvl="0" w:tentative="0">
      <w:start w:val="1"/>
      <w:numFmt w:val="chineseCountingThousand"/>
      <w:pStyle w:val="218"/>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gutterAtTop/>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MjcxMmVjNTk0OWZhM2EyNGY0YTFhODhkMTJiNDUifQ=="/>
    <w:docVar w:name="KSO_WPS_MARK_KEY" w:val="17e903f9-c8b8-49ae-8af1-6d7cb7f7bc9f"/>
  </w:docVars>
  <w:rsids>
    <w:rsidRoot w:val="00172A27"/>
    <w:rsid w:val="000144C9"/>
    <w:rsid w:val="0002088C"/>
    <w:rsid w:val="00033DAB"/>
    <w:rsid w:val="000370BC"/>
    <w:rsid w:val="00042D13"/>
    <w:rsid w:val="00056A6E"/>
    <w:rsid w:val="0008422C"/>
    <w:rsid w:val="000C2A0E"/>
    <w:rsid w:val="000E232C"/>
    <w:rsid w:val="000E3326"/>
    <w:rsid w:val="000E6F03"/>
    <w:rsid w:val="0011647C"/>
    <w:rsid w:val="00116BB6"/>
    <w:rsid w:val="00117275"/>
    <w:rsid w:val="001173E3"/>
    <w:rsid w:val="001306AD"/>
    <w:rsid w:val="00142093"/>
    <w:rsid w:val="001435CF"/>
    <w:rsid w:val="001445A2"/>
    <w:rsid w:val="0015070D"/>
    <w:rsid w:val="00154ECA"/>
    <w:rsid w:val="0015525F"/>
    <w:rsid w:val="001651CB"/>
    <w:rsid w:val="00165915"/>
    <w:rsid w:val="00166EEA"/>
    <w:rsid w:val="00172A27"/>
    <w:rsid w:val="001765E3"/>
    <w:rsid w:val="0019035B"/>
    <w:rsid w:val="00192985"/>
    <w:rsid w:val="001A3BC8"/>
    <w:rsid w:val="001A3E64"/>
    <w:rsid w:val="001B5C3A"/>
    <w:rsid w:val="001C6171"/>
    <w:rsid w:val="001E6FC5"/>
    <w:rsid w:val="001F6BC0"/>
    <w:rsid w:val="001F74AE"/>
    <w:rsid w:val="002122FC"/>
    <w:rsid w:val="0021327B"/>
    <w:rsid w:val="0021421B"/>
    <w:rsid w:val="0021595A"/>
    <w:rsid w:val="0021633F"/>
    <w:rsid w:val="00223B9B"/>
    <w:rsid w:val="002261FB"/>
    <w:rsid w:val="0022691C"/>
    <w:rsid w:val="002505E9"/>
    <w:rsid w:val="002510AE"/>
    <w:rsid w:val="00262902"/>
    <w:rsid w:val="002676F5"/>
    <w:rsid w:val="0029422A"/>
    <w:rsid w:val="00297EC4"/>
    <w:rsid w:val="002B0676"/>
    <w:rsid w:val="002C1E4A"/>
    <w:rsid w:val="002C5D88"/>
    <w:rsid w:val="002C7EDF"/>
    <w:rsid w:val="002D5761"/>
    <w:rsid w:val="002F2847"/>
    <w:rsid w:val="002F5C86"/>
    <w:rsid w:val="002F69C8"/>
    <w:rsid w:val="00313FC6"/>
    <w:rsid w:val="00314FE1"/>
    <w:rsid w:val="00316DF3"/>
    <w:rsid w:val="00330491"/>
    <w:rsid w:val="003332D6"/>
    <w:rsid w:val="0033562A"/>
    <w:rsid w:val="003453EB"/>
    <w:rsid w:val="003609C0"/>
    <w:rsid w:val="00385BFA"/>
    <w:rsid w:val="003876E3"/>
    <w:rsid w:val="003878EB"/>
    <w:rsid w:val="003A0967"/>
    <w:rsid w:val="003B190E"/>
    <w:rsid w:val="003B48D3"/>
    <w:rsid w:val="003E69B4"/>
    <w:rsid w:val="003E7CAB"/>
    <w:rsid w:val="003F7078"/>
    <w:rsid w:val="00402A4C"/>
    <w:rsid w:val="00403EC5"/>
    <w:rsid w:val="00421287"/>
    <w:rsid w:val="0043243B"/>
    <w:rsid w:val="00460545"/>
    <w:rsid w:val="00473AD7"/>
    <w:rsid w:val="00493794"/>
    <w:rsid w:val="0049414E"/>
    <w:rsid w:val="00495D1A"/>
    <w:rsid w:val="0049754E"/>
    <w:rsid w:val="004A1198"/>
    <w:rsid w:val="004A2061"/>
    <w:rsid w:val="004B4D5B"/>
    <w:rsid w:val="004C55B8"/>
    <w:rsid w:val="004D5F95"/>
    <w:rsid w:val="00507899"/>
    <w:rsid w:val="005106F8"/>
    <w:rsid w:val="00521F48"/>
    <w:rsid w:val="00531162"/>
    <w:rsid w:val="00537A61"/>
    <w:rsid w:val="00544AC9"/>
    <w:rsid w:val="00550780"/>
    <w:rsid w:val="0055266E"/>
    <w:rsid w:val="0055762B"/>
    <w:rsid w:val="00562F84"/>
    <w:rsid w:val="005741B1"/>
    <w:rsid w:val="00580744"/>
    <w:rsid w:val="00596BBF"/>
    <w:rsid w:val="005A2860"/>
    <w:rsid w:val="005B79FD"/>
    <w:rsid w:val="005C530A"/>
    <w:rsid w:val="005C7A84"/>
    <w:rsid w:val="005E0B15"/>
    <w:rsid w:val="005F22A3"/>
    <w:rsid w:val="00625F79"/>
    <w:rsid w:val="00643888"/>
    <w:rsid w:val="006452FB"/>
    <w:rsid w:val="0065313C"/>
    <w:rsid w:val="00664DC0"/>
    <w:rsid w:val="00667DF3"/>
    <w:rsid w:val="00675CDE"/>
    <w:rsid w:val="006802F3"/>
    <w:rsid w:val="006A2801"/>
    <w:rsid w:val="006A3401"/>
    <w:rsid w:val="006C353F"/>
    <w:rsid w:val="006C6F59"/>
    <w:rsid w:val="006C7C43"/>
    <w:rsid w:val="006C7CD3"/>
    <w:rsid w:val="006D746A"/>
    <w:rsid w:val="006E262D"/>
    <w:rsid w:val="006E7067"/>
    <w:rsid w:val="006F16B4"/>
    <w:rsid w:val="006F26A1"/>
    <w:rsid w:val="0070013F"/>
    <w:rsid w:val="00723BC4"/>
    <w:rsid w:val="00725397"/>
    <w:rsid w:val="00731090"/>
    <w:rsid w:val="00731144"/>
    <w:rsid w:val="007442A0"/>
    <w:rsid w:val="00751DF5"/>
    <w:rsid w:val="00755658"/>
    <w:rsid w:val="00773049"/>
    <w:rsid w:val="00791D34"/>
    <w:rsid w:val="007A3A16"/>
    <w:rsid w:val="007D3C92"/>
    <w:rsid w:val="007D57AF"/>
    <w:rsid w:val="007E13BD"/>
    <w:rsid w:val="007E1D36"/>
    <w:rsid w:val="007F172F"/>
    <w:rsid w:val="007F2A53"/>
    <w:rsid w:val="00811910"/>
    <w:rsid w:val="00812509"/>
    <w:rsid w:val="00854CC0"/>
    <w:rsid w:val="00854ED3"/>
    <w:rsid w:val="00865A9F"/>
    <w:rsid w:val="00872901"/>
    <w:rsid w:val="00877EF3"/>
    <w:rsid w:val="008825DA"/>
    <w:rsid w:val="00883C37"/>
    <w:rsid w:val="008A01BD"/>
    <w:rsid w:val="008D122D"/>
    <w:rsid w:val="008D7E0E"/>
    <w:rsid w:val="008E74AC"/>
    <w:rsid w:val="008F3680"/>
    <w:rsid w:val="008F53E4"/>
    <w:rsid w:val="00902A99"/>
    <w:rsid w:val="009128C6"/>
    <w:rsid w:val="0091303F"/>
    <w:rsid w:val="009261F0"/>
    <w:rsid w:val="009302D1"/>
    <w:rsid w:val="00936181"/>
    <w:rsid w:val="00936197"/>
    <w:rsid w:val="00940646"/>
    <w:rsid w:val="009415FC"/>
    <w:rsid w:val="009570EF"/>
    <w:rsid w:val="00962AED"/>
    <w:rsid w:val="009710AF"/>
    <w:rsid w:val="0097589B"/>
    <w:rsid w:val="00976224"/>
    <w:rsid w:val="009768BE"/>
    <w:rsid w:val="0099728C"/>
    <w:rsid w:val="009A317C"/>
    <w:rsid w:val="009A59A3"/>
    <w:rsid w:val="009A770F"/>
    <w:rsid w:val="009B4011"/>
    <w:rsid w:val="009B74ED"/>
    <w:rsid w:val="009C19C0"/>
    <w:rsid w:val="009C25EB"/>
    <w:rsid w:val="009C273F"/>
    <w:rsid w:val="009C2FDF"/>
    <w:rsid w:val="009C63EC"/>
    <w:rsid w:val="009D1155"/>
    <w:rsid w:val="009E62CD"/>
    <w:rsid w:val="009F040D"/>
    <w:rsid w:val="009F5EA5"/>
    <w:rsid w:val="00A06259"/>
    <w:rsid w:val="00A152E9"/>
    <w:rsid w:val="00A3078D"/>
    <w:rsid w:val="00A54776"/>
    <w:rsid w:val="00A56F1E"/>
    <w:rsid w:val="00A614CD"/>
    <w:rsid w:val="00A90526"/>
    <w:rsid w:val="00A9133B"/>
    <w:rsid w:val="00A9671E"/>
    <w:rsid w:val="00AB3C24"/>
    <w:rsid w:val="00AC755D"/>
    <w:rsid w:val="00AE29F1"/>
    <w:rsid w:val="00AF3E34"/>
    <w:rsid w:val="00AF7DF6"/>
    <w:rsid w:val="00B000A7"/>
    <w:rsid w:val="00B01F29"/>
    <w:rsid w:val="00B0728F"/>
    <w:rsid w:val="00B25724"/>
    <w:rsid w:val="00B3337A"/>
    <w:rsid w:val="00B43355"/>
    <w:rsid w:val="00B60CC0"/>
    <w:rsid w:val="00B60F1F"/>
    <w:rsid w:val="00B642C7"/>
    <w:rsid w:val="00B730A8"/>
    <w:rsid w:val="00B77803"/>
    <w:rsid w:val="00BA1F2C"/>
    <w:rsid w:val="00BA78D6"/>
    <w:rsid w:val="00BB3E0F"/>
    <w:rsid w:val="00BB3F7A"/>
    <w:rsid w:val="00BB6A0F"/>
    <w:rsid w:val="00BC2D88"/>
    <w:rsid w:val="00BC4CA6"/>
    <w:rsid w:val="00BD2EAA"/>
    <w:rsid w:val="00BD5A39"/>
    <w:rsid w:val="00BE613D"/>
    <w:rsid w:val="00BF23A8"/>
    <w:rsid w:val="00BF6599"/>
    <w:rsid w:val="00BF771D"/>
    <w:rsid w:val="00C1438D"/>
    <w:rsid w:val="00C14479"/>
    <w:rsid w:val="00C14EAE"/>
    <w:rsid w:val="00C34570"/>
    <w:rsid w:val="00C40DC2"/>
    <w:rsid w:val="00C6725D"/>
    <w:rsid w:val="00C909A2"/>
    <w:rsid w:val="00CA0F17"/>
    <w:rsid w:val="00CB395B"/>
    <w:rsid w:val="00CC15A7"/>
    <w:rsid w:val="00CC4F85"/>
    <w:rsid w:val="00CD410E"/>
    <w:rsid w:val="00CD444E"/>
    <w:rsid w:val="00D21D58"/>
    <w:rsid w:val="00D226A5"/>
    <w:rsid w:val="00D2377C"/>
    <w:rsid w:val="00D264B0"/>
    <w:rsid w:val="00D40159"/>
    <w:rsid w:val="00D5016C"/>
    <w:rsid w:val="00D555BB"/>
    <w:rsid w:val="00D71A2F"/>
    <w:rsid w:val="00D75728"/>
    <w:rsid w:val="00D858CC"/>
    <w:rsid w:val="00DA4850"/>
    <w:rsid w:val="00DE117E"/>
    <w:rsid w:val="00DF02E6"/>
    <w:rsid w:val="00DF64D5"/>
    <w:rsid w:val="00E2740B"/>
    <w:rsid w:val="00E40564"/>
    <w:rsid w:val="00E45B7C"/>
    <w:rsid w:val="00E46A0A"/>
    <w:rsid w:val="00E54E2D"/>
    <w:rsid w:val="00E6072C"/>
    <w:rsid w:val="00E670E8"/>
    <w:rsid w:val="00E855DA"/>
    <w:rsid w:val="00E863F1"/>
    <w:rsid w:val="00E95BEB"/>
    <w:rsid w:val="00EA43AA"/>
    <w:rsid w:val="00F10101"/>
    <w:rsid w:val="00F12186"/>
    <w:rsid w:val="00F203E4"/>
    <w:rsid w:val="00F91500"/>
    <w:rsid w:val="00FC7767"/>
    <w:rsid w:val="00FD14FB"/>
    <w:rsid w:val="01000C74"/>
    <w:rsid w:val="012F0592"/>
    <w:rsid w:val="020D71D4"/>
    <w:rsid w:val="028D43E6"/>
    <w:rsid w:val="02ED4765"/>
    <w:rsid w:val="030A36F4"/>
    <w:rsid w:val="03505757"/>
    <w:rsid w:val="03783199"/>
    <w:rsid w:val="0418735A"/>
    <w:rsid w:val="047A5261"/>
    <w:rsid w:val="04BD78A1"/>
    <w:rsid w:val="0510641D"/>
    <w:rsid w:val="054B266A"/>
    <w:rsid w:val="055F0D07"/>
    <w:rsid w:val="05E47764"/>
    <w:rsid w:val="06B07AE0"/>
    <w:rsid w:val="06C73514"/>
    <w:rsid w:val="07610150"/>
    <w:rsid w:val="081B3D75"/>
    <w:rsid w:val="088E3280"/>
    <w:rsid w:val="08A9749E"/>
    <w:rsid w:val="08CA651D"/>
    <w:rsid w:val="08ED3546"/>
    <w:rsid w:val="090B4B94"/>
    <w:rsid w:val="093375CC"/>
    <w:rsid w:val="0948656E"/>
    <w:rsid w:val="0A38067D"/>
    <w:rsid w:val="0B1B5ADC"/>
    <w:rsid w:val="0B3D6181"/>
    <w:rsid w:val="0BAA1613"/>
    <w:rsid w:val="0BAB1F91"/>
    <w:rsid w:val="0BC475DF"/>
    <w:rsid w:val="0C1864FC"/>
    <w:rsid w:val="0C4E2B00"/>
    <w:rsid w:val="0C5D1E9D"/>
    <w:rsid w:val="0C6A213B"/>
    <w:rsid w:val="0D22783C"/>
    <w:rsid w:val="0D7648C9"/>
    <w:rsid w:val="0E5619F5"/>
    <w:rsid w:val="0EFE3F6B"/>
    <w:rsid w:val="0F334517"/>
    <w:rsid w:val="0F912B8D"/>
    <w:rsid w:val="0FE332E7"/>
    <w:rsid w:val="101E0686"/>
    <w:rsid w:val="10521888"/>
    <w:rsid w:val="11FC011F"/>
    <w:rsid w:val="1249206E"/>
    <w:rsid w:val="12F062D3"/>
    <w:rsid w:val="12FC4744"/>
    <w:rsid w:val="139231D1"/>
    <w:rsid w:val="13AF2F6F"/>
    <w:rsid w:val="13E9460D"/>
    <w:rsid w:val="145A2EDB"/>
    <w:rsid w:val="15352E4D"/>
    <w:rsid w:val="159158E9"/>
    <w:rsid w:val="15F3397C"/>
    <w:rsid w:val="162C33D7"/>
    <w:rsid w:val="1635318D"/>
    <w:rsid w:val="16915190"/>
    <w:rsid w:val="16C46275"/>
    <w:rsid w:val="17C12E5E"/>
    <w:rsid w:val="17F94FDA"/>
    <w:rsid w:val="17F973DA"/>
    <w:rsid w:val="197E3D04"/>
    <w:rsid w:val="198436A7"/>
    <w:rsid w:val="199E7D0E"/>
    <w:rsid w:val="1A0F253D"/>
    <w:rsid w:val="1ABF3FFF"/>
    <w:rsid w:val="1B045C51"/>
    <w:rsid w:val="1C0E01AF"/>
    <w:rsid w:val="1C715832"/>
    <w:rsid w:val="1CB25A7D"/>
    <w:rsid w:val="1CD31A7D"/>
    <w:rsid w:val="1D5E7EE0"/>
    <w:rsid w:val="1D9802F8"/>
    <w:rsid w:val="1DAC1331"/>
    <w:rsid w:val="1DDB4FF6"/>
    <w:rsid w:val="1E385B1D"/>
    <w:rsid w:val="1EA731C1"/>
    <w:rsid w:val="1ECA6483"/>
    <w:rsid w:val="1F0E54A6"/>
    <w:rsid w:val="1FD062D6"/>
    <w:rsid w:val="208438F7"/>
    <w:rsid w:val="21123517"/>
    <w:rsid w:val="21224762"/>
    <w:rsid w:val="21532B6F"/>
    <w:rsid w:val="215E59A1"/>
    <w:rsid w:val="217A5B93"/>
    <w:rsid w:val="220E6500"/>
    <w:rsid w:val="225847EE"/>
    <w:rsid w:val="22F863BB"/>
    <w:rsid w:val="234D67FB"/>
    <w:rsid w:val="240C182C"/>
    <w:rsid w:val="245B6F27"/>
    <w:rsid w:val="247F7BFF"/>
    <w:rsid w:val="24D02122"/>
    <w:rsid w:val="25257535"/>
    <w:rsid w:val="25493EEB"/>
    <w:rsid w:val="25E905D1"/>
    <w:rsid w:val="25F769E9"/>
    <w:rsid w:val="262114DD"/>
    <w:rsid w:val="26307C56"/>
    <w:rsid w:val="266B33AB"/>
    <w:rsid w:val="267E0C37"/>
    <w:rsid w:val="2690510D"/>
    <w:rsid w:val="273852FE"/>
    <w:rsid w:val="27860EB1"/>
    <w:rsid w:val="27D4363E"/>
    <w:rsid w:val="27E90B5D"/>
    <w:rsid w:val="28BC12D0"/>
    <w:rsid w:val="290A4452"/>
    <w:rsid w:val="29FA324A"/>
    <w:rsid w:val="2A0642D1"/>
    <w:rsid w:val="2A151926"/>
    <w:rsid w:val="2A281FC1"/>
    <w:rsid w:val="2A3876D2"/>
    <w:rsid w:val="2A9A00C1"/>
    <w:rsid w:val="2AF6153D"/>
    <w:rsid w:val="2B135D87"/>
    <w:rsid w:val="2B406345"/>
    <w:rsid w:val="2BFF4C58"/>
    <w:rsid w:val="2C3F2467"/>
    <w:rsid w:val="2C4752F1"/>
    <w:rsid w:val="2D734661"/>
    <w:rsid w:val="2DB32237"/>
    <w:rsid w:val="2DB80A50"/>
    <w:rsid w:val="2E4F2F2D"/>
    <w:rsid w:val="2E86673D"/>
    <w:rsid w:val="2F337314"/>
    <w:rsid w:val="2F8F4B6B"/>
    <w:rsid w:val="2FD2421B"/>
    <w:rsid w:val="2FF32A72"/>
    <w:rsid w:val="310B7C31"/>
    <w:rsid w:val="31BA1C29"/>
    <w:rsid w:val="31D874D8"/>
    <w:rsid w:val="32192B43"/>
    <w:rsid w:val="326A1CC8"/>
    <w:rsid w:val="32E7289E"/>
    <w:rsid w:val="33B556FB"/>
    <w:rsid w:val="33F44659"/>
    <w:rsid w:val="34425A0E"/>
    <w:rsid w:val="347B0605"/>
    <w:rsid w:val="34922B4C"/>
    <w:rsid w:val="34CC3626"/>
    <w:rsid w:val="35A42D63"/>
    <w:rsid w:val="36421C40"/>
    <w:rsid w:val="36670E8C"/>
    <w:rsid w:val="36BC20CD"/>
    <w:rsid w:val="36CC4B95"/>
    <w:rsid w:val="375168B8"/>
    <w:rsid w:val="37AC738E"/>
    <w:rsid w:val="38537480"/>
    <w:rsid w:val="38B90A89"/>
    <w:rsid w:val="38F60B75"/>
    <w:rsid w:val="3912480B"/>
    <w:rsid w:val="395A35E3"/>
    <w:rsid w:val="39D961DF"/>
    <w:rsid w:val="3A496732"/>
    <w:rsid w:val="3AC50A89"/>
    <w:rsid w:val="3B38059C"/>
    <w:rsid w:val="3C506A62"/>
    <w:rsid w:val="3C7C67F5"/>
    <w:rsid w:val="3C891A53"/>
    <w:rsid w:val="3C9E52D0"/>
    <w:rsid w:val="3CA10CBF"/>
    <w:rsid w:val="3D855A3C"/>
    <w:rsid w:val="3DAA065E"/>
    <w:rsid w:val="3DF82424"/>
    <w:rsid w:val="3E0E547D"/>
    <w:rsid w:val="3EC109BA"/>
    <w:rsid w:val="3EDB7D99"/>
    <w:rsid w:val="3F1D7CB8"/>
    <w:rsid w:val="3FCD46EF"/>
    <w:rsid w:val="40307B2A"/>
    <w:rsid w:val="406D0F6C"/>
    <w:rsid w:val="40A07F81"/>
    <w:rsid w:val="411B1F4A"/>
    <w:rsid w:val="4180799F"/>
    <w:rsid w:val="420D371D"/>
    <w:rsid w:val="423066CC"/>
    <w:rsid w:val="423948E8"/>
    <w:rsid w:val="43260821"/>
    <w:rsid w:val="43E51CDA"/>
    <w:rsid w:val="43EC6AFC"/>
    <w:rsid w:val="44510886"/>
    <w:rsid w:val="44622845"/>
    <w:rsid w:val="44EA05A8"/>
    <w:rsid w:val="45D576EA"/>
    <w:rsid w:val="45FB04BF"/>
    <w:rsid w:val="46D155B4"/>
    <w:rsid w:val="48594C7C"/>
    <w:rsid w:val="48A12C0A"/>
    <w:rsid w:val="48BE62E5"/>
    <w:rsid w:val="48FC164D"/>
    <w:rsid w:val="49B95283"/>
    <w:rsid w:val="49CC5C5F"/>
    <w:rsid w:val="49CE545F"/>
    <w:rsid w:val="49E54440"/>
    <w:rsid w:val="49F14421"/>
    <w:rsid w:val="4A463936"/>
    <w:rsid w:val="4A74041D"/>
    <w:rsid w:val="4A976293"/>
    <w:rsid w:val="4ACC1946"/>
    <w:rsid w:val="4ACC7988"/>
    <w:rsid w:val="4B5D2E6D"/>
    <w:rsid w:val="4BC9209C"/>
    <w:rsid w:val="4BFF16CC"/>
    <w:rsid w:val="4C0C7145"/>
    <w:rsid w:val="4C380D83"/>
    <w:rsid w:val="4C4B2218"/>
    <w:rsid w:val="4C8C4DB4"/>
    <w:rsid w:val="4E2634BF"/>
    <w:rsid w:val="4E5B3CC1"/>
    <w:rsid w:val="4E7128E7"/>
    <w:rsid w:val="4E99569F"/>
    <w:rsid w:val="4EA13F02"/>
    <w:rsid w:val="4F5151AB"/>
    <w:rsid w:val="4FC24FED"/>
    <w:rsid w:val="4FE8630A"/>
    <w:rsid w:val="4FFF1B06"/>
    <w:rsid w:val="50C83E58"/>
    <w:rsid w:val="51D52940"/>
    <w:rsid w:val="525943A0"/>
    <w:rsid w:val="52C41729"/>
    <w:rsid w:val="532365B3"/>
    <w:rsid w:val="532811A2"/>
    <w:rsid w:val="535230C8"/>
    <w:rsid w:val="53B21DCF"/>
    <w:rsid w:val="53D20C7E"/>
    <w:rsid w:val="54177327"/>
    <w:rsid w:val="54270D01"/>
    <w:rsid w:val="54315D1F"/>
    <w:rsid w:val="543D45E2"/>
    <w:rsid w:val="556D6B29"/>
    <w:rsid w:val="56FF7082"/>
    <w:rsid w:val="57D94165"/>
    <w:rsid w:val="57F11AE3"/>
    <w:rsid w:val="58262DCD"/>
    <w:rsid w:val="582E7AAF"/>
    <w:rsid w:val="588D2768"/>
    <w:rsid w:val="58944CDB"/>
    <w:rsid w:val="591311F4"/>
    <w:rsid w:val="5A3A3962"/>
    <w:rsid w:val="5A8042EB"/>
    <w:rsid w:val="5A9515D1"/>
    <w:rsid w:val="5AD807CF"/>
    <w:rsid w:val="5B3550D5"/>
    <w:rsid w:val="5B597015"/>
    <w:rsid w:val="5B8C0E98"/>
    <w:rsid w:val="5CAC1FBE"/>
    <w:rsid w:val="5D6B4710"/>
    <w:rsid w:val="5D9A0382"/>
    <w:rsid w:val="5E79222B"/>
    <w:rsid w:val="5E7A33AF"/>
    <w:rsid w:val="5E992F68"/>
    <w:rsid w:val="5EAB4F7B"/>
    <w:rsid w:val="5EE5436B"/>
    <w:rsid w:val="5F772C6D"/>
    <w:rsid w:val="5F7F7267"/>
    <w:rsid w:val="5FF67529"/>
    <w:rsid w:val="60B91CCC"/>
    <w:rsid w:val="60CB1384"/>
    <w:rsid w:val="615838CB"/>
    <w:rsid w:val="6182449B"/>
    <w:rsid w:val="61F730E4"/>
    <w:rsid w:val="620B1CB1"/>
    <w:rsid w:val="621231B8"/>
    <w:rsid w:val="62330EBD"/>
    <w:rsid w:val="639635F7"/>
    <w:rsid w:val="64014923"/>
    <w:rsid w:val="64225DB7"/>
    <w:rsid w:val="646C0141"/>
    <w:rsid w:val="64C468E1"/>
    <w:rsid w:val="64D227E6"/>
    <w:rsid w:val="64D87478"/>
    <w:rsid w:val="65210C77"/>
    <w:rsid w:val="65353750"/>
    <w:rsid w:val="65C83C5F"/>
    <w:rsid w:val="65F91B55"/>
    <w:rsid w:val="667A0A30"/>
    <w:rsid w:val="66DE0A14"/>
    <w:rsid w:val="66F66B95"/>
    <w:rsid w:val="673E54E3"/>
    <w:rsid w:val="67B15328"/>
    <w:rsid w:val="67C43A69"/>
    <w:rsid w:val="68315961"/>
    <w:rsid w:val="683E683B"/>
    <w:rsid w:val="68925C60"/>
    <w:rsid w:val="68A8796D"/>
    <w:rsid w:val="68AC43E0"/>
    <w:rsid w:val="68BF4255"/>
    <w:rsid w:val="692239E5"/>
    <w:rsid w:val="6935400C"/>
    <w:rsid w:val="69653029"/>
    <w:rsid w:val="697E40EB"/>
    <w:rsid w:val="69C75A44"/>
    <w:rsid w:val="6B752C5A"/>
    <w:rsid w:val="6BBA6920"/>
    <w:rsid w:val="6BE10865"/>
    <w:rsid w:val="6C0E6DC6"/>
    <w:rsid w:val="6E39779B"/>
    <w:rsid w:val="6E712B0E"/>
    <w:rsid w:val="6EE8392C"/>
    <w:rsid w:val="6F2640AB"/>
    <w:rsid w:val="6F60051B"/>
    <w:rsid w:val="7007465D"/>
    <w:rsid w:val="70247F30"/>
    <w:rsid w:val="703025E3"/>
    <w:rsid w:val="711834F7"/>
    <w:rsid w:val="71287CA7"/>
    <w:rsid w:val="71296DAE"/>
    <w:rsid w:val="715F6C0B"/>
    <w:rsid w:val="7183443D"/>
    <w:rsid w:val="719E3842"/>
    <w:rsid w:val="71D95E38"/>
    <w:rsid w:val="724D3F35"/>
    <w:rsid w:val="725B265D"/>
    <w:rsid w:val="729F4689"/>
    <w:rsid w:val="73093DAF"/>
    <w:rsid w:val="73606A4E"/>
    <w:rsid w:val="73607643"/>
    <w:rsid w:val="73F04759"/>
    <w:rsid w:val="74281823"/>
    <w:rsid w:val="747D56CB"/>
    <w:rsid w:val="748C1DE0"/>
    <w:rsid w:val="75122761"/>
    <w:rsid w:val="751E519F"/>
    <w:rsid w:val="755C4936"/>
    <w:rsid w:val="76157B85"/>
    <w:rsid w:val="763E4358"/>
    <w:rsid w:val="76653C30"/>
    <w:rsid w:val="767A25DD"/>
    <w:rsid w:val="768F74BB"/>
    <w:rsid w:val="76DB3120"/>
    <w:rsid w:val="7719147C"/>
    <w:rsid w:val="77231DF8"/>
    <w:rsid w:val="77272D69"/>
    <w:rsid w:val="7767141E"/>
    <w:rsid w:val="777C109E"/>
    <w:rsid w:val="77E60685"/>
    <w:rsid w:val="781C344D"/>
    <w:rsid w:val="78E8332F"/>
    <w:rsid w:val="792304CB"/>
    <w:rsid w:val="7927265A"/>
    <w:rsid w:val="797D3509"/>
    <w:rsid w:val="79826ACF"/>
    <w:rsid w:val="79C142AC"/>
    <w:rsid w:val="79EA1353"/>
    <w:rsid w:val="7B0501C8"/>
    <w:rsid w:val="7B214D90"/>
    <w:rsid w:val="7BFF151F"/>
    <w:rsid w:val="7C1272D9"/>
    <w:rsid w:val="7C1D004F"/>
    <w:rsid w:val="7C3E25B5"/>
    <w:rsid w:val="7D213E64"/>
    <w:rsid w:val="7D3864BC"/>
    <w:rsid w:val="7D7223D6"/>
    <w:rsid w:val="7DAB6BB7"/>
    <w:rsid w:val="7E972286"/>
    <w:rsid w:val="7EA24E4A"/>
    <w:rsid w:val="7ED07CAA"/>
    <w:rsid w:val="7F336716"/>
    <w:rsid w:val="7F6923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7"/>
    <w:qFormat/>
    <w:uiPriority w:val="99"/>
    <w:pPr>
      <w:keepNext/>
      <w:snapToGrid w:val="0"/>
      <w:spacing w:line="360" w:lineRule="atLeast"/>
      <w:outlineLvl w:val="0"/>
    </w:pPr>
    <w:rPr>
      <w:rFonts w:ascii="宋体"/>
    </w:rPr>
  </w:style>
  <w:style w:type="paragraph" w:styleId="4">
    <w:name w:val="heading 2"/>
    <w:basedOn w:val="1"/>
    <w:next w:val="1"/>
    <w:link w:val="68"/>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99"/>
    <w:pPr>
      <w:keepNext/>
      <w:keepLines/>
      <w:spacing w:before="260" w:after="260" w:line="413" w:lineRule="auto"/>
      <w:outlineLvl w:val="2"/>
    </w:pPr>
    <w:rPr>
      <w:b/>
      <w:sz w:val="32"/>
    </w:rPr>
  </w:style>
  <w:style w:type="paragraph" w:styleId="6">
    <w:name w:val="heading 4"/>
    <w:basedOn w:val="1"/>
    <w:next w:val="1"/>
    <w:link w:val="70"/>
    <w:qFormat/>
    <w:uiPriority w:val="99"/>
    <w:pPr>
      <w:keepNext/>
      <w:keepLines/>
      <w:spacing w:before="280" w:after="290" w:line="372" w:lineRule="auto"/>
      <w:outlineLvl w:val="3"/>
    </w:pPr>
    <w:rPr>
      <w:rFonts w:ascii="Arial" w:hAnsi="Arial" w:eastAsia="黑体"/>
      <w:b/>
    </w:rPr>
  </w:style>
  <w:style w:type="paragraph" w:styleId="7">
    <w:name w:val="heading 5"/>
    <w:basedOn w:val="1"/>
    <w:next w:val="1"/>
    <w:link w:val="71"/>
    <w:qFormat/>
    <w:uiPriority w:val="99"/>
    <w:pPr>
      <w:keepNext/>
      <w:keepLines/>
      <w:tabs>
        <w:tab w:val="left" w:pos="2551"/>
      </w:tabs>
      <w:spacing w:before="280" w:after="290" w:line="372" w:lineRule="auto"/>
      <w:ind w:left="2551" w:hanging="850"/>
      <w:outlineLvl w:val="4"/>
    </w:pPr>
    <w:rPr>
      <w:b/>
    </w:rPr>
  </w:style>
  <w:style w:type="paragraph" w:styleId="8">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line="180" w:lineRule="auto"/>
      <w:jc w:val="center"/>
    </w:pPr>
    <w:rPr>
      <w:sz w:val="30"/>
    </w:rPr>
  </w:style>
  <w:style w:type="paragraph" w:styleId="12">
    <w:name w:val="List 3"/>
    <w:basedOn w:val="1"/>
    <w:qFormat/>
    <w:uiPriority w:val="99"/>
    <w:pPr>
      <w:adjustRightInd w:val="0"/>
      <w:snapToGrid w:val="0"/>
      <w:spacing w:line="360" w:lineRule="auto"/>
      <w:ind w:left="100" w:leftChars="400" w:hanging="200" w:hangingChars="200"/>
    </w:pPr>
    <w:rPr>
      <w:sz w:val="24"/>
    </w:rPr>
  </w:style>
  <w:style w:type="paragraph" w:styleId="13">
    <w:name w:val="toc 7"/>
    <w:basedOn w:val="1"/>
    <w:next w:val="1"/>
    <w:qFormat/>
    <w:uiPriority w:val="99"/>
    <w:pPr>
      <w:ind w:left="2520" w:leftChars="1200"/>
    </w:pPr>
  </w:style>
  <w:style w:type="paragraph" w:styleId="14">
    <w:name w:val="List Number 2"/>
    <w:basedOn w:val="1"/>
    <w:qFormat/>
    <w:uiPriority w:val="99"/>
    <w:pPr>
      <w:numPr>
        <w:ilvl w:val="0"/>
        <w:numId w:val="1"/>
      </w:numPr>
      <w:tabs>
        <w:tab w:val="left" w:pos="780"/>
        <w:tab w:val="clear" w:pos="425"/>
      </w:tabs>
      <w:spacing w:line="360" w:lineRule="auto"/>
    </w:pPr>
    <w:rPr>
      <w:sz w:val="24"/>
    </w:rPr>
  </w:style>
  <w:style w:type="paragraph" w:styleId="15">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266"/>
    <w:qFormat/>
    <w:uiPriority w:val="0"/>
    <w:pPr>
      <w:adjustRightInd w:val="0"/>
      <w:snapToGrid w:val="0"/>
      <w:spacing w:line="360" w:lineRule="auto"/>
      <w:ind w:firstLine="420"/>
    </w:pPr>
    <w:rPr>
      <w:kern w:val="0"/>
      <w:sz w:val="24"/>
    </w:rPr>
  </w:style>
  <w:style w:type="paragraph" w:styleId="17">
    <w:name w:val="caption"/>
    <w:basedOn w:val="1"/>
    <w:next w:val="1"/>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76"/>
    <w:qFormat/>
    <w:uiPriority w:val="99"/>
    <w:pPr>
      <w:shd w:val="clear" w:color="auto" w:fill="000080"/>
    </w:pPr>
  </w:style>
  <w:style w:type="paragraph" w:styleId="19">
    <w:name w:val="toa heading"/>
    <w:basedOn w:val="1"/>
    <w:next w:val="1"/>
    <w:qFormat/>
    <w:uiPriority w:val="99"/>
    <w:pPr>
      <w:spacing w:before="120"/>
    </w:pPr>
    <w:rPr>
      <w:rFonts w:ascii="Arial" w:hAnsi="Arial"/>
      <w:sz w:val="24"/>
    </w:rPr>
  </w:style>
  <w:style w:type="paragraph" w:styleId="20">
    <w:name w:val="annotation text"/>
    <w:basedOn w:val="1"/>
    <w:link w:val="92"/>
    <w:qFormat/>
    <w:uiPriority w:val="99"/>
    <w:pPr>
      <w:adjustRightInd w:val="0"/>
      <w:spacing w:line="360" w:lineRule="atLeast"/>
      <w:jc w:val="left"/>
      <w:textAlignment w:val="baseline"/>
    </w:pPr>
    <w:rPr>
      <w:kern w:val="0"/>
      <w:sz w:val="24"/>
    </w:rPr>
  </w:style>
  <w:style w:type="paragraph" w:styleId="21">
    <w:name w:val="Body Text 3"/>
    <w:basedOn w:val="1"/>
    <w:link w:val="78"/>
    <w:qFormat/>
    <w:uiPriority w:val="99"/>
    <w:pPr>
      <w:adjustRightInd w:val="0"/>
      <w:snapToGrid w:val="0"/>
      <w:spacing w:after="120" w:line="360" w:lineRule="auto"/>
    </w:pPr>
    <w:rPr>
      <w:sz w:val="16"/>
    </w:rPr>
  </w:style>
  <w:style w:type="paragraph" w:styleId="22">
    <w:name w:val="List Bullet 3"/>
    <w:basedOn w:val="1"/>
    <w:qFormat/>
    <w:uiPriority w:val="99"/>
    <w:pPr>
      <w:numPr>
        <w:ilvl w:val="0"/>
        <w:numId w:val="2"/>
      </w:numPr>
      <w:adjustRightInd w:val="0"/>
      <w:snapToGrid w:val="0"/>
      <w:spacing w:line="360" w:lineRule="auto"/>
    </w:pPr>
    <w:rPr>
      <w:sz w:val="24"/>
    </w:rPr>
  </w:style>
  <w:style w:type="paragraph" w:styleId="23">
    <w:name w:val="Body Text"/>
    <w:basedOn w:val="1"/>
    <w:link w:val="79"/>
    <w:qFormat/>
    <w:uiPriority w:val="99"/>
    <w:rPr>
      <w:rFonts w:ascii="仿宋_GB2312" w:eastAsia="仿宋_GB2312"/>
      <w:sz w:val="32"/>
    </w:rPr>
  </w:style>
  <w:style w:type="paragraph" w:styleId="24">
    <w:name w:val="Body Text Indent"/>
    <w:basedOn w:val="1"/>
    <w:link w:val="80"/>
    <w:qFormat/>
    <w:uiPriority w:val="99"/>
    <w:pPr>
      <w:spacing w:line="700" w:lineRule="exact"/>
      <w:ind w:left="960"/>
    </w:pPr>
    <w:rPr>
      <w:sz w:val="44"/>
    </w:rPr>
  </w:style>
  <w:style w:type="paragraph" w:styleId="25">
    <w:name w:val="List Number 3"/>
    <w:basedOn w:val="1"/>
    <w:qFormat/>
    <w:uiPriority w:val="99"/>
    <w:pPr>
      <w:tabs>
        <w:tab w:val="left" w:pos="2120"/>
      </w:tabs>
      <w:adjustRightInd w:val="0"/>
      <w:snapToGrid w:val="0"/>
      <w:spacing w:line="360" w:lineRule="auto"/>
      <w:ind w:left="2120" w:hanging="720"/>
    </w:pPr>
    <w:rPr>
      <w:sz w:val="24"/>
    </w:rPr>
  </w:style>
  <w:style w:type="paragraph" w:styleId="26">
    <w:name w:val="List 2"/>
    <w:basedOn w:val="1"/>
    <w:qFormat/>
    <w:uiPriority w:val="99"/>
    <w:pPr>
      <w:adjustRightInd w:val="0"/>
      <w:snapToGrid w:val="0"/>
      <w:spacing w:line="360" w:lineRule="auto"/>
      <w:ind w:left="100" w:leftChars="200" w:hanging="200" w:hangingChars="200"/>
    </w:pPr>
    <w:rPr>
      <w:sz w:val="24"/>
    </w:rPr>
  </w:style>
  <w:style w:type="paragraph" w:styleId="27">
    <w:name w:val="List Continue"/>
    <w:basedOn w:val="1"/>
    <w:qFormat/>
    <w:uiPriority w:val="99"/>
    <w:pPr>
      <w:adjustRightInd w:val="0"/>
      <w:snapToGrid w:val="0"/>
      <w:spacing w:after="120" w:line="360" w:lineRule="auto"/>
      <w:ind w:left="420" w:leftChars="200"/>
    </w:pPr>
    <w:rPr>
      <w:sz w:val="24"/>
    </w:rPr>
  </w:style>
  <w:style w:type="paragraph" w:styleId="28">
    <w:name w:val="List Bullet 2"/>
    <w:basedOn w:val="1"/>
    <w:qFormat/>
    <w:uiPriority w:val="99"/>
    <w:pPr>
      <w:numPr>
        <w:ilvl w:val="0"/>
        <w:numId w:val="3"/>
      </w:numPr>
      <w:adjustRightInd w:val="0"/>
      <w:snapToGrid w:val="0"/>
      <w:spacing w:line="360" w:lineRule="auto"/>
    </w:pPr>
    <w:rPr>
      <w:sz w:val="24"/>
    </w:rPr>
  </w:style>
  <w:style w:type="paragraph" w:styleId="29">
    <w:name w:val="toc 5"/>
    <w:basedOn w:val="1"/>
    <w:next w:val="1"/>
    <w:qFormat/>
    <w:uiPriority w:val="99"/>
    <w:pPr>
      <w:ind w:left="1680" w:leftChars="800"/>
    </w:pPr>
  </w:style>
  <w:style w:type="paragraph" w:styleId="30">
    <w:name w:val="toc 3"/>
    <w:basedOn w:val="1"/>
    <w:next w:val="1"/>
    <w:qFormat/>
    <w:uiPriority w:val="99"/>
    <w:pPr>
      <w:ind w:left="840" w:leftChars="400"/>
    </w:pPr>
  </w:style>
  <w:style w:type="paragraph" w:styleId="31">
    <w:name w:val="Plain Text"/>
    <w:basedOn w:val="1"/>
    <w:link w:val="81"/>
    <w:qFormat/>
    <w:uiPriority w:val="99"/>
    <w:rPr>
      <w:rFonts w:ascii="宋体" w:hAnsi="Courier New"/>
      <w:sz w:val="21"/>
    </w:rPr>
  </w:style>
  <w:style w:type="paragraph" w:styleId="32">
    <w:name w:val="toc 8"/>
    <w:basedOn w:val="1"/>
    <w:next w:val="1"/>
    <w:qFormat/>
    <w:uiPriority w:val="99"/>
    <w:pPr>
      <w:ind w:left="2940" w:leftChars="1400"/>
    </w:pPr>
  </w:style>
  <w:style w:type="paragraph" w:styleId="33">
    <w:name w:val="Date"/>
    <w:basedOn w:val="1"/>
    <w:next w:val="1"/>
    <w:link w:val="82"/>
    <w:qFormat/>
    <w:uiPriority w:val="99"/>
  </w:style>
  <w:style w:type="paragraph" w:styleId="34">
    <w:name w:val="Body Text Indent 2"/>
    <w:basedOn w:val="1"/>
    <w:link w:val="83"/>
    <w:qFormat/>
    <w:uiPriority w:val="99"/>
    <w:pPr>
      <w:snapToGrid w:val="0"/>
      <w:spacing w:line="560" w:lineRule="atLeast"/>
      <w:ind w:firstLine="540"/>
    </w:pPr>
  </w:style>
  <w:style w:type="paragraph" w:styleId="35">
    <w:name w:val="Balloon Text"/>
    <w:basedOn w:val="1"/>
    <w:link w:val="84"/>
    <w:qFormat/>
    <w:uiPriority w:val="99"/>
    <w:rPr>
      <w:sz w:val="18"/>
    </w:rPr>
  </w:style>
  <w:style w:type="paragraph" w:styleId="36">
    <w:name w:val="footer"/>
    <w:basedOn w:val="1"/>
    <w:link w:val="85"/>
    <w:qFormat/>
    <w:uiPriority w:val="99"/>
    <w:pPr>
      <w:tabs>
        <w:tab w:val="center" w:pos="4153"/>
        <w:tab w:val="right" w:pos="8306"/>
      </w:tabs>
      <w:snapToGrid w:val="0"/>
      <w:jc w:val="left"/>
    </w:pPr>
    <w:rPr>
      <w:sz w:val="18"/>
    </w:rPr>
  </w:style>
  <w:style w:type="paragraph" w:styleId="37">
    <w:name w:val="header"/>
    <w:basedOn w:val="1"/>
    <w:link w:val="86"/>
    <w:qFormat/>
    <w:uiPriority w:val="99"/>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99"/>
    <w:pPr>
      <w:adjustRightInd w:val="0"/>
      <w:snapToGrid w:val="0"/>
      <w:spacing w:after="120" w:line="360" w:lineRule="auto"/>
      <w:ind w:left="1680" w:leftChars="800"/>
    </w:pPr>
    <w:rPr>
      <w:sz w:val="24"/>
    </w:rPr>
  </w:style>
  <w:style w:type="paragraph" w:styleId="39">
    <w:name w:val="toc 4"/>
    <w:basedOn w:val="1"/>
    <w:next w:val="1"/>
    <w:qFormat/>
    <w:uiPriority w:val="99"/>
    <w:pPr>
      <w:ind w:left="1260" w:leftChars="600"/>
    </w:pPr>
  </w:style>
  <w:style w:type="paragraph" w:styleId="40">
    <w:name w:val="footnote text"/>
    <w:basedOn w:val="1"/>
    <w:link w:val="87"/>
    <w:qFormat/>
    <w:uiPriority w:val="99"/>
    <w:pPr>
      <w:spacing w:line="360" w:lineRule="auto"/>
    </w:pPr>
    <w:rPr>
      <w:sz w:val="18"/>
    </w:rPr>
  </w:style>
  <w:style w:type="paragraph" w:styleId="41">
    <w:name w:val="toc 6"/>
    <w:basedOn w:val="1"/>
    <w:next w:val="1"/>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rPr>
  </w:style>
  <w:style w:type="paragraph" w:styleId="43">
    <w:name w:val="Body Text Indent 3"/>
    <w:basedOn w:val="1"/>
    <w:link w:val="88"/>
    <w:qFormat/>
    <w:uiPriority w:val="99"/>
    <w:pPr>
      <w:spacing w:line="360" w:lineRule="auto"/>
      <w:ind w:firstLine="632"/>
    </w:pPr>
    <w:rPr>
      <w:rFonts w:ascii="黑体" w:eastAsia="黑体"/>
    </w:rPr>
  </w:style>
  <w:style w:type="paragraph" w:styleId="44">
    <w:name w:val="table of figures"/>
    <w:basedOn w:val="1"/>
    <w:next w:val="1"/>
    <w:qFormat/>
    <w:uiPriority w:val="99"/>
    <w:pPr>
      <w:tabs>
        <w:tab w:val="right" w:leader="dot" w:pos="8640"/>
      </w:tabs>
      <w:spacing w:line="360" w:lineRule="auto"/>
      <w:ind w:left="400" w:hanging="400"/>
    </w:pPr>
    <w:rPr>
      <w:sz w:val="24"/>
    </w:rPr>
  </w:style>
  <w:style w:type="paragraph" w:styleId="45">
    <w:name w:val="toc 2"/>
    <w:basedOn w:val="1"/>
    <w:next w:val="1"/>
    <w:qFormat/>
    <w:uiPriority w:val="99"/>
    <w:pPr>
      <w:ind w:left="420" w:leftChars="200"/>
    </w:pPr>
  </w:style>
  <w:style w:type="paragraph" w:styleId="46">
    <w:name w:val="toc 9"/>
    <w:basedOn w:val="1"/>
    <w:next w:val="1"/>
    <w:qFormat/>
    <w:uiPriority w:val="99"/>
    <w:pPr>
      <w:ind w:left="3360" w:leftChars="1600"/>
    </w:pPr>
  </w:style>
  <w:style w:type="paragraph" w:styleId="47">
    <w:name w:val="Body Text 2"/>
    <w:basedOn w:val="1"/>
    <w:link w:val="89"/>
    <w:qFormat/>
    <w:uiPriority w:val="99"/>
    <w:pPr>
      <w:adjustRightInd w:val="0"/>
      <w:snapToGrid w:val="0"/>
      <w:spacing w:after="120" w:line="480" w:lineRule="auto"/>
    </w:pPr>
    <w:rPr>
      <w:sz w:val="24"/>
    </w:rPr>
  </w:style>
  <w:style w:type="paragraph" w:styleId="48">
    <w:name w:val="List 4"/>
    <w:basedOn w:val="1"/>
    <w:qFormat/>
    <w:uiPriority w:val="99"/>
    <w:pPr>
      <w:adjustRightInd w:val="0"/>
      <w:snapToGrid w:val="0"/>
      <w:spacing w:line="360" w:lineRule="auto"/>
      <w:ind w:left="100" w:leftChars="600" w:hanging="200" w:hangingChars="200"/>
    </w:pPr>
    <w:rPr>
      <w:sz w:val="24"/>
    </w:rPr>
  </w:style>
  <w:style w:type="paragraph" w:styleId="49">
    <w:name w:val="List Continue 2"/>
    <w:basedOn w:val="1"/>
    <w:qFormat/>
    <w:uiPriority w:val="99"/>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99"/>
    <w:pPr>
      <w:adjustRightInd w:val="0"/>
      <w:snapToGrid w:val="0"/>
      <w:spacing w:after="120" w:line="360" w:lineRule="auto"/>
      <w:ind w:left="1260" w:leftChars="600"/>
    </w:pPr>
    <w:rPr>
      <w:sz w:val="24"/>
    </w:rPr>
  </w:style>
  <w:style w:type="paragraph" w:styleId="52">
    <w:name w:val="index 1"/>
    <w:basedOn w:val="1"/>
    <w:next w:val="1"/>
    <w:qFormat/>
    <w:uiPriority w:val="99"/>
    <w:pPr>
      <w:adjustRightInd w:val="0"/>
      <w:spacing w:line="240" w:lineRule="atLeast"/>
      <w:textAlignment w:val="baseline"/>
    </w:pPr>
    <w:rPr>
      <w:rFonts w:ascii="宋体"/>
      <w:kern w:val="0"/>
      <w:sz w:val="21"/>
    </w:rPr>
  </w:style>
  <w:style w:type="paragraph" w:styleId="53">
    <w:name w:val="Title"/>
    <w:basedOn w:val="1"/>
    <w:link w:val="90"/>
    <w:qFormat/>
    <w:uiPriority w:val="99"/>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91"/>
    <w:qFormat/>
    <w:uiPriority w:val="99"/>
    <w:pPr>
      <w:adjustRightInd/>
      <w:spacing w:line="240" w:lineRule="auto"/>
      <w:textAlignment w:val="auto"/>
    </w:pPr>
  </w:style>
  <w:style w:type="paragraph" w:styleId="55">
    <w:name w:val="Body Text First Indent"/>
    <w:basedOn w:val="1"/>
    <w:link w:val="93"/>
    <w:qFormat/>
    <w:uiPriority w:val="99"/>
    <w:pPr>
      <w:spacing w:line="360" w:lineRule="auto"/>
      <w:ind w:firstLine="420"/>
    </w:pPr>
    <w:rPr>
      <w:rFonts w:ascii="宋体" w:hAnsi="宋体"/>
      <w:sz w:val="24"/>
    </w:rPr>
  </w:style>
  <w:style w:type="paragraph" w:styleId="56">
    <w:name w:val="Body Text First Indent 2"/>
    <w:basedOn w:val="24"/>
    <w:link w:val="94"/>
    <w:qFormat/>
    <w:uiPriority w:val="99"/>
    <w:pPr>
      <w:spacing w:after="120" w:line="240" w:lineRule="auto"/>
      <w:ind w:left="420" w:leftChars="200" w:firstLine="420" w:firstLineChars="200"/>
    </w:pPr>
  </w:style>
  <w:style w:type="table" w:styleId="58">
    <w:name w:val="Table Grid"/>
    <w:basedOn w:val="5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333333"/>
      <w:u w:val="none"/>
    </w:rPr>
  </w:style>
  <w:style w:type="character" w:styleId="63">
    <w:name w:val="Emphasis"/>
    <w:basedOn w:val="59"/>
    <w:qFormat/>
    <w:uiPriority w:val="99"/>
    <w:rPr>
      <w:rFonts w:cs="Times New Roman"/>
      <w:i/>
    </w:rPr>
  </w:style>
  <w:style w:type="character" w:styleId="64">
    <w:name w:val="Hyperlink"/>
    <w:basedOn w:val="59"/>
    <w:qFormat/>
    <w:uiPriority w:val="99"/>
    <w:rPr>
      <w:rFonts w:cs="Times New Roman"/>
      <w:color w:val="333333"/>
      <w:u w:val="none"/>
    </w:rPr>
  </w:style>
  <w:style w:type="character" w:styleId="65">
    <w:name w:val="annotation reference"/>
    <w:basedOn w:val="59"/>
    <w:qFormat/>
    <w:uiPriority w:val="99"/>
    <w:rPr>
      <w:rFonts w:cs="Times New Roman"/>
      <w:sz w:val="21"/>
    </w:rPr>
  </w:style>
  <w:style w:type="character" w:styleId="66">
    <w:name w:val="footnote reference"/>
    <w:basedOn w:val="59"/>
    <w:qFormat/>
    <w:uiPriority w:val="99"/>
    <w:rPr>
      <w:rFonts w:cs="Times New Roman"/>
      <w:position w:val="6"/>
      <w:sz w:val="14"/>
      <w:vertAlign w:val="superscript"/>
    </w:rPr>
  </w:style>
  <w:style w:type="character" w:customStyle="1" w:styleId="67">
    <w:name w:val="标题 1 Char"/>
    <w:basedOn w:val="59"/>
    <w:link w:val="3"/>
    <w:qFormat/>
    <w:locked/>
    <w:uiPriority w:val="99"/>
    <w:rPr>
      <w:rFonts w:cs="Times New Roman"/>
      <w:b/>
      <w:bCs/>
      <w:kern w:val="44"/>
      <w:sz w:val="44"/>
      <w:szCs w:val="44"/>
    </w:rPr>
  </w:style>
  <w:style w:type="character" w:customStyle="1" w:styleId="68">
    <w:name w:val="标题 2 Char"/>
    <w:basedOn w:val="59"/>
    <w:link w:val="4"/>
    <w:qFormat/>
    <w:locked/>
    <w:uiPriority w:val="99"/>
    <w:rPr>
      <w:rFonts w:ascii="Arial" w:hAnsi="Arial" w:eastAsia="黑体" w:cs="Times New Roman"/>
      <w:b/>
      <w:kern w:val="2"/>
      <w:sz w:val="32"/>
    </w:rPr>
  </w:style>
  <w:style w:type="character" w:customStyle="1" w:styleId="69">
    <w:name w:val="标题 3 Char"/>
    <w:basedOn w:val="59"/>
    <w:link w:val="5"/>
    <w:qFormat/>
    <w:locked/>
    <w:uiPriority w:val="99"/>
    <w:rPr>
      <w:rFonts w:eastAsia="宋体" w:cs="Times New Roman"/>
      <w:b/>
      <w:kern w:val="2"/>
      <w:sz w:val="32"/>
      <w:lang w:val="en-US" w:eastAsia="zh-CN"/>
    </w:rPr>
  </w:style>
  <w:style w:type="character" w:customStyle="1" w:styleId="70">
    <w:name w:val="标题 4 Char"/>
    <w:basedOn w:val="59"/>
    <w:link w:val="6"/>
    <w:semiHidden/>
    <w:qFormat/>
    <w:locked/>
    <w:uiPriority w:val="99"/>
    <w:rPr>
      <w:rFonts w:ascii="Cambria" w:hAnsi="Cambria" w:eastAsia="宋体" w:cs="Times New Roman"/>
      <w:b/>
      <w:bCs/>
      <w:sz w:val="28"/>
      <w:szCs w:val="28"/>
    </w:rPr>
  </w:style>
  <w:style w:type="character" w:customStyle="1" w:styleId="71">
    <w:name w:val="标题 5 Char"/>
    <w:basedOn w:val="59"/>
    <w:link w:val="7"/>
    <w:semiHidden/>
    <w:qFormat/>
    <w:locked/>
    <w:uiPriority w:val="99"/>
    <w:rPr>
      <w:rFonts w:cs="Times New Roman"/>
      <w:b/>
      <w:bCs/>
      <w:sz w:val="28"/>
      <w:szCs w:val="28"/>
    </w:rPr>
  </w:style>
  <w:style w:type="character" w:customStyle="1" w:styleId="72">
    <w:name w:val="标题 6 Char"/>
    <w:basedOn w:val="59"/>
    <w:link w:val="8"/>
    <w:semiHidden/>
    <w:qFormat/>
    <w:locked/>
    <w:uiPriority w:val="99"/>
    <w:rPr>
      <w:rFonts w:ascii="Cambria" w:hAnsi="Cambria" w:eastAsia="宋体" w:cs="Times New Roman"/>
      <w:b/>
      <w:bCs/>
      <w:sz w:val="24"/>
      <w:szCs w:val="24"/>
    </w:rPr>
  </w:style>
  <w:style w:type="character" w:customStyle="1" w:styleId="73">
    <w:name w:val="标题 7 Char"/>
    <w:basedOn w:val="59"/>
    <w:link w:val="9"/>
    <w:semiHidden/>
    <w:qFormat/>
    <w:locked/>
    <w:uiPriority w:val="99"/>
    <w:rPr>
      <w:rFonts w:cs="Times New Roman"/>
      <w:b/>
      <w:bCs/>
      <w:sz w:val="24"/>
      <w:szCs w:val="24"/>
    </w:rPr>
  </w:style>
  <w:style w:type="character" w:customStyle="1" w:styleId="74">
    <w:name w:val="标题 8 Char"/>
    <w:basedOn w:val="59"/>
    <w:link w:val="10"/>
    <w:semiHidden/>
    <w:qFormat/>
    <w:locked/>
    <w:uiPriority w:val="99"/>
    <w:rPr>
      <w:rFonts w:ascii="Cambria" w:hAnsi="Cambria" w:eastAsia="宋体" w:cs="Times New Roman"/>
      <w:sz w:val="24"/>
      <w:szCs w:val="24"/>
    </w:rPr>
  </w:style>
  <w:style w:type="character" w:customStyle="1" w:styleId="75">
    <w:name w:val="标题 9 Char"/>
    <w:basedOn w:val="59"/>
    <w:link w:val="11"/>
    <w:semiHidden/>
    <w:qFormat/>
    <w:locked/>
    <w:uiPriority w:val="99"/>
    <w:rPr>
      <w:rFonts w:ascii="Cambria" w:hAnsi="Cambria" w:eastAsia="宋体" w:cs="Times New Roman"/>
      <w:sz w:val="21"/>
      <w:szCs w:val="21"/>
    </w:rPr>
  </w:style>
  <w:style w:type="character" w:customStyle="1" w:styleId="76">
    <w:name w:val="文档结构图 Char"/>
    <w:basedOn w:val="59"/>
    <w:link w:val="18"/>
    <w:semiHidden/>
    <w:qFormat/>
    <w:locked/>
    <w:uiPriority w:val="99"/>
    <w:rPr>
      <w:rFonts w:cs="Times New Roman"/>
      <w:sz w:val="2"/>
    </w:rPr>
  </w:style>
  <w:style w:type="character" w:customStyle="1" w:styleId="77">
    <w:name w:val="Comment Text Char"/>
    <w:basedOn w:val="59"/>
    <w:semiHidden/>
    <w:qFormat/>
    <w:locked/>
    <w:uiPriority w:val="99"/>
    <w:rPr>
      <w:rFonts w:ascii="Times New Roman" w:hAnsi="Times New Roman" w:cs="Times New Roman"/>
      <w:sz w:val="20"/>
    </w:rPr>
  </w:style>
  <w:style w:type="character" w:customStyle="1" w:styleId="78">
    <w:name w:val="正文文本 3 Char"/>
    <w:basedOn w:val="59"/>
    <w:link w:val="21"/>
    <w:semiHidden/>
    <w:qFormat/>
    <w:locked/>
    <w:uiPriority w:val="99"/>
    <w:rPr>
      <w:rFonts w:cs="Times New Roman"/>
      <w:sz w:val="16"/>
      <w:szCs w:val="16"/>
    </w:rPr>
  </w:style>
  <w:style w:type="character" w:customStyle="1" w:styleId="79">
    <w:name w:val="正文文本 Char"/>
    <w:basedOn w:val="59"/>
    <w:link w:val="23"/>
    <w:semiHidden/>
    <w:qFormat/>
    <w:locked/>
    <w:uiPriority w:val="99"/>
    <w:rPr>
      <w:rFonts w:cs="Times New Roman"/>
      <w:sz w:val="20"/>
      <w:szCs w:val="20"/>
    </w:rPr>
  </w:style>
  <w:style w:type="character" w:customStyle="1" w:styleId="80">
    <w:name w:val="正文文本缩进 Char"/>
    <w:basedOn w:val="59"/>
    <w:link w:val="24"/>
    <w:qFormat/>
    <w:locked/>
    <w:uiPriority w:val="99"/>
    <w:rPr>
      <w:rFonts w:cs="Times New Roman"/>
      <w:kern w:val="2"/>
      <w:sz w:val="44"/>
    </w:rPr>
  </w:style>
  <w:style w:type="character" w:customStyle="1" w:styleId="81">
    <w:name w:val="纯文本 Char"/>
    <w:basedOn w:val="59"/>
    <w:link w:val="31"/>
    <w:qFormat/>
    <w:locked/>
    <w:uiPriority w:val="99"/>
    <w:rPr>
      <w:rFonts w:ascii="宋体" w:hAnsi="Courier New" w:cs="Times New Roman"/>
      <w:kern w:val="2"/>
      <w:sz w:val="21"/>
    </w:rPr>
  </w:style>
  <w:style w:type="character" w:customStyle="1" w:styleId="82">
    <w:name w:val="日期 Char"/>
    <w:basedOn w:val="59"/>
    <w:link w:val="33"/>
    <w:qFormat/>
    <w:locked/>
    <w:uiPriority w:val="99"/>
    <w:rPr>
      <w:rFonts w:cs="Times New Roman"/>
      <w:kern w:val="2"/>
      <w:sz w:val="28"/>
    </w:rPr>
  </w:style>
  <w:style w:type="character" w:customStyle="1" w:styleId="83">
    <w:name w:val="正文文本缩进 2 Char"/>
    <w:basedOn w:val="59"/>
    <w:link w:val="34"/>
    <w:qFormat/>
    <w:locked/>
    <w:uiPriority w:val="99"/>
    <w:rPr>
      <w:rFonts w:cs="Times New Roman"/>
      <w:kern w:val="2"/>
      <w:sz w:val="28"/>
    </w:rPr>
  </w:style>
  <w:style w:type="character" w:customStyle="1" w:styleId="84">
    <w:name w:val="批注框文本 Char"/>
    <w:basedOn w:val="59"/>
    <w:link w:val="35"/>
    <w:semiHidden/>
    <w:qFormat/>
    <w:locked/>
    <w:uiPriority w:val="99"/>
    <w:rPr>
      <w:rFonts w:cs="Times New Roman"/>
      <w:sz w:val="2"/>
    </w:rPr>
  </w:style>
  <w:style w:type="character" w:customStyle="1" w:styleId="85">
    <w:name w:val="页脚 Char"/>
    <w:basedOn w:val="59"/>
    <w:link w:val="36"/>
    <w:qFormat/>
    <w:locked/>
    <w:uiPriority w:val="99"/>
    <w:rPr>
      <w:rFonts w:cs="Times New Roman"/>
      <w:kern w:val="2"/>
      <w:sz w:val="18"/>
    </w:rPr>
  </w:style>
  <w:style w:type="character" w:customStyle="1" w:styleId="86">
    <w:name w:val="页眉 Char"/>
    <w:basedOn w:val="59"/>
    <w:link w:val="37"/>
    <w:qFormat/>
    <w:locked/>
    <w:uiPriority w:val="99"/>
    <w:rPr>
      <w:rFonts w:cs="Times New Roman"/>
      <w:kern w:val="2"/>
      <w:sz w:val="18"/>
    </w:rPr>
  </w:style>
  <w:style w:type="character" w:customStyle="1" w:styleId="87">
    <w:name w:val="脚注文本 Char"/>
    <w:basedOn w:val="59"/>
    <w:link w:val="40"/>
    <w:qFormat/>
    <w:locked/>
    <w:uiPriority w:val="99"/>
    <w:rPr>
      <w:rFonts w:cs="Times New Roman"/>
      <w:kern w:val="2"/>
      <w:sz w:val="18"/>
    </w:rPr>
  </w:style>
  <w:style w:type="character" w:customStyle="1" w:styleId="88">
    <w:name w:val="正文文本缩进 3 Char"/>
    <w:basedOn w:val="59"/>
    <w:link w:val="43"/>
    <w:semiHidden/>
    <w:qFormat/>
    <w:locked/>
    <w:uiPriority w:val="99"/>
    <w:rPr>
      <w:rFonts w:cs="Times New Roman"/>
      <w:sz w:val="16"/>
      <w:szCs w:val="16"/>
    </w:rPr>
  </w:style>
  <w:style w:type="character" w:customStyle="1" w:styleId="89">
    <w:name w:val="正文文本 2 Char"/>
    <w:basedOn w:val="59"/>
    <w:link w:val="47"/>
    <w:semiHidden/>
    <w:qFormat/>
    <w:locked/>
    <w:uiPriority w:val="99"/>
    <w:rPr>
      <w:rFonts w:cs="Times New Roman"/>
      <w:sz w:val="20"/>
      <w:szCs w:val="20"/>
    </w:rPr>
  </w:style>
  <w:style w:type="character" w:customStyle="1" w:styleId="90">
    <w:name w:val="标题 Char"/>
    <w:basedOn w:val="59"/>
    <w:link w:val="53"/>
    <w:qFormat/>
    <w:locked/>
    <w:uiPriority w:val="99"/>
    <w:rPr>
      <w:rFonts w:ascii="Cambria" w:hAnsi="Cambria" w:cs="Times New Roman"/>
      <w:b/>
      <w:bCs/>
      <w:sz w:val="32"/>
      <w:szCs w:val="32"/>
    </w:rPr>
  </w:style>
  <w:style w:type="character" w:customStyle="1" w:styleId="91">
    <w:name w:val="批注主题 Char"/>
    <w:basedOn w:val="92"/>
    <w:link w:val="54"/>
    <w:qFormat/>
    <w:locked/>
    <w:uiPriority w:val="99"/>
    <w:rPr>
      <w:rFonts w:cs="Times New Roman"/>
      <w:sz w:val="24"/>
    </w:rPr>
  </w:style>
  <w:style w:type="character" w:customStyle="1" w:styleId="92">
    <w:name w:val="批注文字 Char"/>
    <w:link w:val="20"/>
    <w:qFormat/>
    <w:locked/>
    <w:uiPriority w:val="99"/>
    <w:rPr>
      <w:sz w:val="24"/>
    </w:rPr>
  </w:style>
  <w:style w:type="character" w:customStyle="1" w:styleId="93">
    <w:name w:val="正文首行缩进 Char"/>
    <w:basedOn w:val="79"/>
    <w:link w:val="55"/>
    <w:semiHidden/>
    <w:qFormat/>
    <w:locked/>
    <w:uiPriority w:val="99"/>
    <w:rPr>
      <w:rFonts w:cs="Times New Roman"/>
      <w:sz w:val="20"/>
      <w:szCs w:val="20"/>
    </w:rPr>
  </w:style>
  <w:style w:type="character" w:customStyle="1" w:styleId="94">
    <w:name w:val="正文首行缩进 2 Char"/>
    <w:basedOn w:val="80"/>
    <w:link w:val="56"/>
    <w:qFormat/>
    <w:locked/>
    <w:uiPriority w:val="99"/>
    <w:rPr>
      <w:rFonts w:cs="Times New Roman"/>
      <w:kern w:val="2"/>
      <w:sz w:val="44"/>
    </w:rPr>
  </w:style>
  <w:style w:type="character" w:customStyle="1" w:styleId="95">
    <w:name w:val="Char Char6"/>
    <w:qFormat/>
    <w:uiPriority w:val="99"/>
    <w:rPr>
      <w:rFonts w:ascii="仿宋_GB2312" w:eastAsia="仿宋_GB2312"/>
      <w:kern w:val="2"/>
      <w:sz w:val="32"/>
    </w:rPr>
  </w:style>
  <w:style w:type="character" w:customStyle="1" w:styleId="96">
    <w:name w:val="Char Char2"/>
    <w:qFormat/>
    <w:uiPriority w:val="99"/>
    <w:rPr>
      <w:rFonts w:eastAsia="宋体"/>
      <w:kern w:val="2"/>
      <w:sz w:val="18"/>
      <w:lang w:val="en-US" w:eastAsia="zh-CN"/>
    </w:rPr>
  </w:style>
  <w:style w:type="character" w:customStyle="1" w:styleId="97">
    <w:name w:val="Char Char"/>
    <w:qFormat/>
    <w:uiPriority w:val="99"/>
    <w:rPr>
      <w:rFonts w:ascii="宋体" w:hAnsi="宋体" w:eastAsia="宋体"/>
      <w:kern w:val="2"/>
      <w:sz w:val="24"/>
      <w:lang w:val="en-US" w:eastAsia="zh-CN"/>
    </w:rPr>
  </w:style>
  <w:style w:type="character" w:customStyle="1" w:styleId="98">
    <w:name w:val="Table Text Char"/>
    <w:qFormat/>
    <w:uiPriority w:val="99"/>
    <w:rPr>
      <w:rFonts w:ascii="Arial" w:hAnsi="Arial"/>
      <w:kern w:val="2"/>
      <w:sz w:val="18"/>
      <w:lang w:val="en-US" w:eastAsia="zh-CN"/>
    </w:rPr>
  </w:style>
  <w:style w:type="character" w:customStyle="1" w:styleId="99">
    <w:name w:val="标书正文:  0.74 厘米 Char1"/>
    <w:qFormat/>
    <w:uiPriority w:val="99"/>
    <w:rPr>
      <w:rFonts w:eastAsia="宋体"/>
      <w:kern w:val="2"/>
      <w:sz w:val="24"/>
      <w:lang w:val="en-US" w:eastAsia="zh-CN"/>
    </w:rPr>
  </w:style>
  <w:style w:type="character" w:customStyle="1" w:styleId="100">
    <w:name w:val="Char Char11"/>
    <w:qFormat/>
    <w:uiPriority w:val="99"/>
    <w:rPr>
      <w:rFonts w:ascii="宋体"/>
      <w:kern w:val="2"/>
      <w:sz w:val="28"/>
    </w:rPr>
  </w:style>
  <w:style w:type="character" w:customStyle="1" w:styleId="101">
    <w:name w:val="Char Char7"/>
    <w:qFormat/>
    <w:uiPriority w:val="99"/>
    <w:rPr>
      <w:rFonts w:ascii="宋体" w:hAnsi="宋体" w:eastAsia="宋体"/>
      <w:kern w:val="2"/>
      <w:sz w:val="28"/>
    </w:rPr>
  </w:style>
  <w:style w:type="character" w:customStyle="1" w:styleId="102">
    <w:name w:val="文字 Char"/>
    <w:qFormat/>
    <w:uiPriority w:val="99"/>
    <w:rPr>
      <w:rFonts w:ascii="宋体"/>
      <w:kern w:val="2"/>
      <w:sz w:val="28"/>
    </w:rPr>
  </w:style>
  <w:style w:type="character" w:customStyle="1" w:styleId="103">
    <w:name w:val="Char Char5"/>
    <w:qFormat/>
    <w:uiPriority w:val="99"/>
    <w:rPr>
      <w:rFonts w:ascii="Arial" w:hAnsi="Arial" w:eastAsia="宋体"/>
      <w:b/>
      <w:smallCaps/>
      <w:kern w:val="28"/>
      <w:sz w:val="36"/>
      <w:lang w:val="en-US" w:eastAsia="en-US"/>
    </w:rPr>
  </w:style>
  <w:style w:type="character" w:customStyle="1" w:styleId="104">
    <w:name w:val="font61"/>
    <w:basedOn w:val="59"/>
    <w:qFormat/>
    <w:uiPriority w:val="99"/>
    <w:rPr>
      <w:rFonts w:ascii="微软雅黑" w:hAnsi="微软雅黑" w:eastAsia="微软雅黑"/>
      <w:color w:val="000000"/>
      <w:sz w:val="24"/>
      <w:u w:val="none"/>
    </w:rPr>
  </w:style>
  <w:style w:type="character" w:customStyle="1" w:styleId="105">
    <w:name w:val="title_emph1"/>
    <w:qFormat/>
    <w:uiPriority w:val="99"/>
    <w:rPr>
      <w:rFonts w:ascii="Arial" w:hAnsi="Arial"/>
      <w:b/>
      <w:sz w:val="20"/>
    </w:rPr>
  </w:style>
  <w:style w:type="character" w:customStyle="1" w:styleId="106">
    <w:name w:val="v151"/>
    <w:qFormat/>
    <w:uiPriority w:val="99"/>
    <w:rPr>
      <w:sz w:val="18"/>
    </w:rPr>
  </w:style>
  <w:style w:type="character" w:customStyle="1" w:styleId="107">
    <w:name w:val="font1"/>
    <w:qFormat/>
    <w:uiPriority w:val="99"/>
    <w:rPr>
      <w:color w:val="000000"/>
      <w:sz w:val="18"/>
    </w:rPr>
  </w:style>
  <w:style w:type="character" w:customStyle="1" w:styleId="108">
    <w:name w:val="Char Char Char Char Char Char Char Char Char"/>
    <w:qFormat/>
    <w:uiPriority w:val="99"/>
    <w:rPr>
      <w:rFonts w:ascii="宋体" w:hAnsi="宋体" w:eastAsia="宋体"/>
      <w:kern w:val="2"/>
      <w:sz w:val="24"/>
      <w:lang w:val="en-US" w:eastAsia="zh-CN"/>
    </w:rPr>
  </w:style>
  <w:style w:type="character" w:customStyle="1" w:styleId="109">
    <w:name w:val="Table Text Char Char Char Char"/>
    <w:link w:val="110"/>
    <w:qFormat/>
    <w:locked/>
    <w:uiPriority w:val="99"/>
    <w:rPr>
      <w:rFonts w:ascii="Arial" w:hAnsi="Arial"/>
      <w:kern w:val="2"/>
      <w:sz w:val="18"/>
      <w:lang w:val="en-US" w:eastAsia="zh-CN" w:bidi="ar-SA"/>
    </w:rPr>
  </w:style>
  <w:style w:type="paragraph" w:customStyle="1" w:styleId="110">
    <w:name w:val="Table Text"/>
    <w:link w:val="109"/>
    <w:qFormat/>
    <w:uiPriority w:val="99"/>
    <w:pPr>
      <w:snapToGrid w:val="0"/>
      <w:spacing w:before="80" w:after="80"/>
    </w:pPr>
    <w:rPr>
      <w:rFonts w:ascii="Arial" w:hAnsi="Arial" w:eastAsia="宋体" w:cs="Times New Roman"/>
      <w:kern w:val="2"/>
      <w:sz w:val="18"/>
      <w:lang w:val="en-US" w:eastAsia="zh-CN" w:bidi="ar-SA"/>
    </w:rPr>
  </w:style>
  <w:style w:type="character" w:customStyle="1" w:styleId="111">
    <w:name w:val="H2 Char"/>
    <w:qFormat/>
    <w:uiPriority w:val="99"/>
    <w:rPr>
      <w:rFonts w:ascii="Arial" w:hAnsi="Arial" w:eastAsia="宋体"/>
      <w:kern w:val="2"/>
      <w:sz w:val="28"/>
      <w:lang w:val="en-US" w:eastAsia="zh-CN"/>
    </w:rPr>
  </w:style>
  <w:style w:type="character" w:customStyle="1" w:styleId="112">
    <w:name w:val="top-det1"/>
    <w:qFormat/>
    <w:uiPriority w:val="99"/>
    <w:rPr>
      <w:b/>
      <w:color w:val="000000"/>
    </w:rPr>
  </w:style>
  <w:style w:type="character" w:customStyle="1" w:styleId="113">
    <w:name w:val="批注文字 字符"/>
    <w:qFormat/>
    <w:uiPriority w:val="99"/>
    <w:rPr>
      <w:sz w:val="24"/>
    </w:rPr>
  </w:style>
  <w:style w:type="character" w:customStyle="1" w:styleId="114">
    <w:name w:val="crowed11"/>
    <w:qFormat/>
    <w:uiPriority w:val="99"/>
    <w:rPr>
      <w:sz w:val="24"/>
    </w:rPr>
  </w:style>
  <w:style w:type="character" w:customStyle="1" w:styleId="115">
    <w:name w:val="Table Text Char1 Char"/>
    <w:qFormat/>
    <w:uiPriority w:val="99"/>
    <w:rPr>
      <w:rFonts w:ascii="Arial" w:hAnsi="Arial"/>
      <w:kern w:val="2"/>
      <w:sz w:val="18"/>
      <w:lang w:val="en-US" w:eastAsia="zh-CN"/>
    </w:rPr>
  </w:style>
  <w:style w:type="character" w:customStyle="1" w:styleId="116">
    <w:name w:val="标题 2 字符"/>
    <w:qFormat/>
    <w:uiPriority w:val="99"/>
    <w:rPr>
      <w:rFonts w:ascii="Arial" w:hAnsi="Arial" w:eastAsia="黑体"/>
      <w:b/>
      <w:kern w:val="2"/>
      <w:sz w:val="32"/>
    </w:rPr>
  </w:style>
  <w:style w:type="character" w:customStyle="1" w:styleId="117">
    <w:name w:val="Table Heading Char Char"/>
    <w:qFormat/>
    <w:uiPriority w:val="99"/>
    <w:rPr>
      <w:rFonts w:ascii="Arial" w:hAnsi="Arial" w:eastAsia="黑体"/>
      <w:kern w:val="2"/>
      <w:sz w:val="18"/>
      <w:lang w:val="en-US" w:eastAsia="zh-CN"/>
    </w:rPr>
  </w:style>
  <w:style w:type="character" w:customStyle="1" w:styleId="118">
    <w:name w:val="文字 Char Char"/>
    <w:link w:val="119"/>
    <w:qFormat/>
    <w:locked/>
    <w:uiPriority w:val="99"/>
    <w:rPr>
      <w:rFonts w:ascii="宋体"/>
      <w:kern w:val="2"/>
      <w:sz w:val="28"/>
    </w:rPr>
  </w:style>
  <w:style w:type="paragraph" w:customStyle="1" w:styleId="119">
    <w:name w:val="文字"/>
    <w:basedOn w:val="1"/>
    <w:link w:val="118"/>
    <w:qFormat/>
    <w:uiPriority w:val="99"/>
    <w:pPr>
      <w:tabs>
        <w:tab w:val="left" w:pos="8520"/>
      </w:tabs>
      <w:spacing w:line="312" w:lineRule="auto"/>
      <w:ind w:right="-210" w:firstLine="556"/>
    </w:pPr>
    <w:rPr>
      <w:rFonts w:ascii="宋体"/>
    </w:rPr>
  </w:style>
  <w:style w:type="character" w:customStyle="1" w:styleId="120">
    <w:name w:val="样式 宋体"/>
    <w:qFormat/>
    <w:uiPriority w:val="99"/>
    <w:rPr>
      <w:rFonts w:ascii="宋体" w:hAnsi="宋体" w:eastAsia="宋体"/>
      <w:sz w:val="28"/>
    </w:rPr>
  </w:style>
  <w:style w:type="character" w:customStyle="1" w:styleId="121">
    <w:name w:val="正文 + 三号 Char"/>
    <w:qFormat/>
    <w:uiPriority w:val="99"/>
    <w:rPr>
      <w:rFonts w:eastAsia="宋体"/>
      <w:kern w:val="2"/>
      <w:sz w:val="21"/>
      <w:lang w:val="en-US" w:eastAsia="zh-CN"/>
    </w:rPr>
  </w:style>
  <w:style w:type="character" w:customStyle="1" w:styleId="122">
    <w:name w:val="小 Char"/>
    <w:qFormat/>
    <w:uiPriority w:val="99"/>
    <w:rPr>
      <w:rFonts w:ascii="宋体" w:hAnsi="Courier New" w:eastAsia="宋体"/>
      <w:kern w:val="2"/>
      <w:sz w:val="21"/>
      <w:lang w:val="en-US" w:eastAsia="zh-CN"/>
    </w:rPr>
  </w:style>
  <w:style w:type="character" w:customStyle="1" w:styleId="123">
    <w:name w:val="标题 3 字符"/>
    <w:qFormat/>
    <w:uiPriority w:val="99"/>
    <w:rPr>
      <w:rFonts w:eastAsia="宋体"/>
      <w:b/>
      <w:kern w:val="2"/>
      <w:sz w:val="32"/>
      <w:lang w:val="en-US" w:eastAsia="zh-CN"/>
    </w:rPr>
  </w:style>
  <w:style w:type="character" w:customStyle="1" w:styleId="124">
    <w:name w:val="content-white1"/>
    <w:qFormat/>
    <w:uiPriority w:val="99"/>
    <w:rPr>
      <w:color w:val="auto"/>
      <w:sz w:val="18"/>
      <w:u w:val="none"/>
    </w:rPr>
  </w:style>
  <w:style w:type="character" w:customStyle="1" w:styleId="125">
    <w:name w:val="font31"/>
    <w:basedOn w:val="59"/>
    <w:qFormat/>
    <w:uiPriority w:val="99"/>
    <w:rPr>
      <w:rFonts w:ascii="微软雅黑 Light" w:hAnsi="微软雅黑 Light" w:eastAsia="微软雅黑 Light"/>
      <w:color w:val="000000"/>
      <w:sz w:val="24"/>
      <w:u w:val="none"/>
    </w:rPr>
  </w:style>
  <w:style w:type="character" w:customStyle="1" w:styleId="126">
    <w:name w:val="Char Char4"/>
    <w:qFormat/>
    <w:uiPriority w:val="99"/>
    <w:rPr>
      <w:rFonts w:eastAsia="宋体"/>
      <w:b/>
      <w:kern w:val="2"/>
      <w:sz w:val="21"/>
      <w:lang w:val="en-US" w:eastAsia="zh-CN"/>
    </w:rPr>
  </w:style>
  <w:style w:type="character" w:customStyle="1" w:styleId="127">
    <w:name w:val="未命名11"/>
    <w:qFormat/>
    <w:uiPriority w:val="99"/>
    <w:rPr>
      <w:color w:val="77FFFF"/>
      <w:sz w:val="24"/>
    </w:rPr>
  </w:style>
  <w:style w:type="character" w:customStyle="1" w:styleId="128">
    <w:name w:val="font21"/>
    <w:qFormat/>
    <w:uiPriority w:val="99"/>
    <w:rPr>
      <w:rFonts w:ascii="Times New Roman" w:hAnsi="Times New Roman"/>
      <w:color w:val="000000"/>
      <w:sz w:val="24"/>
      <w:u w:val="none"/>
    </w:rPr>
  </w:style>
  <w:style w:type="character" w:customStyle="1" w:styleId="129">
    <w:name w:val="Char Char3"/>
    <w:qFormat/>
    <w:uiPriority w:val="99"/>
    <w:rPr>
      <w:rFonts w:eastAsia="宋体"/>
      <w:kern w:val="2"/>
      <w:sz w:val="18"/>
      <w:lang w:val="en-US" w:eastAsia="zh-CN"/>
    </w:rPr>
  </w:style>
  <w:style w:type="character" w:customStyle="1" w:styleId="130">
    <w:name w:val="Table Text Char1 Char Char"/>
    <w:qFormat/>
    <w:uiPriority w:val="99"/>
    <w:rPr>
      <w:rFonts w:ascii="Arial" w:hAnsi="Arial"/>
      <w:kern w:val="2"/>
      <w:sz w:val="18"/>
      <w:lang w:val="en-US" w:eastAsia="zh-CN"/>
    </w:rPr>
  </w:style>
  <w:style w:type="paragraph" w:customStyle="1" w:styleId="131">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3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33">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4">
    <w:name w:val="内容标题"/>
    <w:basedOn w:val="18"/>
    <w:qFormat/>
    <w:uiPriority w:val="99"/>
    <w:rPr>
      <w:rFonts w:ascii="Tahoma" w:hAnsi="Tahoma"/>
      <w:sz w:val="24"/>
    </w:rPr>
  </w:style>
  <w:style w:type="paragraph" w:customStyle="1" w:styleId="135">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6">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7">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138">
    <w:name w:val="样式 宋体 五号 行距: 单倍行距"/>
    <w:basedOn w:val="1"/>
    <w:qFormat/>
    <w:uiPriority w:val="99"/>
    <w:pPr>
      <w:adjustRightInd w:val="0"/>
      <w:jc w:val="left"/>
    </w:pPr>
    <w:rPr>
      <w:rFonts w:ascii="宋体" w:hAnsi="宋体"/>
      <w:kern w:val="0"/>
      <w:sz w:val="21"/>
    </w:rPr>
  </w:style>
  <w:style w:type="paragraph" w:customStyle="1" w:styleId="139">
    <w:name w:val="正文表格"/>
    <w:basedOn w:val="1"/>
    <w:qFormat/>
    <w:uiPriority w:val="99"/>
    <w:pPr>
      <w:adjustRightInd w:val="0"/>
      <w:spacing w:before="40" w:after="40"/>
    </w:pPr>
    <w:rPr>
      <w:sz w:val="24"/>
    </w:rPr>
  </w:style>
  <w:style w:type="paragraph" w:customStyle="1" w:styleId="140">
    <w:name w:val="Char1 Char Char Char"/>
    <w:basedOn w:val="1"/>
    <w:qFormat/>
    <w:uiPriority w:val="99"/>
    <w:rPr>
      <w:rFonts w:ascii="Tahoma" w:hAnsi="Tahoma"/>
      <w:sz w:val="24"/>
    </w:rPr>
  </w:style>
  <w:style w:type="paragraph" w:customStyle="1" w:styleId="141">
    <w:name w:val="af"/>
    <w:basedOn w:val="1"/>
    <w:qFormat/>
    <w:uiPriority w:val="99"/>
    <w:pPr>
      <w:widowControl/>
      <w:spacing w:line="300" w:lineRule="atLeast"/>
      <w:jc w:val="left"/>
    </w:pPr>
    <w:rPr>
      <w:rFonts w:ascii="宋体" w:hAnsi="宋体"/>
      <w:kern w:val="0"/>
      <w:sz w:val="18"/>
    </w:rPr>
  </w:style>
  <w:style w:type="paragraph" w:customStyle="1" w:styleId="142">
    <w:name w:val="Title - Revision"/>
    <w:basedOn w:val="53"/>
    <w:qFormat/>
    <w:uiPriority w:val="99"/>
    <w:pPr>
      <w:spacing w:before="720"/>
    </w:pPr>
  </w:style>
  <w:style w:type="paragraph" w:customStyle="1" w:styleId="143">
    <w:name w:val="1.正文"/>
    <w:basedOn w:val="1"/>
    <w:qFormat/>
    <w:uiPriority w:val="99"/>
    <w:pPr>
      <w:spacing w:line="360" w:lineRule="auto"/>
      <w:ind w:left="540" w:leftChars="225" w:firstLine="540" w:firstLineChars="225"/>
    </w:pPr>
    <w:rPr>
      <w:sz w:val="24"/>
    </w:rPr>
  </w:style>
  <w:style w:type="paragraph" w:customStyle="1" w:styleId="144">
    <w:name w:val="Title - Date"/>
    <w:basedOn w:val="53"/>
    <w:next w:val="1"/>
    <w:qFormat/>
    <w:uiPriority w:val="99"/>
    <w:pPr>
      <w:spacing w:before="240" w:after="720"/>
    </w:pPr>
    <w:rPr>
      <w:sz w:val="28"/>
    </w:rPr>
  </w:style>
  <w:style w:type="paragraph" w:customStyle="1" w:styleId="145">
    <w:name w:val="00"/>
    <w:basedOn w:val="1"/>
    <w:qFormat/>
    <w:uiPriority w:val="99"/>
    <w:pPr>
      <w:autoSpaceDE w:val="0"/>
      <w:autoSpaceDN w:val="0"/>
      <w:adjustRightInd w:val="0"/>
      <w:jc w:val="left"/>
    </w:pPr>
    <w:rPr>
      <w:rFonts w:ascii="黑体" w:eastAsia="黑体"/>
      <w:b/>
      <w:kern w:val="0"/>
      <w:sz w:val="20"/>
    </w:rPr>
  </w:style>
  <w:style w:type="paragraph" w:customStyle="1" w:styleId="146">
    <w:name w:val="Item Step in Tabl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148">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49">
    <w:name w:val="表号"/>
    <w:basedOn w:val="1"/>
    <w:qFormat/>
    <w:uiPriority w:val="99"/>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0">
    <w:name w:val="正文文本缩进 21"/>
    <w:basedOn w:val="1"/>
    <w:qFormat/>
    <w:uiPriority w:val="99"/>
    <w:pPr>
      <w:adjustRightInd w:val="0"/>
      <w:spacing w:before="120"/>
      <w:ind w:firstLine="420"/>
      <w:textAlignment w:val="baseline"/>
    </w:pPr>
    <w:rPr>
      <w:sz w:val="24"/>
    </w:rPr>
  </w:style>
  <w:style w:type="paragraph" w:customStyle="1" w:styleId="151">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53">
    <w:name w:val="Item List"/>
    <w:qFormat/>
    <w:uiPriority w:val="99"/>
    <w:pPr>
      <w:numPr>
        <w:ilvl w:val="0"/>
        <w:numId w:val="6"/>
      </w:numPr>
      <w:spacing w:line="300" w:lineRule="auto"/>
      <w:jc w:val="both"/>
    </w:pPr>
    <w:rPr>
      <w:rFonts w:ascii="Arial" w:hAnsi="Arial" w:eastAsia="宋体" w:cs="Times New Roman"/>
      <w:sz w:val="21"/>
      <w:lang w:val="en-US" w:eastAsia="zh-CN" w:bidi="ar-SA"/>
    </w:rPr>
  </w:style>
  <w:style w:type="paragraph" w:customStyle="1" w:styleId="154">
    <w:name w:val="标准正文"/>
    <w:basedOn w:val="24"/>
    <w:qFormat/>
    <w:uiPriority w:val="99"/>
    <w:pPr>
      <w:spacing w:before="60" w:after="60" w:line="360" w:lineRule="auto"/>
      <w:ind w:left="0" w:firstLine="482"/>
    </w:pPr>
    <w:rPr>
      <w:rFonts w:ascii="Arial" w:hAnsi="Arial"/>
      <w:sz w:val="24"/>
    </w:rPr>
  </w:style>
  <w:style w:type="paragraph" w:customStyle="1" w:styleId="155">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6">
    <w:name w:val="CSS1级正文 Char"/>
    <w:basedOn w:val="23"/>
    <w:qFormat/>
    <w:uiPriority w:val="99"/>
    <w:pPr>
      <w:adjustRightInd w:val="0"/>
      <w:snapToGrid w:val="0"/>
      <w:spacing w:line="360" w:lineRule="auto"/>
      <w:ind w:firstLine="480"/>
    </w:pPr>
    <w:rPr>
      <w:rFonts w:ascii="Times New Roman" w:eastAsia="宋体"/>
      <w:sz w:val="24"/>
    </w:rPr>
  </w:style>
  <w:style w:type="paragraph" w:customStyle="1" w:styleId="157">
    <w:name w:val="表头文本"/>
    <w:qFormat/>
    <w:uiPriority w:val="99"/>
    <w:pPr>
      <w:jc w:val="center"/>
    </w:pPr>
    <w:rPr>
      <w:rFonts w:ascii="Arial" w:hAnsi="Arial" w:eastAsia="宋体" w:cs="Times New Roman"/>
      <w:b/>
      <w:sz w:val="21"/>
      <w:lang w:val="en-US" w:eastAsia="zh-CN" w:bidi="ar-SA"/>
    </w:rPr>
  </w:style>
  <w:style w:type="paragraph" w:customStyle="1" w:styleId="15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60">
    <w:name w:val="操作步骤"/>
    <w:basedOn w:val="1"/>
    <w:qFormat/>
    <w:uiPriority w:val="99"/>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1">
    <w:name w:val="Char Char Char Char Char Char Char Char Char Char Char Char Char Char Char Char"/>
    <w:basedOn w:val="1"/>
    <w:qFormat/>
    <w:uiPriority w:val="99"/>
    <w:pPr>
      <w:tabs>
        <w:tab w:val="left" w:pos="360"/>
      </w:tabs>
    </w:pPr>
    <w:rPr>
      <w:sz w:val="24"/>
    </w:rPr>
  </w:style>
  <w:style w:type="paragraph" w:customStyle="1" w:styleId="162">
    <w:name w:val="样式 样式 首行缩进:  2 字符 + 首行缩进:  2 字符"/>
    <w:basedOn w:val="1"/>
    <w:qFormat/>
    <w:uiPriority w:val="99"/>
    <w:pPr>
      <w:numPr>
        <w:ilvl w:val="0"/>
        <w:numId w:val="8"/>
      </w:numPr>
      <w:tabs>
        <w:tab w:val="clear" w:pos="1230"/>
      </w:tabs>
      <w:spacing w:line="360" w:lineRule="auto"/>
      <w:ind w:firstLine="480" w:firstLineChars="200"/>
    </w:pPr>
    <w:rPr>
      <w:sz w:val="24"/>
    </w:rPr>
  </w:style>
  <w:style w:type="paragraph" w:customStyle="1" w:styleId="163">
    <w:name w:val="默认段落字体 Para Char Char Char Char Char Char Char Char Char1 Char Char Char Char"/>
    <w:basedOn w:val="1"/>
    <w:qFormat/>
    <w:uiPriority w:val="99"/>
    <w:rPr>
      <w:rFonts w:ascii="Tahoma" w:hAnsi="Tahoma"/>
      <w:sz w:val="24"/>
    </w:rPr>
  </w:style>
  <w:style w:type="paragraph" w:customStyle="1" w:styleId="164">
    <w:name w:val="表头样式"/>
    <w:basedOn w:val="1"/>
    <w:qFormat/>
    <w:uiPriority w:val="99"/>
    <w:pPr>
      <w:autoSpaceDE w:val="0"/>
      <w:autoSpaceDN w:val="0"/>
      <w:adjustRightInd w:val="0"/>
      <w:spacing w:line="360" w:lineRule="auto"/>
      <w:jc w:val="left"/>
    </w:pPr>
    <w:rPr>
      <w:b/>
      <w:kern w:val="0"/>
      <w:sz w:val="21"/>
    </w:rPr>
  </w:style>
  <w:style w:type="paragraph" w:customStyle="1" w:styleId="165">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表格内文字"/>
    <w:basedOn w:val="31"/>
    <w:qFormat/>
    <w:uiPriority w:val="99"/>
    <w:pPr>
      <w:adjustRightInd w:val="0"/>
    </w:pPr>
    <w:rPr>
      <w:color w:val="000000"/>
      <w:lang w:val="en-GB"/>
    </w:rPr>
  </w:style>
  <w:style w:type="paragraph" w:customStyle="1" w:styleId="168">
    <w:name w:val="默认段落字体 Para Char Char Char Char Char Char Char"/>
    <w:basedOn w:val="1"/>
    <w:qFormat/>
    <w:uiPriority w:val="99"/>
    <w:rPr>
      <w:rFonts w:ascii="Tahoma" w:hAnsi="Tahoma"/>
      <w:sz w:val="24"/>
    </w:rPr>
  </w:style>
  <w:style w:type="paragraph" w:customStyle="1" w:styleId="169">
    <w:name w:val="样式3"/>
    <w:basedOn w:val="3"/>
    <w:next w:val="3"/>
    <w:qFormat/>
    <w:uiPriority w:val="99"/>
    <w:pPr>
      <w:keepLines/>
      <w:adjustRightInd w:val="0"/>
      <w:spacing w:before="340" w:after="330" w:line="576" w:lineRule="auto"/>
    </w:pPr>
    <w:rPr>
      <w:rFonts w:ascii="Times New Roman" w:eastAsia="黑体"/>
      <w:b/>
      <w:kern w:val="44"/>
      <w:sz w:val="44"/>
    </w:rPr>
  </w:style>
  <w:style w:type="paragraph" w:customStyle="1" w:styleId="170">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司法正文"/>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2">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73">
    <w:name w:val="段落正文"/>
    <w:basedOn w:val="1"/>
    <w:qFormat/>
    <w:uiPriority w:val="99"/>
    <w:pPr>
      <w:spacing w:beforeLines="50" w:line="360" w:lineRule="auto"/>
      <w:ind w:firstLine="200" w:firstLineChars="200"/>
    </w:pPr>
    <w:rPr>
      <w:spacing w:val="2"/>
      <w:sz w:val="24"/>
    </w:rPr>
  </w:style>
  <w:style w:type="paragraph" w:customStyle="1" w:styleId="174">
    <w:name w:val="文章正文"/>
    <w:basedOn w:val="1"/>
    <w:qFormat/>
    <w:uiPriority w:val="99"/>
    <w:pPr>
      <w:ind w:firstLine="560" w:firstLineChars="200"/>
    </w:pPr>
    <w:rPr>
      <w:rFonts w:ascii="仿宋_GB2312" w:hAnsi="宋体" w:eastAsia="仿宋_GB2312"/>
      <w:color w:val="000000"/>
    </w:rPr>
  </w:style>
  <w:style w:type="paragraph" w:customStyle="1" w:styleId="175">
    <w:name w:val="Char"/>
    <w:basedOn w:val="1"/>
    <w:qFormat/>
    <w:uiPriority w:val="99"/>
    <w:pPr>
      <w:spacing w:line="240" w:lineRule="atLeast"/>
      <w:ind w:left="420" w:firstLine="420"/>
    </w:pPr>
    <w:rPr>
      <w:kern w:val="0"/>
      <w:sz w:val="21"/>
    </w:rPr>
  </w:style>
  <w:style w:type="paragraph" w:customStyle="1" w:styleId="176">
    <w:name w:val="列表项目"/>
    <w:basedOn w:val="1"/>
    <w:qFormat/>
    <w:uiPriority w:val="99"/>
    <w:pPr>
      <w:tabs>
        <w:tab w:val="left" w:pos="420"/>
      </w:tabs>
      <w:spacing w:line="288" w:lineRule="auto"/>
      <w:ind w:left="840" w:leftChars="200" w:hanging="420" w:hangingChars="200"/>
    </w:pPr>
    <w:rPr>
      <w:sz w:val="21"/>
    </w:rPr>
  </w:style>
  <w:style w:type="paragraph" w:customStyle="1" w:styleId="177">
    <w:name w:val="列出段落1"/>
    <w:next w:val="17"/>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正文4"/>
    <w:basedOn w:val="1"/>
    <w:qFormat/>
    <w:uiPriority w:val="99"/>
    <w:pPr>
      <w:tabs>
        <w:tab w:val="left" w:pos="1275"/>
      </w:tabs>
      <w:spacing w:before="60" w:after="60" w:line="360" w:lineRule="auto"/>
      <w:ind w:left="820" w:leftChars="400" w:hanging="705"/>
    </w:pPr>
    <w:rPr>
      <w:sz w:val="24"/>
    </w:rPr>
  </w:style>
  <w:style w:type="paragraph" w:customStyle="1" w:styleId="180">
    <w:name w:val="关键词"/>
    <w:basedOn w:val="1"/>
    <w:next w:val="1"/>
    <w:qFormat/>
    <w:uiPriority w:val="99"/>
    <w:pPr>
      <w:spacing w:line="360" w:lineRule="auto"/>
    </w:pPr>
    <w:rPr>
      <w:rFonts w:eastAsia="黑体"/>
      <w:sz w:val="20"/>
    </w:rPr>
  </w:style>
  <w:style w:type="paragraph" w:customStyle="1" w:styleId="181">
    <w:name w:val="可研正文"/>
    <w:basedOn w:val="23"/>
    <w:qFormat/>
    <w:uiPriority w:val="99"/>
    <w:pPr>
      <w:adjustRightInd w:val="0"/>
      <w:snapToGrid w:val="0"/>
      <w:spacing w:line="440" w:lineRule="exact"/>
      <w:ind w:firstLine="567"/>
    </w:pPr>
    <w:rPr>
      <w:sz w:val="28"/>
    </w:rPr>
  </w:style>
  <w:style w:type="paragraph" w:customStyle="1" w:styleId="182">
    <w:name w:val="标书正文:  0.74 厘米"/>
    <w:basedOn w:val="1"/>
    <w:qFormat/>
    <w:uiPriority w:val="99"/>
    <w:pPr>
      <w:snapToGrid w:val="0"/>
      <w:spacing w:line="360" w:lineRule="auto"/>
      <w:ind w:firstLine="420"/>
    </w:pPr>
    <w:rPr>
      <w:sz w:val="24"/>
    </w:rPr>
  </w:style>
  <w:style w:type="paragraph" w:customStyle="1" w:styleId="183">
    <w:name w:val="样式 标题 6第五层条 + 三号 段前: 0.5 行"/>
    <w:basedOn w:val="8"/>
    <w:qFormat/>
    <w:uiPriority w:val="99"/>
    <w:pPr>
      <w:widowControl/>
      <w:adjustRightInd/>
      <w:snapToGrid/>
      <w:spacing w:beforeLines="50"/>
      <w:jc w:val="left"/>
    </w:pPr>
    <w:rPr>
      <w:kern w:val="24"/>
      <w:sz w:val="28"/>
    </w:rPr>
  </w:style>
  <w:style w:type="paragraph" w:customStyle="1" w:styleId="184">
    <w:name w:val="1"/>
    <w:basedOn w:val="1"/>
    <w:next w:val="31"/>
    <w:qFormat/>
    <w:uiPriority w:val="99"/>
    <w:rPr>
      <w:rFonts w:ascii="宋体" w:hAnsi="Courier New"/>
      <w:sz w:val="21"/>
    </w:rPr>
  </w:style>
  <w:style w:type="paragraph" w:customStyle="1" w:styleId="185">
    <w:name w:val="没有缩进（为图形使用）"/>
    <w:basedOn w:val="1"/>
    <w:qFormat/>
    <w:uiPriority w:val="99"/>
    <w:pPr>
      <w:spacing w:before="120" w:after="120" w:line="360" w:lineRule="auto"/>
    </w:pPr>
    <w:rPr>
      <w:sz w:val="24"/>
    </w:rPr>
  </w:style>
  <w:style w:type="paragraph" w:customStyle="1" w:styleId="186">
    <w:name w:val="标题无"/>
    <w:basedOn w:val="1"/>
    <w:qFormat/>
    <w:uiPriority w:val="99"/>
    <w:pPr>
      <w:spacing w:line="360" w:lineRule="auto"/>
    </w:pPr>
    <w:rPr>
      <w:sz w:val="24"/>
    </w:rPr>
  </w:style>
  <w:style w:type="paragraph" w:customStyle="1" w:styleId="187">
    <w:name w:val="修订1"/>
    <w:qFormat/>
    <w:uiPriority w:val="99"/>
    <w:rPr>
      <w:rFonts w:ascii="Calibri" w:hAnsi="Calibri" w:eastAsia="宋体" w:cs="Times New Roman"/>
      <w:kern w:val="2"/>
      <w:sz w:val="21"/>
      <w:lang w:val="en-US" w:eastAsia="zh-CN" w:bidi="ar-SA"/>
    </w:rPr>
  </w:style>
  <w:style w:type="paragraph" w:customStyle="1" w:styleId="188">
    <w:name w:val="章标题"/>
    <w:next w:val="1"/>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9">
    <w:name w:val="图例"/>
    <w:basedOn w:val="1"/>
    <w:qFormat/>
    <w:uiPriority w:val="99"/>
    <w:pPr>
      <w:spacing w:before="120" w:after="120" w:line="360" w:lineRule="auto"/>
      <w:jc w:val="center"/>
    </w:pPr>
    <w:rPr>
      <w:rFonts w:eastAsia="仿宋_GB2312"/>
      <w:b/>
      <w:sz w:val="24"/>
    </w:rPr>
  </w:style>
  <w:style w:type="paragraph" w:customStyle="1" w:styleId="190">
    <w:name w:val="Char Char14 Char Char"/>
    <w:basedOn w:val="1"/>
    <w:qFormat/>
    <w:uiPriority w:val="99"/>
    <w:rPr>
      <w:sz w:val="21"/>
      <w:szCs w:val="24"/>
    </w:rPr>
  </w:style>
  <w:style w:type="paragraph" w:customStyle="1" w:styleId="191">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192">
    <w:name w:val="Char1"/>
    <w:basedOn w:val="1"/>
    <w:qFormat/>
    <w:uiPriority w:val="99"/>
    <w:rPr>
      <w:sz w:val="21"/>
    </w:rPr>
  </w:style>
  <w:style w:type="paragraph" w:customStyle="1" w:styleId="193">
    <w:name w:val="正文1"/>
    <w:basedOn w:val="1"/>
    <w:qFormat/>
    <w:uiPriority w:val="99"/>
    <w:pPr>
      <w:spacing w:line="300" w:lineRule="auto"/>
      <w:ind w:firstLine="200" w:firstLineChars="200"/>
    </w:pPr>
    <w:rPr>
      <w:sz w:val="24"/>
    </w:rPr>
  </w:style>
  <w:style w:type="paragraph" w:customStyle="1" w:styleId="194">
    <w:name w:val="正文字缩2字"/>
    <w:basedOn w:val="1"/>
    <w:qFormat/>
    <w:uiPriority w:val="99"/>
    <w:pPr>
      <w:spacing w:before="60" w:after="60" w:line="360" w:lineRule="auto"/>
      <w:ind w:left="200" w:leftChars="200" w:firstLine="200" w:firstLineChars="200"/>
    </w:pPr>
    <w:rPr>
      <w:sz w:val="24"/>
    </w:rPr>
  </w:style>
  <w:style w:type="paragraph" w:customStyle="1" w:styleId="195">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196">
    <w:name w:val="Char Char Char"/>
    <w:basedOn w:val="1"/>
    <w:qFormat/>
    <w:uiPriority w:val="99"/>
    <w:rPr>
      <w:rFonts w:ascii="Tahoma" w:hAnsi="Tahoma"/>
      <w:sz w:val="24"/>
    </w:rPr>
  </w:style>
  <w:style w:type="paragraph" w:customStyle="1" w:styleId="197">
    <w:name w:val="正文文本 21"/>
    <w:basedOn w:val="1"/>
    <w:qFormat/>
    <w:uiPriority w:val="99"/>
    <w:pPr>
      <w:adjustRightInd w:val="0"/>
      <w:spacing w:before="120" w:line="360" w:lineRule="auto"/>
      <w:ind w:firstLine="480"/>
      <w:textAlignment w:val="baseline"/>
    </w:pPr>
    <w:rPr>
      <w:sz w:val="24"/>
    </w:rPr>
  </w:style>
  <w:style w:type="paragraph" w:customStyle="1" w:styleId="198">
    <w:name w:val="Char2 Char Char Char Char Char Char"/>
    <w:basedOn w:val="1"/>
    <w:qFormat/>
    <w:uiPriority w:val="99"/>
    <w:rPr>
      <w:rFonts w:ascii="仿宋_GB2312"/>
      <w:b/>
      <w:sz w:val="30"/>
    </w:rPr>
  </w:style>
  <w:style w:type="paragraph" w:customStyle="1" w:styleId="199">
    <w:name w:val="Char Char Char Char Char"/>
    <w:basedOn w:val="1"/>
    <w:qFormat/>
    <w:uiPriority w:val="99"/>
    <w:pPr>
      <w:tabs>
        <w:tab w:val="left" w:pos="425"/>
      </w:tabs>
      <w:ind w:left="1620" w:hanging="360"/>
    </w:pPr>
    <w:rPr>
      <w:rFonts w:ascii="Tahoma" w:hAnsi="Tahoma"/>
      <w:sz w:val="24"/>
    </w:rPr>
  </w:style>
  <w:style w:type="paragraph" w:customStyle="1" w:styleId="200">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lang w:eastAsia="en-US"/>
    </w:rPr>
  </w:style>
  <w:style w:type="paragraph" w:customStyle="1" w:styleId="201">
    <w:name w:val="附录3"/>
    <w:basedOn w:val="1"/>
    <w:next w:val="1"/>
    <w:qFormat/>
    <w:uiPriority w:val="99"/>
    <w:pPr>
      <w:tabs>
        <w:tab w:val="left" w:pos="851"/>
      </w:tabs>
      <w:ind w:left="425" w:hanging="425"/>
      <w:outlineLvl w:val="2"/>
    </w:pPr>
    <w:rPr>
      <w:rFonts w:eastAsia="黑体"/>
      <w:b/>
      <w:sz w:val="32"/>
    </w:rPr>
  </w:style>
  <w:style w:type="paragraph" w:customStyle="1" w:styleId="202">
    <w:name w:val="二级条标题"/>
    <w:basedOn w:val="203"/>
    <w:next w:val="204"/>
    <w:qFormat/>
    <w:uiPriority w:val="99"/>
    <w:pPr>
      <w:ind w:left="840"/>
      <w:outlineLvl w:val="3"/>
    </w:pPr>
  </w:style>
  <w:style w:type="paragraph" w:customStyle="1" w:styleId="203">
    <w:name w:val="一级条标题"/>
    <w:basedOn w:val="188"/>
    <w:next w:val="204"/>
    <w:qFormat/>
    <w:uiPriority w:val="99"/>
    <w:pPr>
      <w:numPr>
        <w:numId w:val="0"/>
      </w:numPr>
      <w:spacing w:beforeLines="0" w:afterLines="0"/>
      <w:ind w:left="525"/>
      <w:outlineLvl w:val="2"/>
    </w:pPr>
    <w:rPr>
      <w:sz w:val="21"/>
    </w:rPr>
  </w:style>
  <w:style w:type="paragraph" w:customStyle="1" w:styleId="2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Char2"/>
    <w:basedOn w:val="1"/>
    <w:qFormat/>
    <w:uiPriority w:val="99"/>
    <w:pPr>
      <w:spacing w:line="240" w:lineRule="atLeast"/>
      <w:ind w:left="420" w:firstLine="420"/>
    </w:pPr>
    <w:rPr>
      <w:kern w:val="0"/>
      <w:sz w:val="21"/>
    </w:rPr>
  </w:style>
  <w:style w:type="paragraph" w:customStyle="1" w:styleId="206">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207">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08">
    <w:name w:val="段 Char"/>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9">
    <w:name w:val="首行缩进 1"/>
    <w:basedOn w:val="1"/>
    <w:qFormat/>
    <w:uiPriority w:val="99"/>
    <w:pPr>
      <w:spacing w:after="120" w:line="360" w:lineRule="auto"/>
      <w:ind w:firstLine="200" w:firstLineChars="200"/>
    </w:pPr>
    <w:rPr>
      <w:sz w:val="24"/>
    </w:rPr>
  </w:style>
  <w:style w:type="paragraph" w:customStyle="1" w:styleId="210">
    <w:name w:val="文本1"/>
    <w:basedOn w:val="1"/>
    <w:qFormat/>
    <w:uiPriority w:val="99"/>
    <w:pPr>
      <w:adjustRightInd w:val="0"/>
      <w:spacing w:line="312" w:lineRule="atLeast"/>
      <w:jc w:val="center"/>
      <w:textAlignment w:val="baseline"/>
    </w:pPr>
    <w:rPr>
      <w:kern w:val="0"/>
      <w:sz w:val="18"/>
    </w:rPr>
  </w:style>
  <w:style w:type="paragraph" w:customStyle="1" w:styleId="211">
    <w:name w:val="样式 正文缩进正文（首行缩进两字）表正文正文非缩进特点标题4段1 + 首行缩进:  2 字符"/>
    <w:basedOn w:val="16"/>
    <w:qFormat/>
    <w:uiPriority w:val="99"/>
    <w:pPr>
      <w:ind w:firstLine="480" w:firstLineChars="200"/>
    </w:pPr>
  </w:style>
  <w:style w:type="paragraph" w:customStyle="1" w:styleId="212">
    <w:name w:val="表文字"/>
    <w:qFormat/>
    <w:uiPriority w:val="99"/>
    <w:rPr>
      <w:rFonts w:ascii="宋体" w:hAnsi="Times New Roman" w:eastAsia="宋体" w:cs="Times New Roman"/>
      <w:kern w:val="2"/>
      <w:lang w:val="en-US" w:eastAsia="zh-CN" w:bidi="ar-SA"/>
    </w:rPr>
  </w:style>
  <w:style w:type="paragraph" w:customStyle="1" w:styleId="213">
    <w:name w:val="IN Feature"/>
    <w:next w:val="151"/>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4">
    <w:name w:val="样式1"/>
    <w:basedOn w:val="6"/>
    <w:qFormat/>
    <w:uiPriority w:val="99"/>
    <w:pPr>
      <w:tabs>
        <w:tab w:val="left" w:pos="720"/>
      </w:tabs>
      <w:spacing w:before="500" w:after="260" w:line="560" w:lineRule="atLeast"/>
      <w:ind w:left="420" w:hanging="420"/>
    </w:pPr>
  </w:style>
  <w:style w:type="paragraph" w:customStyle="1" w:styleId="215">
    <w:name w:val="样式 行距: 1.5 倍行距1"/>
    <w:basedOn w:val="1"/>
    <w:qFormat/>
    <w:uiPriority w:val="99"/>
    <w:pPr>
      <w:snapToGrid w:val="0"/>
    </w:pPr>
    <w:rPr>
      <w:sz w:val="21"/>
    </w:rPr>
  </w:style>
  <w:style w:type="paragraph" w:customStyle="1" w:styleId="216">
    <w:name w:val="Style Heading 3h3Heading 3 - oldLevel 3 HeadH3level_3PIM 3se..."/>
    <w:basedOn w:val="5"/>
    <w:qFormat/>
    <w:uiPriority w:val="99"/>
    <w:pPr>
      <w:tabs>
        <w:tab w:val="left" w:pos="709"/>
        <w:tab w:val="left" w:pos="1620"/>
      </w:tabs>
      <w:ind w:left="1620" w:hanging="360"/>
    </w:pPr>
  </w:style>
  <w:style w:type="paragraph" w:customStyle="1" w:styleId="21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样式2"/>
    <w:basedOn w:val="6"/>
    <w:qFormat/>
    <w:uiPriority w:val="99"/>
    <w:pPr>
      <w:numPr>
        <w:ilvl w:val="0"/>
        <w:numId w:val="9"/>
      </w:numPr>
      <w:spacing w:before="560" w:line="400" w:lineRule="exact"/>
      <w:jc w:val="center"/>
      <w:outlineLvl w:val="0"/>
    </w:pPr>
    <w:rPr>
      <w:b w:val="0"/>
      <w:sz w:val="44"/>
    </w:rPr>
  </w:style>
  <w:style w:type="paragraph" w:customStyle="1" w:styleId="219">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20">
    <w:name w:val="Char Char 字元 字元 字元 Char Char Char Char"/>
    <w:basedOn w:val="1"/>
    <w:qFormat/>
    <w:uiPriority w:val="99"/>
    <w:pPr>
      <w:adjustRightInd w:val="0"/>
      <w:spacing w:line="360" w:lineRule="auto"/>
    </w:pPr>
    <w:rPr>
      <w:kern w:val="0"/>
      <w:sz w:val="24"/>
    </w:rPr>
  </w:style>
  <w:style w:type="paragraph" w:customStyle="1" w:styleId="221">
    <w:name w:val="编号正文"/>
    <w:basedOn w:val="222"/>
    <w:qFormat/>
    <w:uiPriority w:val="99"/>
    <w:pPr>
      <w:snapToGrid/>
      <w:spacing w:line="360" w:lineRule="auto"/>
      <w:ind w:left="1407" w:hanging="1047"/>
      <w:jc w:val="left"/>
    </w:pPr>
    <w:rPr>
      <w:rFonts w:eastAsia="仿宋_GB2312"/>
    </w:rPr>
  </w:style>
  <w:style w:type="paragraph" w:customStyle="1" w:styleId="222">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223">
    <w:name w:val="样式 标题 1章标题Heading 0Section HeadPIM 1H1h11st levell11H1..."/>
    <w:basedOn w:val="3"/>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4">
    <w:name w:val="Char Char1 Char"/>
    <w:basedOn w:val="1"/>
    <w:qFormat/>
    <w:uiPriority w:val="99"/>
    <w:rPr>
      <w:rFonts w:ascii="Tahoma" w:hAnsi="Tahoma"/>
      <w:sz w:val="24"/>
      <w:szCs w:val="24"/>
    </w:rPr>
  </w:style>
  <w:style w:type="paragraph" w:customStyle="1" w:styleId="225">
    <w:name w:val="Char Char Char Char Char Char Char"/>
    <w:basedOn w:val="1"/>
    <w:qFormat/>
    <w:uiPriority w:val="99"/>
    <w:rPr>
      <w:rFonts w:ascii="Tahoma" w:hAnsi="Tahoma"/>
      <w:sz w:val="24"/>
    </w:rPr>
  </w:style>
  <w:style w:type="paragraph" w:customStyle="1" w:styleId="226">
    <w:name w:val="二级列表"/>
    <w:basedOn w:val="173"/>
    <w:next w:val="173"/>
    <w:qFormat/>
    <w:uiPriority w:val="99"/>
    <w:pPr>
      <w:tabs>
        <w:tab w:val="left" w:pos="2120"/>
      </w:tabs>
      <w:ind w:firstLine="0" w:firstLineChars="0"/>
    </w:pPr>
    <w:rPr>
      <w:b/>
    </w:rPr>
  </w:style>
  <w:style w:type="paragraph" w:customStyle="1" w:styleId="227">
    <w:name w:val="Note"/>
    <w:basedOn w:val="1"/>
    <w:qFormat/>
    <w:uiPriority w:val="99"/>
    <w:pPr>
      <w:pBdr>
        <w:top w:val="single" w:color="auto" w:sz="12" w:space="3"/>
        <w:bottom w:val="single" w:color="auto" w:sz="12" w:space="3"/>
      </w:pBdr>
      <w:spacing w:line="360" w:lineRule="auto"/>
    </w:pPr>
    <w:rPr>
      <w:sz w:val="24"/>
    </w:rPr>
  </w:style>
  <w:style w:type="paragraph" w:customStyle="1" w:styleId="228">
    <w:name w:val="样式 标题 1 + 居中 段前: 6 磅 段后: 6 磅 行距: 1.5 倍行距"/>
    <w:basedOn w:val="3"/>
    <w:qFormat/>
    <w:uiPriority w:val="99"/>
    <w:pPr>
      <w:keepLines/>
      <w:adjustRightInd w:val="0"/>
      <w:spacing w:before="120" w:after="120" w:line="360" w:lineRule="auto"/>
      <w:jc w:val="center"/>
    </w:pPr>
    <w:rPr>
      <w:rFonts w:ascii="Times New Roman"/>
      <w:b/>
      <w:kern w:val="44"/>
      <w:sz w:val="32"/>
    </w:rPr>
  </w:style>
  <w:style w:type="paragraph" w:customStyle="1" w:styleId="229">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表格文本"/>
    <w:qFormat/>
    <w:uiPriority w:val="99"/>
    <w:pPr>
      <w:tabs>
        <w:tab w:val="decimal" w:pos="0"/>
      </w:tabs>
    </w:pPr>
    <w:rPr>
      <w:rFonts w:ascii="Arial" w:hAnsi="Arial" w:eastAsia="宋体" w:cs="Times New Roman"/>
      <w:sz w:val="21"/>
      <w:lang w:val="en-US" w:eastAsia="zh-CN" w:bidi="ar-SA"/>
    </w:rPr>
  </w:style>
  <w:style w:type="paragraph" w:customStyle="1" w:styleId="231">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32">
    <w:name w:val="AA Numbering"/>
    <w:basedOn w:val="1"/>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样式 首行缩进:  0.74 厘米"/>
    <w:basedOn w:val="1"/>
    <w:qFormat/>
    <w:uiPriority w:val="99"/>
    <w:pPr>
      <w:spacing w:line="360" w:lineRule="auto"/>
      <w:ind w:firstLine="420"/>
    </w:pPr>
    <w:rPr>
      <w:sz w:val="24"/>
    </w:rPr>
  </w:style>
  <w:style w:type="paragraph" w:customStyle="1" w:styleId="234">
    <w:name w:val="标题2"/>
    <w:basedOn w:val="4"/>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5">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236">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38">
    <w:name w:val="简单回函地址"/>
    <w:basedOn w:val="1"/>
    <w:qFormat/>
    <w:uiPriority w:val="99"/>
    <w:pPr>
      <w:adjustRightInd w:val="0"/>
      <w:snapToGrid w:val="0"/>
      <w:spacing w:line="360" w:lineRule="auto"/>
    </w:pPr>
    <w:rPr>
      <w:sz w:val="24"/>
    </w:rPr>
  </w:style>
  <w:style w:type="paragraph" w:customStyle="1" w:styleId="239">
    <w:name w:val="正文 + 三号"/>
    <w:basedOn w:val="1"/>
    <w:qFormat/>
    <w:uiPriority w:val="99"/>
    <w:rPr>
      <w:sz w:val="21"/>
    </w:rPr>
  </w:style>
  <w:style w:type="paragraph" w:customStyle="1" w:styleId="240">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241">
    <w:name w:val="样式1xz"/>
    <w:basedOn w:val="1"/>
    <w:qFormat/>
    <w:uiPriority w:val="99"/>
    <w:pPr>
      <w:tabs>
        <w:tab w:val="left" w:pos="1050"/>
        <w:tab w:val="right" w:leader="dot" w:pos="8296"/>
      </w:tabs>
    </w:pPr>
    <w:rPr>
      <w:caps/>
      <w:spacing w:val="20"/>
      <w:sz w:val="24"/>
    </w:rPr>
  </w:style>
  <w:style w:type="paragraph" w:customStyle="1" w:styleId="242">
    <w:name w:val="图片文字"/>
    <w:basedOn w:val="1"/>
    <w:qFormat/>
    <w:uiPriority w:val="99"/>
    <w:pPr>
      <w:spacing w:line="240" w:lineRule="atLeast"/>
      <w:jc w:val="center"/>
    </w:pPr>
    <w:rPr>
      <w:sz w:val="21"/>
    </w:rPr>
  </w:style>
  <w:style w:type="paragraph" w:customStyle="1" w:styleId="243">
    <w:name w:val="摘要"/>
    <w:basedOn w:val="1"/>
    <w:next w:val="4"/>
    <w:qFormat/>
    <w:uiPriority w:val="99"/>
    <w:pPr>
      <w:spacing w:line="360" w:lineRule="auto"/>
    </w:pPr>
    <w:rPr>
      <w:rFonts w:eastAsia="黑体"/>
      <w:sz w:val="20"/>
    </w:rPr>
  </w:style>
  <w:style w:type="paragraph" w:customStyle="1" w:styleId="244">
    <w:name w:val="样式 正文首行缩进 2 + 首行缩进:  2 字符"/>
    <w:basedOn w:val="1"/>
    <w:qFormat/>
    <w:uiPriority w:val="99"/>
    <w:pPr>
      <w:numPr>
        <w:ilvl w:val="0"/>
        <w:numId w:val="10"/>
      </w:numPr>
      <w:adjustRightInd w:val="0"/>
      <w:snapToGrid w:val="0"/>
      <w:spacing w:line="360" w:lineRule="auto"/>
    </w:pPr>
    <w:rPr>
      <w:rFonts w:ascii="Arial" w:hAnsi="Arial"/>
      <w:b/>
      <w:sz w:val="24"/>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246">
    <w:name w:val="Table Contents"/>
    <w:basedOn w:val="23"/>
    <w:qFormat/>
    <w:uiPriority w:val="99"/>
    <w:pPr>
      <w:suppressAutoHyphens/>
      <w:jc w:val="left"/>
    </w:pPr>
    <w:rPr>
      <w:rFonts w:ascii="Times New Roman" w:eastAsia="宋体"/>
      <w:kern w:val="0"/>
      <w:sz w:val="24"/>
    </w:rPr>
  </w:style>
  <w:style w:type="paragraph" w:customStyle="1" w:styleId="247">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48">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249">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0">
    <w:name w:val="文本框样式1"/>
    <w:basedOn w:val="1"/>
    <w:qFormat/>
    <w:uiPriority w:val="99"/>
    <w:pPr>
      <w:adjustRightInd w:val="0"/>
      <w:snapToGrid w:val="0"/>
      <w:spacing w:before="60" w:line="180" w:lineRule="exact"/>
      <w:jc w:val="center"/>
    </w:pPr>
    <w:rPr>
      <w:sz w:val="21"/>
    </w:rPr>
  </w:style>
  <w:style w:type="paragraph" w:customStyle="1" w:styleId="251">
    <w:name w:val="Char Char Char Char Char Char Char1"/>
    <w:basedOn w:val="18"/>
    <w:qFormat/>
    <w:uiPriority w:val="99"/>
    <w:rPr>
      <w:rFonts w:ascii="宋体" w:hAnsi="Tahoma"/>
    </w:rPr>
  </w:style>
  <w:style w:type="paragraph" w:customStyle="1" w:styleId="252">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53">
    <w:name w:val="样式4"/>
    <w:basedOn w:val="6"/>
    <w:qFormat/>
    <w:uiPriority w:val="99"/>
    <w:pPr>
      <w:adjustRightInd w:val="0"/>
      <w:snapToGrid w:val="0"/>
    </w:pPr>
  </w:style>
  <w:style w:type="paragraph" w:customStyle="1" w:styleId="254">
    <w:name w:val="正文（首行不缩进）"/>
    <w:basedOn w:val="1"/>
    <w:qFormat/>
    <w:uiPriority w:val="99"/>
    <w:pPr>
      <w:autoSpaceDE w:val="0"/>
      <w:autoSpaceDN w:val="0"/>
      <w:adjustRightInd w:val="0"/>
      <w:spacing w:line="360" w:lineRule="auto"/>
      <w:jc w:val="left"/>
    </w:pPr>
    <w:rPr>
      <w:kern w:val="0"/>
      <w:sz w:val="21"/>
    </w:rPr>
  </w:style>
  <w:style w:type="paragraph" w:customStyle="1" w:styleId="255">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6">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Char1 Char Char Char1"/>
    <w:basedOn w:val="1"/>
    <w:qFormat/>
    <w:uiPriority w:val="99"/>
    <w:rPr>
      <w:rFonts w:ascii="Tahoma" w:hAnsi="Tahoma"/>
      <w:sz w:val="30"/>
    </w:rPr>
  </w:style>
  <w:style w:type="paragraph" w:customStyle="1" w:styleId="258">
    <w:name w:val="彩色底纹1"/>
    <w:qFormat/>
    <w:uiPriority w:val="99"/>
    <w:rPr>
      <w:rFonts w:ascii="Times New Roman" w:hAnsi="Times New Roman" w:eastAsia="宋体" w:cs="Times New Roman"/>
      <w:kern w:val="2"/>
      <w:sz w:val="21"/>
      <w:lang w:val="en-US" w:eastAsia="zh-CN" w:bidi="ar-SA"/>
    </w:rPr>
  </w:style>
  <w:style w:type="paragraph" w:customStyle="1" w:styleId="259">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260">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26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62">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63">
    <w:name w:val="标题3——2"/>
    <w:basedOn w:val="5"/>
    <w:next w:val="55"/>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首行缩进"/>
    <w:basedOn w:val="1"/>
    <w:qFormat/>
    <w:uiPriority w:val="99"/>
    <w:pPr>
      <w:numPr>
        <w:ilvl w:val="0"/>
        <w:numId w:val="11"/>
      </w:numPr>
      <w:spacing w:line="360" w:lineRule="auto"/>
    </w:pPr>
    <w:rPr>
      <w:rFonts w:eastAsia="仿宋_GB2312"/>
    </w:rPr>
  </w:style>
  <w:style w:type="paragraph" w:customStyle="1" w:styleId="265">
    <w:name w:val="bt"/>
    <w:basedOn w:val="1"/>
    <w:next w:val="23"/>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66">
    <w:name w:val="正文缩进 Char"/>
    <w:link w:val="16"/>
    <w:qFormat/>
    <w:uiPriority w:val="0"/>
    <w:rPr>
      <w:sz w:val="24"/>
      <w:szCs w:val="20"/>
    </w:rPr>
  </w:style>
  <w:style w:type="table" w:customStyle="1" w:styleId="267">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68">
    <w:name w:val="标题 31"/>
    <w:basedOn w:val="1"/>
    <w:qFormat/>
    <w:uiPriority w:val="1"/>
    <w:pPr>
      <w:spacing w:before="51"/>
      <w:ind w:left="424"/>
      <w:jc w:val="left"/>
      <w:outlineLvl w:val="3"/>
    </w:pPr>
    <w:rPr>
      <w:rFonts w:eastAsia="Times New Roman"/>
      <w:kern w:val="0"/>
      <w:szCs w:val="28"/>
      <w:lang w:eastAsia="en-US"/>
    </w:rPr>
  </w:style>
  <w:style w:type="paragraph" w:customStyle="1" w:styleId="269">
    <w:name w:val="Table Paragraph"/>
    <w:basedOn w:val="1"/>
    <w:qFormat/>
    <w:uiPriority w:val="1"/>
    <w:pPr>
      <w:jc w:val="left"/>
    </w:pPr>
    <w:rPr>
      <w:rFonts w:ascii="Calibri" w:hAnsi="Calibri"/>
      <w:kern w:val="0"/>
      <w:sz w:val="22"/>
      <w:szCs w:val="22"/>
      <w:lang w:eastAsia="en-US"/>
    </w:rPr>
  </w:style>
  <w:style w:type="character" w:customStyle="1" w:styleId="270">
    <w:name w:val="font01"/>
    <w:basedOn w:val="59"/>
    <w:qFormat/>
    <w:uiPriority w:val="0"/>
    <w:rPr>
      <w:rFonts w:hint="eastAsia" w:ascii="宋体" w:hAnsi="宋体" w:eastAsia="宋体" w:cs="宋体"/>
      <w:color w:val="000000"/>
      <w:sz w:val="22"/>
      <w:szCs w:val="22"/>
      <w:u w:val="none"/>
    </w:rPr>
  </w:style>
  <w:style w:type="character" w:customStyle="1" w:styleId="271">
    <w:name w:val="font51"/>
    <w:basedOn w:val="59"/>
    <w:qFormat/>
    <w:uiPriority w:val="0"/>
    <w:rPr>
      <w:rFonts w:hint="eastAsia" w:ascii="宋体" w:hAnsi="宋体" w:eastAsia="宋体" w:cs="宋体"/>
      <w:color w:val="000000"/>
      <w:sz w:val="24"/>
      <w:szCs w:val="24"/>
      <w:u w:val="none"/>
    </w:rPr>
  </w:style>
  <w:style w:type="character" w:customStyle="1" w:styleId="272">
    <w:name w:val="font71"/>
    <w:basedOn w:val="59"/>
    <w:qFormat/>
    <w:uiPriority w:val="0"/>
    <w:rPr>
      <w:rFonts w:ascii="宋体" w:hAnsi="宋体" w:eastAsia="宋体" w:cs="宋体"/>
      <w:b/>
      <w:bCs/>
      <w:color w:val="000000"/>
      <w:sz w:val="24"/>
      <w:szCs w:val="24"/>
      <w:u w:val="none"/>
    </w:rPr>
  </w:style>
  <w:style w:type="character" w:customStyle="1" w:styleId="273">
    <w:name w:val="font11"/>
    <w:basedOn w:val="59"/>
    <w:qFormat/>
    <w:uiPriority w:val="0"/>
    <w:rPr>
      <w:rFonts w:hint="eastAsia" w:ascii="宋体" w:hAnsi="宋体" w:eastAsia="宋体" w:cs="宋体"/>
      <w:color w:val="000000"/>
      <w:sz w:val="20"/>
      <w:szCs w:val="20"/>
      <w:u w:val="none"/>
    </w:rPr>
  </w:style>
  <w:style w:type="character" w:customStyle="1" w:styleId="274">
    <w:name w:val="font91"/>
    <w:basedOn w:val="59"/>
    <w:qFormat/>
    <w:uiPriority w:val="0"/>
    <w:rPr>
      <w:rFonts w:hint="eastAsia" w:ascii="宋体" w:hAnsi="宋体" w:eastAsia="宋体" w:cs="宋体"/>
      <w:color w:val="FF0000"/>
      <w:sz w:val="20"/>
      <w:szCs w:val="20"/>
      <w:u w:val="none"/>
    </w:rPr>
  </w:style>
  <w:style w:type="character" w:customStyle="1" w:styleId="275">
    <w:name w:val="font131"/>
    <w:basedOn w:val="59"/>
    <w:qFormat/>
    <w:uiPriority w:val="0"/>
    <w:rPr>
      <w:rFonts w:hint="eastAsia" w:ascii="宋体" w:hAnsi="宋体" w:eastAsia="宋体" w:cs="宋体"/>
      <w:color w:val="FF0000"/>
      <w:sz w:val="20"/>
      <w:szCs w:val="20"/>
      <w:u w:val="none"/>
    </w:rPr>
  </w:style>
  <w:style w:type="character" w:customStyle="1" w:styleId="276">
    <w:name w:val="font151"/>
    <w:basedOn w:val="59"/>
    <w:qFormat/>
    <w:uiPriority w:val="0"/>
    <w:rPr>
      <w:rFonts w:ascii="Symbol" w:hAnsi="Symbol" w:cs="Symbol"/>
      <w:color w:val="000000"/>
      <w:sz w:val="20"/>
      <w:szCs w:val="20"/>
      <w:u w:val="none"/>
    </w:rPr>
  </w:style>
  <w:style w:type="character" w:customStyle="1" w:styleId="277">
    <w:name w:val="font8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73F2F-C886-4F91-BEBD-76711FD8E2A7}">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10500</Words>
  <Characters>11214</Characters>
  <Lines>19</Lines>
  <Paragraphs>25</Paragraphs>
  <TotalTime>74</TotalTime>
  <ScaleCrop>false</ScaleCrop>
  <LinksUpToDate>false</LinksUpToDate>
  <CharactersWithSpaces>11663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2024-07-26T00:31:00Z</dcterms:created>
  <dc:creator>罗成</dc:creator>
  <cp:lastModifiedBy>-</cp:lastModifiedBy>
  <cp:lastPrinted>2022-05-12T02:01:00Z</cp:lastPrinted>
  <dcterms:modified xsi:type="dcterms:W3CDTF">2024-09-23T01:31:51Z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2C41F766A5E14768B23DD5CAFFCA2A0A_13</vt:lpwstr>
  </property>
</Properties>
</file>