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9B17">
      <w:pPr>
        <w:jc w:val="center"/>
        <w:outlineLvl w:val="0"/>
        <w:rPr>
          <w:rFonts w:hint="eastAsia" w:ascii="宋体" w:hAnsi="宋体" w:eastAsia="宋体" w:cs="宋体"/>
          <w:b/>
          <w:bCs/>
          <w:color w:val="FF0000"/>
          <w:spacing w:val="80"/>
          <w:sz w:val="44"/>
          <w:szCs w:val="44"/>
        </w:rPr>
      </w:pPr>
    </w:p>
    <w:p w14:paraId="301BE98B">
      <w:pPr>
        <w:jc w:val="center"/>
        <w:outlineLvl w:val="0"/>
        <w:rPr>
          <w:rFonts w:hint="eastAsia" w:ascii="宋体" w:hAnsi="宋体" w:eastAsia="宋体" w:cs="宋体"/>
          <w:b/>
          <w:bCs/>
          <w:color w:val="FF0000"/>
          <w:spacing w:val="80"/>
          <w:sz w:val="44"/>
          <w:szCs w:val="44"/>
        </w:rPr>
      </w:pPr>
    </w:p>
    <w:p w14:paraId="1482979A">
      <w:pPr>
        <w:jc w:val="center"/>
        <w:outlineLvl w:val="0"/>
        <w:rPr>
          <w:rFonts w:hint="eastAsia" w:ascii="宋体" w:hAnsi="宋体" w:eastAsia="宋体" w:cs="宋体"/>
          <w:spacing w:val="80"/>
          <w:sz w:val="96"/>
          <w:szCs w:val="96"/>
        </w:rPr>
      </w:pPr>
    </w:p>
    <w:p w14:paraId="70FEA50A">
      <w:pPr>
        <w:jc w:val="center"/>
        <w:outlineLvl w:val="0"/>
        <w:rPr>
          <w:rFonts w:hint="eastAsia" w:ascii="方正公文小标宋" w:hAnsi="方正公文小标宋" w:eastAsia="方正公文小标宋" w:cs="方正公文小标宋"/>
          <w:spacing w:val="80"/>
          <w:sz w:val="80"/>
          <w:szCs w:val="80"/>
        </w:rPr>
      </w:pPr>
      <w:r>
        <w:rPr>
          <w:rFonts w:hint="eastAsia" w:ascii="方正公文小标宋" w:hAnsi="方正公文小标宋" w:eastAsia="方正公文小标宋" w:cs="方正公文小标宋"/>
          <w:spacing w:val="80"/>
          <w:sz w:val="80"/>
          <w:szCs w:val="80"/>
        </w:rPr>
        <w:t>货物网上竞采文件</w:t>
      </w:r>
    </w:p>
    <w:p w14:paraId="740E7661">
      <w:pPr>
        <w:spacing w:line="700" w:lineRule="exact"/>
        <w:ind w:left="3435" w:leftChars="557" w:hanging="2265" w:hangingChars="708"/>
        <w:rPr>
          <w:rFonts w:hint="eastAsia" w:ascii="宋体" w:hAnsi="宋体" w:eastAsia="宋体" w:cs="宋体"/>
          <w:sz w:val="32"/>
          <w:szCs w:val="32"/>
        </w:rPr>
      </w:pPr>
    </w:p>
    <w:p w14:paraId="69E049EB">
      <w:pPr>
        <w:spacing w:line="700" w:lineRule="exact"/>
        <w:ind w:left="3435" w:leftChars="557" w:hanging="2265" w:hangingChars="708"/>
        <w:rPr>
          <w:rFonts w:hint="eastAsia" w:ascii="宋体" w:hAnsi="宋体" w:eastAsia="宋体" w:cs="宋体"/>
          <w:sz w:val="32"/>
          <w:szCs w:val="32"/>
        </w:rPr>
      </w:pPr>
    </w:p>
    <w:p w14:paraId="5C809EC0">
      <w:pPr>
        <w:spacing w:line="700" w:lineRule="exact"/>
        <w:ind w:left="3435" w:leftChars="557" w:hanging="2265" w:hangingChars="708"/>
        <w:rPr>
          <w:rFonts w:hint="eastAsia" w:ascii="宋体" w:hAnsi="宋体" w:eastAsia="宋体" w:cs="宋体"/>
          <w:sz w:val="32"/>
          <w:szCs w:val="32"/>
        </w:rPr>
      </w:pPr>
    </w:p>
    <w:p w14:paraId="4D57188C">
      <w:pPr>
        <w:spacing w:line="700" w:lineRule="exact"/>
        <w:ind w:left="3718" w:leftChars="557" w:hanging="2548" w:hangingChars="708"/>
        <w:rPr>
          <w:rFonts w:hint="eastAsia" w:ascii="方正公文小标宋" w:hAnsi="方正公文小标宋" w:eastAsia="方正公文小标宋" w:cs="方正公文小标宋"/>
          <w:sz w:val="36"/>
          <w:szCs w:val="36"/>
        </w:rPr>
      </w:pPr>
    </w:p>
    <w:p w14:paraId="215582CF">
      <w:pPr>
        <w:spacing w:line="360" w:lineRule="auto"/>
        <w:ind w:firstLine="720" w:firstLineChars="200"/>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rPr>
        <w:t>项目名称：</w:t>
      </w:r>
      <w:r>
        <w:rPr>
          <w:rFonts w:hint="eastAsia" w:ascii="方正公文小标宋" w:hAnsi="方正公文小标宋" w:eastAsia="方正公文小标宋" w:cs="方正公文小标宋"/>
          <w:sz w:val="36"/>
          <w:szCs w:val="36"/>
          <w:lang w:val="en-US" w:eastAsia="zh-CN"/>
        </w:rPr>
        <w:t>龙兴中心小学校护眼灯采购项目</w:t>
      </w:r>
    </w:p>
    <w:p w14:paraId="688811C5">
      <w:pPr>
        <w:spacing w:line="360" w:lineRule="auto"/>
        <w:ind w:firstLine="720" w:firstLineChars="200"/>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采购单位：</w:t>
      </w:r>
      <w:r>
        <w:rPr>
          <w:rFonts w:hint="eastAsia" w:ascii="方正公文小标宋" w:hAnsi="方正公文小标宋" w:eastAsia="方正公文小标宋" w:cs="方正公文小标宋"/>
          <w:sz w:val="36"/>
          <w:szCs w:val="36"/>
          <w:lang w:val="en-US" w:eastAsia="zh-CN"/>
        </w:rPr>
        <w:t>重庆市渝北区龙兴中心小学校</w:t>
      </w:r>
    </w:p>
    <w:p w14:paraId="471E92D9">
      <w:pPr>
        <w:spacing w:line="700" w:lineRule="exact"/>
        <w:ind w:left="3718" w:leftChars="557" w:hanging="2548" w:hangingChars="708"/>
        <w:rPr>
          <w:rFonts w:hint="eastAsia" w:ascii="宋体" w:hAnsi="宋体" w:eastAsia="宋体" w:cs="宋体"/>
          <w:sz w:val="36"/>
          <w:szCs w:val="36"/>
        </w:rPr>
      </w:pPr>
    </w:p>
    <w:p w14:paraId="7AF47854">
      <w:pPr>
        <w:spacing w:line="700" w:lineRule="exact"/>
        <w:ind w:left="3718" w:leftChars="557" w:hanging="2548" w:hangingChars="708"/>
        <w:rPr>
          <w:rFonts w:hint="eastAsia" w:ascii="宋体" w:hAnsi="宋体" w:eastAsia="宋体" w:cs="宋体"/>
          <w:sz w:val="36"/>
          <w:szCs w:val="36"/>
        </w:rPr>
      </w:pPr>
    </w:p>
    <w:p w14:paraId="0FB92521">
      <w:pPr>
        <w:spacing w:line="700" w:lineRule="exact"/>
        <w:ind w:left="3718" w:leftChars="557" w:hanging="2548" w:hangingChars="708"/>
        <w:rPr>
          <w:rFonts w:hint="eastAsia" w:ascii="宋体" w:hAnsi="宋体" w:eastAsia="宋体" w:cs="宋体"/>
          <w:sz w:val="36"/>
          <w:szCs w:val="36"/>
        </w:rPr>
      </w:pPr>
    </w:p>
    <w:p w14:paraId="4CD22B25">
      <w:pPr>
        <w:spacing w:line="700" w:lineRule="exact"/>
        <w:ind w:left="3718" w:leftChars="557" w:hanging="2548" w:hangingChars="708"/>
        <w:rPr>
          <w:rFonts w:hint="eastAsia" w:ascii="宋体" w:hAnsi="宋体" w:eastAsia="宋体" w:cs="宋体"/>
          <w:sz w:val="36"/>
          <w:szCs w:val="36"/>
        </w:rPr>
      </w:pPr>
    </w:p>
    <w:p w14:paraId="35CE0136">
      <w:pPr>
        <w:spacing w:line="700" w:lineRule="exact"/>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二〇二</w:t>
      </w:r>
      <w:r>
        <w:rPr>
          <w:rFonts w:hint="eastAsia" w:ascii="方正公文小标宋" w:hAnsi="方正公文小标宋" w:eastAsia="方正公文小标宋" w:cs="方正公文小标宋"/>
          <w:sz w:val="36"/>
          <w:szCs w:val="36"/>
          <w:lang w:eastAsia="zh-CN"/>
        </w:rPr>
        <w:t>五</w:t>
      </w:r>
      <w:r>
        <w:rPr>
          <w:rFonts w:hint="eastAsia" w:ascii="方正公文小标宋" w:hAnsi="方正公文小标宋" w:eastAsia="方正公文小标宋" w:cs="方正公文小标宋"/>
          <w:sz w:val="36"/>
          <w:szCs w:val="36"/>
        </w:rPr>
        <w:t>年</w:t>
      </w:r>
      <w:r>
        <w:rPr>
          <w:rFonts w:hint="eastAsia" w:ascii="方正公文小标宋" w:hAnsi="方正公文小标宋" w:eastAsia="方正公文小标宋" w:cs="方正公文小标宋"/>
          <w:sz w:val="36"/>
          <w:szCs w:val="36"/>
          <w:lang w:eastAsia="zh-CN"/>
        </w:rPr>
        <w:t>七</w:t>
      </w:r>
      <w:r>
        <w:rPr>
          <w:rFonts w:hint="eastAsia" w:ascii="方正公文小标宋" w:hAnsi="方正公文小标宋" w:eastAsia="方正公文小标宋" w:cs="方正公文小标宋"/>
          <w:sz w:val="36"/>
          <w:szCs w:val="36"/>
        </w:rPr>
        <w:t>月</w:t>
      </w:r>
    </w:p>
    <w:p w14:paraId="3B113522">
      <w:pPr>
        <w:spacing w:line="700" w:lineRule="exact"/>
        <w:ind w:left="3435" w:leftChars="557" w:hanging="2265" w:hangingChars="708"/>
        <w:rPr>
          <w:rFonts w:hint="eastAsia" w:ascii="宋体" w:hAnsi="宋体" w:eastAsia="宋体" w:cs="宋体"/>
          <w:sz w:val="32"/>
          <w:szCs w:val="32"/>
        </w:rPr>
      </w:pPr>
    </w:p>
    <w:p w14:paraId="1E301BE4">
      <w:pPr>
        <w:widowControl/>
        <w:jc w:val="left"/>
        <w:rPr>
          <w:rFonts w:hint="eastAsia" w:ascii="宋体" w:hAnsi="宋体" w:eastAsia="宋体" w:cs="宋体"/>
          <w:b/>
          <w:sz w:val="24"/>
          <w:szCs w:val="24"/>
        </w:rPr>
      </w:pPr>
      <w:r>
        <w:rPr>
          <w:rFonts w:hint="eastAsia" w:ascii="宋体" w:hAnsi="宋体" w:eastAsia="宋体" w:cs="宋体"/>
          <w:sz w:val="24"/>
          <w:szCs w:val="24"/>
        </w:rPr>
        <w:br w:type="page"/>
      </w:r>
    </w:p>
    <w:p w14:paraId="4E7C475A">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一、采购内容</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1490"/>
        <w:gridCol w:w="1903"/>
        <w:gridCol w:w="1231"/>
      </w:tblGrid>
      <w:tr w14:paraId="37B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86" w:type="dxa"/>
            <w:tcBorders>
              <w:top w:val="single" w:color="auto" w:sz="4" w:space="0"/>
              <w:left w:val="single" w:color="auto" w:sz="4" w:space="0"/>
              <w:right w:val="single" w:color="auto" w:sz="4" w:space="0"/>
            </w:tcBorders>
            <w:vAlign w:val="center"/>
          </w:tcPr>
          <w:p w14:paraId="10CA1480">
            <w:pPr>
              <w:widowControl/>
              <w:spacing w:line="360" w:lineRule="auto"/>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项目名称</w:t>
            </w:r>
          </w:p>
        </w:tc>
        <w:tc>
          <w:tcPr>
            <w:tcW w:w="1490" w:type="dxa"/>
            <w:tcBorders>
              <w:top w:val="single" w:color="auto" w:sz="4" w:space="0"/>
              <w:left w:val="single" w:color="auto" w:sz="4" w:space="0"/>
              <w:right w:val="single" w:color="auto" w:sz="4" w:space="0"/>
            </w:tcBorders>
            <w:vAlign w:val="center"/>
          </w:tcPr>
          <w:p w14:paraId="33812CF2">
            <w:pPr>
              <w:widowControl/>
              <w:spacing w:line="360" w:lineRule="auto"/>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采购预算</w:t>
            </w:r>
          </w:p>
          <w:p w14:paraId="7DA60D76">
            <w:pPr>
              <w:spacing w:line="360" w:lineRule="auto"/>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（元）</w:t>
            </w:r>
          </w:p>
        </w:tc>
        <w:tc>
          <w:tcPr>
            <w:tcW w:w="1903" w:type="dxa"/>
            <w:tcBorders>
              <w:top w:val="single" w:color="auto" w:sz="4" w:space="0"/>
              <w:left w:val="single" w:color="auto" w:sz="4" w:space="0"/>
              <w:right w:val="single" w:color="auto" w:sz="4" w:space="0"/>
            </w:tcBorders>
            <w:vAlign w:val="center"/>
          </w:tcPr>
          <w:p w14:paraId="665F67FE">
            <w:pPr>
              <w:spacing w:line="360" w:lineRule="auto"/>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资金来源</w:t>
            </w:r>
          </w:p>
        </w:tc>
        <w:tc>
          <w:tcPr>
            <w:tcW w:w="1231" w:type="dxa"/>
            <w:tcBorders>
              <w:top w:val="single" w:color="auto" w:sz="4" w:space="0"/>
              <w:left w:val="single" w:color="auto" w:sz="4" w:space="0"/>
              <w:right w:val="single" w:color="auto" w:sz="4" w:space="0"/>
            </w:tcBorders>
            <w:vAlign w:val="center"/>
          </w:tcPr>
          <w:p w14:paraId="75256C7D">
            <w:pPr>
              <w:spacing w:line="360" w:lineRule="auto"/>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备注</w:t>
            </w:r>
          </w:p>
        </w:tc>
      </w:tr>
      <w:tr w14:paraId="3AAB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86" w:type="dxa"/>
            <w:tcBorders>
              <w:top w:val="single" w:color="auto" w:sz="4" w:space="0"/>
              <w:left w:val="single" w:color="auto" w:sz="4" w:space="0"/>
              <w:right w:val="single" w:color="auto" w:sz="4" w:space="0"/>
            </w:tcBorders>
            <w:vAlign w:val="center"/>
          </w:tcPr>
          <w:p w14:paraId="576ED7AE">
            <w:pPr>
              <w:widowControl/>
              <w:spacing w:line="360" w:lineRule="auto"/>
              <w:jc w:val="center"/>
              <w:rPr>
                <w:rFonts w:hint="eastAsia" w:ascii="方正仿宋_GBK" w:hAnsi="方正仿宋_GBK" w:eastAsia="方正仿宋_GBK" w:cs="方正仿宋_GBK"/>
                <w:color w:val="FF0000"/>
                <w:kern w:val="0"/>
                <w:sz w:val="28"/>
                <w:szCs w:val="28"/>
                <w:lang w:val="en-US"/>
              </w:rPr>
            </w:pPr>
            <w:r>
              <w:rPr>
                <w:rFonts w:hint="eastAsia" w:ascii="方正仿宋_GBK" w:hAnsi="方正仿宋_GBK" w:eastAsia="方正仿宋_GBK" w:cs="方正仿宋_GBK"/>
                <w:sz w:val="28"/>
                <w:szCs w:val="28"/>
                <w:lang w:val="en-US" w:eastAsia="zh-CN"/>
              </w:rPr>
              <w:t>龙兴中心小学校护眼灯采购项目</w:t>
            </w:r>
          </w:p>
        </w:tc>
        <w:tc>
          <w:tcPr>
            <w:tcW w:w="1490" w:type="dxa"/>
            <w:tcBorders>
              <w:top w:val="single" w:color="auto" w:sz="4" w:space="0"/>
              <w:left w:val="single" w:color="auto" w:sz="4" w:space="0"/>
              <w:right w:val="single" w:color="auto" w:sz="4" w:space="0"/>
            </w:tcBorders>
            <w:vAlign w:val="center"/>
          </w:tcPr>
          <w:p w14:paraId="52550C2C">
            <w:pPr>
              <w:widowControl/>
              <w:spacing w:line="360" w:lineRule="auto"/>
              <w:jc w:val="center"/>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kern w:val="0"/>
                <w:sz w:val="28"/>
                <w:szCs w:val="28"/>
                <w:lang w:val="en-US" w:eastAsia="zh-CN"/>
              </w:rPr>
              <w:t>10.296</w:t>
            </w:r>
            <w:r>
              <w:rPr>
                <w:rFonts w:hint="eastAsia" w:ascii="方正仿宋_GBK" w:hAnsi="方正仿宋_GBK" w:eastAsia="方正仿宋_GBK" w:cs="方正仿宋_GBK"/>
                <w:color w:val="FF0000"/>
                <w:kern w:val="0"/>
                <w:sz w:val="28"/>
                <w:szCs w:val="28"/>
              </w:rPr>
              <w:t xml:space="preserve">  </w:t>
            </w:r>
          </w:p>
        </w:tc>
        <w:tc>
          <w:tcPr>
            <w:tcW w:w="1903" w:type="dxa"/>
            <w:tcBorders>
              <w:top w:val="single" w:color="auto" w:sz="4" w:space="0"/>
              <w:left w:val="single" w:color="auto" w:sz="4" w:space="0"/>
              <w:right w:val="single" w:color="auto" w:sz="4" w:space="0"/>
            </w:tcBorders>
            <w:vAlign w:val="center"/>
          </w:tcPr>
          <w:p w14:paraId="355D3811">
            <w:pPr>
              <w:widowControl/>
              <w:spacing w:line="36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FF0000"/>
                <w:sz w:val="28"/>
                <w:szCs w:val="28"/>
              </w:rPr>
              <w:t>财政资金</w:t>
            </w:r>
          </w:p>
        </w:tc>
        <w:tc>
          <w:tcPr>
            <w:tcW w:w="1231" w:type="dxa"/>
            <w:tcBorders>
              <w:top w:val="single" w:color="auto" w:sz="4" w:space="0"/>
              <w:left w:val="single" w:color="auto" w:sz="4" w:space="0"/>
              <w:right w:val="single" w:color="auto" w:sz="4" w:space="0"/>
            </w:tcBorders>
            <w:vAlign w:val="center"/>
          </w:tcPr>
          <w:p w14:paraId="543CC701">
            <w:pPr>
              <w:spacing w:line="360" w:lineRule="auto"/>
              <w:rPr>
                <w:rFonts w:hint="eastAsia" w:ascii="方正仿宋_GBK" w:hAnsi="方正仿宋_GBK" w:eastAsia="方正仿宋_GBK" w:cs="方正仿宋_GBK"/>
                <w:b/>
                <w:sz w:val="28"/>
                <w:szCs w:val="28"/>
              </w:rPr>
            </w:pPr>
          </w:p>
        </w:tc>
      </w:tr>
    </w:tbl>
    <w:p w14:paraId="5BCC54E5">
      <w:pPr>
        <w:pStyle w:val="2"/>
        <w:spacing w:before="0" w:after="0" w:line="360" w:lineRule="auto"/>
        <w:rPr>
          <w:rFonts w:hint="eastAsia" w:ascii="方正仿宋_GBK" w:hAnsi="方正仿宋_GBK" w:eastAsia="方正仿宋_GBK" w:cs="方正仿宋_GBK"/>
          <w:sz w:val="28"/>
          <w:szCs w:val="28"/>
        </w:rPr>
      </w:pPr>
    </w:p>
    <w:p w14:paraId="690D4BE3">
      <w:pPr>
        <w:pStyle w:val="2"/>
        <w:numPr>
          <w:ilvl w:val="0"/>
          <w:numId w:val="1"/>
        </w:numPr>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供应商资格条件</w:t>
      </w:r>
    </w:p>
    <w:p w14:paraId="1444003F">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符合《中华人民共和国政府采购法》第二十二条规定。</w:t>
      </w:r>
    </w:p>
    <w:p w14:paraId="617429C2">
      <w:pPr>
        <w:numPr>
          <w:ilvl w:val="0"/>
          <w:numId w:val="0"/>
        </w:numPr>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（一）基本资格</w:t>
      </w:r>
      <w:r>
        <w:rPr>
          <w:rFonts w:hint="eastAsia" w:ascii="方正仿宋_GBK" w:hAnsi="方正仿宋_GBK" w:eastAsia="方正仿宋_GBK" w:cs="方正仿宋_GBK"/>
          <w:sz w:val="28"/>
          <w:szCs w:val="28"/>
        </w:rPr>
        <w:t>要求</w:t>
      </w:r>
      <w:bookmarkStart w:id="0" w:name="_GoBack"/>
      <w:bookmarkEnd w:id="0"/>
    </w:p>
    <w:p w14:paraId="65187527">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具有独立承担民事责任的能力;</w:t>
      </w:r>
    </w:p>
    <w:p w14:paraId="0BD55FA0">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2.具有良好的商业信誉和健全的财务会计制度;</w:t>
      </w:r>
    </w:p>
    <w:p w14:paraId="16DE05AE">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3.具有履行合同所必需的设备和专业技术能力;</w:t>
      </w:r>
    </w:p>
    <w:p w14:paraId="7E380597">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14:paraId="22AAB3FD">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5.参加政府采购活动前三年内，在经营活动中没有重大违法记录;</w:t>
      </w:r>
    </w:p>
    <w:p w14:paraId="3F06D590">
      <w:pPr>
        <w:numPr>
          <w:ilvl w:val="0"/>
          <w:numId w:val="0"/>
        </w:num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6.法律、行政法规规定的其他条件。</w:t>
      </w:r>
    </w:p>
    <w:p w14:paraId="0FCA2B7C">
      <w:pPr>
        <w:snapToGrid w:val="0"/>
        <w:spacing w:line="360" w:lineRule="auto"/>
        <w:ind w:firstLine="560" w:firstLineChars="200"/>
        <w:rPr>
          <w:rFonts w:hint="eastAsia" w:ascii="方正仿宋_GBK" w:hAnsi="方正仿宋_GBK" w:eastAsia="方正仿宋_GBK" w:cs="方正仿宋_GBK"/>
          <w:b/>
          <w:bCs/>
          <w:i/>
          <w:iCs/>
          <w:color w:val="FF0000"/>
          <w:sz w:val="28"/>
          <w:szCs w:val="28"/>
          <w:u w:val="single"/>
        </w:rPr>
      </w:pPr>
      <w:r>
        <w:rPr>
          <w:rFonts w:hint="eastAsia" w:ascii="方正仿宋_GBK" w:hAnsi="方正仿宋_GBK" w:eastAsia="方正仿宋_GBK" w:cs="方正仿宋_GBK"/>
          <w:sz w:val="28"/>
          <w:szCs w:val="28"/>
        </w:rPr>
        <w:t>（二）特定资格要求：投标供应商需上传厂商提供的原厂售后服务承诺函的扫描件，签合同时提供原件。</w:t>
      </w:r>
    </w:p>
    <w:p w14:paraId="59F2E92B">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三、项目的技术规格、数量及质量要求</w:t>
      </w:r>
    </w:p>
    <w:p w14:paraId="4D297478">
      <w:pPr>
        <w:pStyle w:val="2"/>
        <w:spacing w:before="0" w:after="0" w:line="360" w:lineRule="auto"/>
        <w:ind w:firstLine="280" w:firstLineChars="100"/>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（一）采购</w:t>
      </w:r>
      <w:r>
        <w:rPr>
          <w:rFonts w:hint="eastAsia" w:ascii="方正仿宋_GBK" w:hAnsi="方正仿宋_GBK" w:eastAsia="方正仿宋_GBK" w:cs="方正仿宋_GBK"/>
          <w:b w:val="0"/>
          <w:bCs/>
          <w:sz w:val="28"/>
          <w:szCs w:val="28"/>
        </w:rPr>
        <w:t>数量</w:t>
      </w:r>
      <w:r>
        <w:rPr>
          <w:rFonts w:hint="eastAsia" w:ascii="方正仿宋_GBK" w:hAnsi="方正仿宋_GBK" w:eastAsia="方正仿宋_GBK" w:cs="方正仿宋_GBK"/>
          <w:b w:val="0"/>
          <w:bCs/>
          <w:sz w:val="28"/>
          <w:szCs w:val="28"/>
          <w:lang w:eastAsia="zh-CN"/>
        </w:rPr>
        <w:t>清单</w:t>
      </w:r>
    </w:p>
    <w:tbl>
      <w:tblPr>
        <w:tblStyle w:val="7"/>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67"/>
        <w:gridCol w:w="2255"/>
        <w:gridCol w:w="810"/>
        <w:gridCol w:w="825"/>
        <w:gridCol w:w="1230"/>
        <w:gridCol w:w="1223"/>
      </w:tblGrid>
      <w:tr w14:paraId="5F3A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2" w:type="dxa"/>
            <w:noWrap w:val="0"/>
            <w:vAlign w:val="center"/>
          </w:tcPr>
          <w:p w14:paraId="4B60FF57">
            <w:pPr>
              <w:snapToGrid w:val="0"/>
              <w:spacing w:line="240" w:lineRule="auto"/>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序号</w:t>
            </w:r>
          </w:p>
        </w:tc>
        <w:tc>
          <w:tcPr>
            <w:tcW w:w="1667" w:type="dxa"/>
            <w:noWrap w:val="0"/>
            <w:vAlign w:val="center"/>
          </w:tcPr>
          <w:p w14:paraId="55982014">
            <w:pPr>
              <w:snapToGrid w:val="0"/>
              <w:spacing w:line="240" w:lineRule="auto"/>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品名</w:t>
            </w:r>
          </w:p>
        </w:tc>
        <w:tc>
          <w:tcPr>
            <w:tcW w:w="2255" w:type="dxa"/>
            <w:shd w:val="clear" w:color="auto" w:fill="auto"/>
            <w:noWrap w:val="0"/>
            <w:vAlign w:val="center"/>
          </w:tcPr>
          <w:p w14:paraId="47A1D770">
            <w:pPr>
              <w:snapToGrid w:val="0"/>
              <w:spacing w:line="240" w:lineRule="auto"/>
              <w:jc w:val="center"/>
              <w:rPr>
                <w:rFonts w:hint="eastAsia" w:ascii="方正仿宋_GBK" w:hAnsi="方正仿宋_GBK" w:eastAsia="方正仿宋_GBK" w:cs="方正仿宋_GBK"/>
                <w:b/>
                <w:bCs/>
                <w:color w:val="000000"/>
                <w:sz w:val="21"/>
                <w:szCs w:val="21"/>
                <w:lang w:val="en-US" w:eastAsia="zh-CN" w:bidi="ar-SA"/>
              </w:rPr>
            </w:pPr>
            <w:r>
              <w:rPr>
                <w:rFonts w:hint="eastAsia" w:ascii="方正仿宋_GBK" w:hAnsi="方正仿宋_GBK" w:eastAsia="方正仿宋_GBK" w:cs="方正仿宋_GBK"/>
                <w:b/>
                <w:bCs/>
                <w:sz w:val="21"/>
                <w:szCs w:val="21"/>
                <w:lang w:eastAsia="zh-CN"/>
              </w:rPr>
              <w:t>品牌、型号</w:t>
            </w:r>
          </w:p>
        </w:tc>
        <w:tc>
          <w:tcPr>
            <w:tcW w:w="810" w:type="dxa"/>
            <w:shd w:val="clear" w:color="auto" w:fill="auto"/>
            <w:noWrap w:val="0"/>
            <w:vAlign w:val="center"/>
          </w:tcPr>
          <w:p w14:paraId="192A2D42">
            <w:pPr>
              <w:snapToGrid w:val="0"/>
              <w:spacing w:line="240" w:lineRule="auto"/>
              <w:jc w:val="center"/>
              <w:rPr>
                <w:rFonts w:hint="eastAsia" w:ascii="方正仿宋_GBK" w:hAnsi="方正仿宋_GBK" w:eastAsia="方正仿宋_GBK" w:cs="方正仿宋_GBK"/>
                <w:b/>
                <w:bCs/>
                <w:color w:val="000000"/>
                <w:sz w:val="21"/>
                <w:szCs w:val="21"/>
                <w:lang w:val="en-US" w:eastAsia="zh-CN" w:bidi="ar-SA"/>
              </w:rPr>
            </w:pPr>
            <w:r>
              <w:rPr>
                <w:rFonts w:hint="eastAsia" w:ascii="方正仿宋_GBK" w:hAnsi="方正仿宋_GBK" w:eastAsia="方正仿宋_GBK" w:cs="方正仿宋_GBK"/>
                <w:b/>
                <w:bCs/>
                <w:sz w:val="21"/>
                <w:szCs w:val="21"/>
              </w:rPr>
              <w:t>单位</w:t>
            </w:r>
          </w:p>
        </w:tc>
        <w:tc>
          <w:tcPr>
            <w:tcW w:w="825" w:type="dxa"/>
            <w:noWrap w:val="0"/>
            <w:vAlign w:val="center"/>
          </w:tcPr>
          <w:p w14:paraId="7697F010">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数量</w:t>
            </w:r>
          </w:p>
        </w:tc>
        <w:tc>
          <w:tcPr>
            <w:tcW w:w="1230" w:type="dxa"/>
            <w:noWrap w:val="0"/>
            <w:vAlign w:val="center"/>
          </w:tcPr>
          <w:p w14:paraId="6B39FAA5">
            <w:pPr>
              <w:snapToGrid w:val="0"/>
              <w:spacing w:line="240" w:lineRule="auto"/>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单价（元）</w:t>
            </w:r>
          </w:p>
        </w:tc>
        <w:tc>
          <w:tcPr>
            <w:tcW w:w="1223" w:type="dxa"/>
            <w:noWrap w:val="0"/>
            <w:vAlign w:val="center"/>
          </w:tcPr>
          <w:p w14:paraId="6F648C34">
            <w:pPr>
              <w:snapToGrid w:val="0"/>
              <w:spacing w:line="240" w:lineRule="auto"/>
              <w:jc w:val="center"/>
              <w:rPr>
                <w:rFonts w:hint="default"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金额（元）</w:t>
            </w:r>
          </w:p>
        </w:tc>
      </w:tr>
      <w:tr w14:paraId="59DE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22" w:type="dxa"/>
            <w:noWrap w:val="0"/>
            <w:vAlign w:val="center"/>
          </w:tcPr>
          <w:p w14:paraId="2695ECEC">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667" w:type="dxa"/>
            <w:noWrap w:val="0"/>
            <w:vAlign w:val="center"/>
          </w:tcPr>
          <w:p w14:paraId="6AE30E13">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LED黑板护眼灯</w:t>
            </w:r>
          </w:p>
        </w:tc>
        <w:tc>
          <w:tcPr>
            <w:tcW w:w="2255" w:type="dxa"/>
            <w:shd w:val="clear" w:color="auto" w:fill="auto"/>
            <w:noWrap w:val="0"/>
            <w:vAlign w:val="center"/>
          </w:tcPr>
          <w:p w14:paraId="17EEAEB2">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品牌：捷能通，</w:t>
            </w:r>
          </w:p>
          <w:p w14:paraId="2DE47D76">
            <w:pPr>
              <w:snapToGrid w:val="0"/>
              <w:spacing w:line="240" w:lineRule="auto"/>
              <w:jc w:val="center"/>
              <w:rPr>
                <w:rFonts w:hint="eastAsia" w:ascii="方正仿宋_GBK" w:hAnsi="方正仿宋_GBK" w:eastAsia="方正仿宋_GBK" w:cs="方正仿宋_GBK"/>
                <w:b w:val="0"/>
                <w:bCs w:val="0"/>
                <w:color w:val="000000"/>
                <w:sz w:val="21"/>
                <w:szCs w:val="21"/>
                <w:lang w:val="en-US" w:eastAsia="zh-CN" w:bidi="ar-SA"/>
              </w:rPr>
            </w:pPr>
            <w:r>
              <w:rPr>
                <w:rFonts w:hint="eastAsia" w:ascii="方正仿宋_GBK" w:hAnsi="方正仿宋_GBK" w:eastAsia="方正仿宋_GBK" w:cs="方正仿宋_GBK"/>
                <w:b w:val="0"/>
                <w:bCs w:val="0"/>
                <w:sz w:val="21"/>
                <w:szCs w:val="21"/>
                <w:vertAlign w:val="baseline"/>
                <w:lang w:val="en-US" w:eastAsia="zh-CN"/>
              </w:rPr>
              <w:t>型号：NT-JSD-1502</w:t>
            </w:r>
          </w:p>
        </w:tc>
        <w:tc>
          <w:tcPr>
            <w:tcW w:w="810" w:type="dxa"/>
            <w:shd w:val="clear" w:color="auto" w:fill="auto"/>
            <w:noWrap w:val="0"/>
            <w:vAlign w:val="center"/>
          </w:tcPr>
          <w:p w14:paraId="0C22D5AA">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000000"/>
                <w:sz w:val="21"/>
                <w:szCs w:val="21"/>
                <w:vertAlign w:val="baseline"/>
                <w:lang w:val="en-US" w:eastAsia="zh-CN" w:bidi="ar-SA"/>
              </w:rPr>
            </w:pPr>
            <w:r>
              <w:rPr>
                <w:rFonts w:hint="eastAsia" w:ascii="方正仿宋_GBK" w:hAnsi="方正仿宋_GBK" w:eastAsia="方正仿宋_GBK" w:cs="方正仿宋_GBK"/>
                <w:b w:val="0"/>
                <w:bCs w:val="0"/>
                <w:sz w:val="21"/>
                <w:szCs w:val="21"/>
                <w:vertAlign w:val="baseline"/>
                <w:lang w:val="en-US" w:eastAsia="zh-CN"/>
              </w:rPr>
              <w:t>盏</w:t>
            </w:r>
          </w:p>
        </w:tc>
        <w:tc>
          <w:tcPr>
            <w:tcW w:w="825" w:type="dxa"/>
            <w:noWrap w:val="0"/>
            <w:vAlign w:val="center"/>
          </w:tcPr>
          <w:p w14:paraId="3AFEEC18">
            <w:pPr>
              <w:snapToGrid w:val="0"/>
              <w:spacing w:line="240" w:lineRule="auto"/>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36</w:t>
            </w:r>
          </w:p>
        </w:tc>
        <w:tc>
          <w:tcPr>
            <w:tcW w:w="1230" w:type="dxa"/>
            <w:noWrap w:val="0"/>
            <w:vAlign w:val="center"/>
          </w:tcPr>
          <w:p w14:paraId="73459180">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520</w:t>
            </w:r>
          </w:p>
        </w:tc>
        <w:tc>
          <w:tcPr>
            <w:tcW w:w="1223" w:type="dxa"/>
            <w:noWrap w:val="0"/>
            <w:vAlign w:val="center"/>
          </w:tcPr>
          <w:p w14:paraId="409E1C73">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18720</w:t>
            </w:r>
          </w:p>
        </w:tc>
      </w:tr>
      <w:tr w14:paraId="5921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2" w:type="dxa"/>
            <w:noWrap w:val="0"/>
            <w:vAlign w:val="center"/>
          </w:tcPr>
          <w:p w14:paraId="66C29B24">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667" w:type="dxa"/>
            <w:noWrap w:val="0"/>
            <w:vAlign w:val="center"/>
          </w:tcPr>
          <w:p w14:paraId="7C379185">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LED教室护眼灯</w:t>
            </w:r>
          </w:p>
        </w:tc>
        <w:tc>
          <w:tcPr>
            <w:tcW w:w="2255" w:type="dxa"/>
            <w:shd w:val="clear" w:color="auto" w:fill="auto"/>
            <w:noWrap w:val="0"/>
            <w:vAlign w:val="center"/>
          </w:tcPr>
          <w:p w14:paraId="7E5E0DCE">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品牌：捷能通，</w:t>
            </w:r>
          </w:p>
          <w:p w14:paraId="23534102">
            <w:pPr>
              <w:snapToGrid w:val="0"/>
              <w:spacing w:line="240" w:lineRule="auto"/>
              <w:jc w:val="center"/>
              <w:rPr>
                <w:rFonts w:hint="eastAsia" w:ascii="方正仿宋_GBK" w:hAnsi="方正仿宋_GBK" w:eastAsia="方正仿宋_GBK" w:cs="方正仿宋_GBK"/>
                <w:b w:val="0"/>
                <w:bCs w:val="0"/>
                <w:color w:val="000000"/>
                <w:sz w:val="21"/>
                <w:szCs w:val="21"/>
                <w:vertAlign w:val="baseline"/>
                <w:lang w:val="en-US" w:eastAsia="zh-CN" w:bidi="ar-SA"/>
              </w:rPr>
            </w:pPr>
            <w:r>
              <w:rPr>
                <w:rFonts w:hint="eastAsia" w:ascii="方正仿宋_GBK" w:hAnsi="方正仿宋_GBK" w:eastAsia="方正仿宋_GBK" w:cs="方正仿宋_GBK"/>
                <w:b w:val="0"/>
                <w:bCs w:val="0"/>
                <w:sz w:val="21"/>
                <w:szCs w:val="21"/>
                <w:vertAlign w:val="baseline"/>
                <w:lang w:val="en-US" w:eastAsia="zh-CN"/>
              </w:rPr>
              <w:t>型号：NT-JSD-1504-036B</w:t>
            </w:r>
          </w:p>
        </w:tc>
        <w:tc>
          <w:tcPr>
            <w:tcW w:w="810" w:type="dxa"/>
            <w:shd w:val="clear" w:color="auto" w:fill="auto"/>
            <w:noWrap w:val="0"/>
            <w:vAlign w:val="center"/>
          </w:tcPr>
          <w:p w14:paraId="604BB5F1">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000000"/>
                <w:sz w:val="21"/>
                <w:szCs w:val="21"/>
                <w:vertAlign w:val="baseline"/>
                <w:lang w:val="en-US" w:eastAsia="zh-CN" w:bidi="ar-SA"/>
              </w:rPr>
            </w:pPr>
            <w:r>
              <w:rPr>
                <w:rFonts w:hint="eastAsia" w:ascii="方正仿宋_GBK" w:hAnsi="方正仿宋_GBK" w:eastAsia="方正仿宋_GBK" w:cs="方正仿宋_GBK"/>
                <w:b w:val="0"/>
                <w:bCs w:val="0"/>
                <w:sz w:val="21"/>
                <w:szCs w:val="21"/>
                <w:vertAlign w:val="baseline"/>
                <w:lang w:val="en-US" w:eastAsia="zh-CN"/>
              </w:rPr>
              <w:t>盏</w:t>
            </w:r>
          </w:p>
        </w:tc>
        <w:tc>
          <w:tcPr>
            <w:tcW w:w="825" w:type="dxa"/>
            <w:noWrap w:val="0"/>
            <w:vAlign w:val="center"/>
          </w:tcPr>
          <w:p w14:paraId="52F997E7">
            <w:pPr>
              <w:snapToGrid w:val="0"/>
              <w:spacing w:line="240" w:lineRule="auto"/>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162</w:t>
            </w:r>
          </w:p>
        </w:tc>
        <w:tc>
          <w:tcPr>
            <w:tcW w:w="1230" w:type="dxa"/>
            <w:noWrap w:val="0"/>
            <w:vAlign w:val="center"/>
          </w:tcPr>
          <w:p w14:paraId="021BB2D2">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520</w:t>
            </w:r>
          </w:p>
        </w:tc>
        <w:tc>
          <w:tcPr>
            <w:tcW w:w="1223" w:type="dxa"/>
            <w:noWrap w:val="0"/>
            <w:vAlign w:val="center"/>
          </w:tcPr>
          <w:p w14:paraId="47F3751B">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84240</w:t>
            </w:r>
          </w:p>
        </w:tc>
      </w:tr>
      <w:tr w14:paraId="0BB2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2" w:type="dxa"/>
            <w:noWrap w:val="0"/>
            <w:vAlign w:val="center"/>
          </w:tcPr>
          <w:p w14:paraId="1A648F68">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w:t>
            </w:r>
          </w:p>
        </w:tc>
        <w:tc>
          <w:tcPr>
            <w:tcW w:w="1667" w:type="dxa"/>
            <w:noWrap w:val="0"/>
            <w:vAlign w:val="center"/>
          </w:tcPr>
          <w:p w14:paraId="5D2BCDF3">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合计</w:t>
            </w:r>
          </w:p>
        </w:tc>
        <w:tc>
          <w:tcPr>
            <w:tcW w:w="6343" w:type="dxa"/>
            <w:gridSpan w:val="5"/>
            <w:shd w:val="clear" w:color="auto" w:fill="auto"/>
            <w:noWrap w:val="0"/>
            <w:vAlign w:val="center"/>
          </w:tcPr>
          <w:p w14:paraId="641385B1">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小写：102960元    大写：壹拾万贰仟玖佰陆拾元整</w:t>
            </w:r>
          </w:p>
        </w:tc>
      </w:tr>
    </w:tbl>
    <w:p w14:paraId="0952F0CE">
      <w:pPr>
        <w:pStyle w:val="2"/>
        <w:spacing w:before="0" w:after="0" w:line="360" w:lineRule="auto"/>
        <w:ind w:firstLine="280" w:firstLineChars="100"/>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（二）技术规格及质量要求</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938"/>
        <w:gridCol w:w="7153"/>
      </w:tblGrid>
      <w:tr w14:paraId="42B9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2DADFF96">
            <w:pPr>
              <w:snapToGrid w:val="0"/>
              <w:spacing w:line="360" w:lineRule="auto"/>
              <w:jc w:val="center"/>
              <w:rPr>
                <w:rFonts w:hint="eastAsia" w:ascii="方正仿宋_GBK" w:hAnsi="方正仿宋_GBK" w:eastAsia="方正仿宋_GBK" w:cs="方正仿宋_GBK"/>
                <w:b/>
                <w:bCs/>
                <w:sz w:val="18"/>
                <w:szCs w:val="18"/>
                <w:lang w:eastAsia="zh-CN"/>
              </w:rPr>
            </w:pPr>
            <w:r>
              <w:rPr>
                <w:rFonts w:hint="eastAsia" w:ascii="方正仿宋_GBK" w:hAnsi="方正仿宋_GBK" w:eastAsia="方正仿宋_GBK" w:cs="方正仿宋_GBK"/>
                <w:b/>
                <w:bCs/>
                <w:sz w:val="18"/>
                <w:szCs w:val="18"/>
                <w:lang w:eastAsia="zh-CN"/>
              </w:rPr>
              <w:t>序号</w:t>
            </w:r>
          </w:p>
        </w:tc>
        <w:tc>
          <w:tcPr>
            <w:tcW w:w="899" w:type="pct"/>
            <w:vAlign w:val="center"/>
          </w:tcPr>
          <w:p w14:paraId="56E80E81">
            <w:pPr>
              <w:snapToGrid w:val="0"/>
              <w:spacing w:line="360" w:lineRule="auto"/>
              <w:jc w:val="center"/>
              <w:rPr>
                <w:rFonts w:hint="eastAsia" w:ascii="方正仿宋_GBK" w:hAnsi="方正仿宋_GBK" w:eastAsia="方正仿宋_GBK" w:cs="方正仿宋_GBK"/>
                <w:b/>
                <w:bCs/>
                <w:sz w:val="18"/>
                <w:szCs w:val="18"/>
                <w:lang w:eastAsia="zh-CN"/>
              </w:rPr>
            </w:pPr>
            <w:r>
              <w:rPr>
                <w:rFonts w:hint="eastAsia" w:ascii="方正仿宋_GBK" w:hAnsi="方正仿宋_GBK" w:eastAsia="方正仿宋_GBK" w:cs="方正仿宋_GBK"/>
                <w:b/>
                <w:bCs/>
                <w:sz w:val="18"/>
                <w:szCs w:val="18"/>
                <w:lang w:eastAsia="zh-CN"/>
              </w:rPr>
              <w:t>品名</w:t>
            </w:r>
          </w:p>
        </w:tc>
        <w:tc>
          <w:tcPr>
            <w:tcW w:w="3771" w:type="pct"/>
            <w:vAlign w:val="center"/>
          </w:tcPr>
          <w:p w14:paraId="1F815CAF">
            <w:pPr>
              <w:snapToGrid w:val="0"/>
              <w:spacing w:line="360" w:lineRule="auto"/>
              <w:jc w:val="center"/>
              <w:rPr>
                <w:rFonts w:hint="eastAsia" w:ascii="方正仿宋_GBK" w:hAnsi="方正仿宋_GBK" w:eastAsia="方正仿宋_GBK" w:cs="方正仿宋_GBK"/>
                <w:b/>
                <w:bCs/>
                <w:sz w:val="18"/>
                <w:szCs w:val="18"/>
                <w:lang w:eastAsia="zh-CN"/>
              </w:rPr>
            </w:pPr>
            <w:r>
              <w:rPr>
                <w:rFonts w:hint="eastAsia" w:ascii="方正仿宋_GBK" w:hAnsi="方正仿宋_GBK" w:eastAsia="方正仿宋_GBK" w:cs="方正仿宋_GBK"/>
                <w:b/>
                <w:bCs/>
                <w:sz w:val="18"/>
                <w:szCs w:val="18"/>
                <w:lang w:eastAsia="zh-CN"/>
              </w:rPr>
              <w:t>技术要求</w:t>
            </w:r>
          </w:p>
        </w:tc>
      </w:tr>
      <w:tr w14:paraId="6C51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18700BDF">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1</w:t>
            </w:r>
          </w:p>
        </w:tc>
        <w:tc>
          <w:tcPr>
            <w:tcW w:w="1730" w:type="dxa"/>
            <w:vAlign w:val="center"/>
          </w:tcPr>
          <w:p w14:paraId="1D4A2615">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LED黑板灯</w:t>
            </w:r>
          </w:p>
          <w:p w14:paraId="41DB8DF7">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（品牌：捷能通，</w:t>
            </w:r>
          </w:p>
          <w:p w14:paraId="2BD511FD">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型号：NT-JSD-1502）</w:t>
            </w:r>
          </w:p>
        </w:tc>
        <w:tc>
          <w:tcPr>
            <w:tcW w:w="7257" w:type="dxa"/>
            <w:vAlign w:val="center"/>
          </w:tcPr>
          <w:p w14:paraId="2211456A">
            <w:pPr>
              <w:numPr>
                <w:ilvl w:val="0"/>
                <w:numId w:val="0"/>
              </w:numPr>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1.基础要求：</w:t>
            </w:r>
          </w:p>
          <w:p w14:paraId="406A7EA3">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(1)尺寸:长≥1800mm；灯具整灯通过国家强制性CCC认证。【提供产品CCC认证证书复印件及全国认证认可信息公共服务平台证书状态为“有效”查询证明截图佐证】并加盖投标人公章。</w:t>
            </w:r>
          </w:p>
          <w:p w14:paraId="30C9147A">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(2)灯具包括但不仅限于色温(4800K</w:t>
            </w:r>
            <w:r>
              <w:rPr>
                <w:rFonts w:hint="eastAsia" w:ascii="方正仿宋_GBK" w:hAnsi="方正仿宋_GBK" w:eastAsia="方正仿宋_GBK" w:cs="方正仿宋_GBK"/>
                <w:b w:val="0"/>
                <w:bCs w:val="0"/>
                <w:sz w:val="18"/>
                <w:szCs w:val="18"/>
                <w:u w:val="none"/>
                <w:vertAlign w:val="baseline"/>
                <w:lang w:val="en-US" w:eastAsia="zh-CN"/>
              </w:rPr>
              <w:t>±</w:t>
            </w:r>
            <w:r>
              <w:rPr>
                <w:rFonts w:hint="eastAsia" w:ascii="方正仿宋_GBK" w:hAnsi="方正仿宋_GBK" w:eastAsia="方正仿宋_GBK" w:cs="方正仿宋_GBK"/>
                <w:b w:val="0"/>
                <w:bCs w:val="0"/>
                <w:sz w:val="18"/>
                <w:szCs w:val="18"/>
              </w:rPr>
              <w:t>+</w:t>
            </w:r>
            <w:r>
              <w:rPr>
                <w:rFonts w:hint="eastAsia" w:ascii="方正仿宋_GBK" w:hAnsi="方正仿宋_GBK" w:eastAsia="方正仿宋_GBK" w:cs="方正仿宋_GBK"/>
                <w:b w:val="0"/>
                <w:bCs w:val="0"/>
                <w:sz w:val="18"/>
                <w:szCs w:val="18"/>
                <w:vertAlign w:val="baseline"/>
                <w:lang w:val="en-US" w:eastAsia="zh-CN"/>
              </w:rPr>
              <w:t>200K)、显色指数(Ra≥95</w:t>
            </w:r>
            <w:r>
              <w:rPr>
                <w:rFonts w:hint="eastAsia" w:ascii="方正仿宋_GBK" w:hAnsi="方正仿宋_GBK" w:eastAsia="方正仿宋_GBK" w:cs="方正仿宋_GBK"/>
                <w:b w:val="0"/>
                <w:bCs w:val="0"/>
                <w:sz w:val="18"/>
                <w:szCs w:val="18"/>
                <w:lang w:eastAsia="zh-CN"/>
              </w:rPr>
              <w:t>、</w:t>
            </w:r>
            <w:r>
              <w:rPr>
                <w:rFonts w:hint="eastAsia" w:ascii="方正仿宋_GBK" w:hAnsi="方正仿宋_GBK" w:eastAsia="方正仿宋_GBK" w:cs="方正仿宋_GBK"/>
                <w:b w:val="0"/>
                <w:bCs w:val="0"/>
                <w:sz w:val="18"/>
                <w:szCs w:val="18"/>
                <w:vertAlign w:val="baseline"/>
                <w:lang w:val="en-US" w:eastAsia="zh-CN"/>
              </w:rPr>
              <w:t>R9≥90)、色容差(≤3SDCM)、光通量(≥3500Lm)、光效(&gt;90Lm</w:t>
            </w:r>
            <w:r>
              <w:rPr>
                <w:rFonts w:hint="eastAsia" w:ascii="方正仿宋_GBK" w:hAnsi="方正仿宋_GBK" w:eastAsia="方正仿宋_GBK" w:cs="方正仿宋_GBK"/>
                <w:b w:val="0"/>
                <w:bCs w:val="0"/>
                <w:sz w:val="18"/>
                <w:szCs w:val="18"/>
                <w:lang w:val="en-US" w:eastAsia="zh-CN"/>
              </w:rPr>
              <w:t>/W</w:t>
            </w:r>
            <w:r>
              <w:rPr>
                <w:rFonts w:hint="eastAsia" w:ascii="方正仿宋_GBK" w:hAnsi="方正仿宋_GBK" w:eastAsia="方正仿宋_GBK" w:cs="方正仿宋_GBK"/>
                <w:b w:val="0"/>
                <w:bCs w:val="0"/>
                <w:sz w:val="18"/>
                <w:szCs w:val="18"/>
                <w:vertAlign w:val="baseline"/>
                <w:lang w:val="en-US" w:eastAsia="zh-CN"/>
              </w:rPr>
              <w:t>)、50000小时光通维持率&gt;90%。【提供有CMA或CNAS标志的检测报告复印件及全国认证认可信息公共服务平台的查询截图证明佐证参数值及检测标准】并加盖投标人公章。</w:t>
            </w:r>
          </w:p>
          <w:p w14:paraId="1138F74B">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(3)灯具包括但不仅限于无频闪、蓝光危害等级为RG0、光通维持寿命&gt;50000小时、依据GB40070-2021《儿童青少年学习用品近视防控卫生要求》标准通过近视防控认证证书。</w:t>
            </w:r>
          </w:p>
          <w:p w14:paraId="76651FFE">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【提供中国质量认证中心出具的认证证书复印件及全国认证认可信息公共服务平台证书状态为“有效”查询截图证明(证书与查询证明文件上均须同时体现产品型号及认证标准)】并加盖投标人公章。</w:t>
            </w:r>
          </w:p>
          <w:p w14:paraId="476CC5A9">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2.其他要求：</w:t>
            </w:r>
          </w:p>
          <w:p w14:paraId="0865BC7C">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(1)灯具采用固定整体式的透镜灯具，LED光源功率≤45W，灯珠颗粒数≥200颗。</w:t>
            </w:r>
          </w:p>
          <w:p w14:paraId="28B64842">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(2)灯具50%光束角（半峰边角）：C0-180满足114°±2°，C90-270满足24°±2°。</w:t>
            </w:r>
          </w:p>
          <w:p w14:paraId="7F6CA31C">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(3)灯具在经过电气强度试验后透光罩应保持完好。</w:t>
            </w:r>
          </w:p>
          <w:p w14:paraId="0CB905CF">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(4)灯具需要有较高的显色性和稳定性，对产品进行快速温度循环测试，高低温-30℃和60℃数据对比，持续暴露时间2h，产品光通维持率需≥99%，且Ra差值（绝对值）变化≤0.1，R9差值（绝对值）≤0.1。</w:t>
            </w:r>
          </w:p>
          <w:p w14:paraId="0DFFAE3B">
            <w:pPr>
              <w:numPr>
                <w:ilvl w:val="0"/>
                <w:numId w:val="0"/>
              </w:numPr>
              <w:tabs>
                <w:tab w:val="left" w:pos="252"/>
              </w:tabs>
              <w:ind w:left="0" w:leftChars="0" w:firstLine="0" w:firstLineChars="0"/>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(5)灯具在Oh及1000h试验后，相关色温两者差值≤12K，一般显色指数两者差值（绝对值）≤0.2；特殊显色指数R9，两者差值（绝对值）&lt;2（1000h验证试验条件：在双60℃以上持续时间1000h）。</w:t>
            </w:r>
          </w:p>
          <w:p w14:paraId="7466549A">
            <w:pPr>
              <w:numPr>
                <w:ilvl w:val="0"/>
                <w:numId w:val="0"/>
              </w:numPr>
              <w:tabs>
                <w:tab w:val="left" w:pos="252"/>
              </w:tabs>
              <w:ind w:left="0" w:leftChars="0" w:firstLine="0" w:firstLineChars="0"/>
              <w:jc w:val="left"/>
              <w:rPr>
                <w:rFonts w:hint="eastAsia" w:ascii="方正仿宋_GBK" w:hAnsi="方正仿宋_GBK" w:eastAsia="方正仿宋_GBK" w:cs="方正仿宋_GBK"/>
                <w:b w:val="0"/>
                <w:bCs w:val="0"/>
                <w:sz w:val="18"/>
                <w:szCs w:val="18"/>
              </w:rPr>
            </w:pPr>
            <w:r>
              <w:rPr>
                <w:rFonts w:hint="eastAsia" w:ascii="方正仿宋_GBK" w:hAnsi="方正仿宋_GBK" w:eastAsia="方正仿宋_GBK" w:cs="方正仿宋_GBK"/>
                <w:b w:val="0"/>
                <w:bCs w:val="0"/>
                <w:sz w:val="18"/>
                <w:szCs w:val="18"/>
                <w:vertAlign w:val="baseline"/>
                <w:lang w:val="en-US" w:eastAsia="zh-CN"/>
              </w:rPr>
              <w:t>【提供有CMA或CNAS标志的检测报告复印件及全国认证认可信息公共服务平台的查询截图证明佐证上述其他要求参数值及检测标准】并加盖投标人公章。</w:t>
            </w:r>
          </w:p>
        </w:tc>
      </w:tr>
      <w:tr w14:paraId="7D7D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47C073BD">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2</w:t>
            </w:r>
          </w:p>
        </w:tc>
        <w:tc>
          <w:tcPr>
            <w:tcW w:w="1730" w:type="dxa"/>
            <w:vAlign w:val="center"/>
          </w:tcPr>
          <w:p w14:paraId="62583841">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LED教室灯</w:t>
            </w:r>
          </w:p>
          <w:p w14:paraId="3C82F235">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（品牌：捷能通，</w:t>
            </w:r>
          </w:p>
          <w:p w14:paraId="2ACF7A2F">
            <w:pPr>
              <w:numPr>
                <w:ilvl w:val="0"/>
                <w:numId w:val="0"/>
              </w:numPr>
              <w:ind w:left="0" w:leftChars="0" w:firstLine="0" w:firstLineChars="0"/>
              <w:jc w:val="center"/>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型号：NT-JSD-1504-036B）</w:t>
            </w:r>
          </w:p>
        </w:tc>
        <w:tc>
          <w:tcPr>
            <w:tcW w:w="7257" w:type="dxa"/>
            <w:vAlign w:val="center"/>
          </w:tcPr>
          <w:p w14:paraId="368530AC">
            <w:pPr>
              <w:numPr>
                <w:ilvl w:val="0"/>
                <w:numId w:val="0"/>
              </w:numPr>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1.基础要求：</w:t>
            </w:r>
          </w:p>
          <w:p w14:paraId="3D2B6304">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(1)尺寸:≥595*595mm；灯具整灯通过国家强制性CCC认证。【提供产品CCC认证证书复印件及全国认证认可信息公共服务平台证书状态为“有效”查询证明截图佐证】并加盖投标人公章。</w:t>
            </w:r>
          </w:p>
          <w:p w14:paraId="7B814F72">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(2)灯具包括但不仅限于色温(4800K</w:t>
            </w:r>
            <w:r>
              <w:rPr>
                <w:rFonts w:hint="eastAsia" w:ascii="方正仿宋_GBK" w:hAnsi="方正仿宋_GBK" w:eastAsia="方正仿宋_GBK" w:cs="方正仿宋_GBK"/>
                <w:b w:val="0"/>
                <w:bCs w:val="0"/>
                <w:sz w:val="18"/>
                <w:szCs w:val="18"/>
                <w:u w:val="none"/>
                <w:vertAlign w:val="baseline"/>
                <w:lang w:val="en-US" w:eastAsia="zh-CN"/>
              </w:rPr>
              <w:t>±</w:t>
            </w:r>
            <w:r>
              <w:rPr>
                <w:rFonts w:hint="eastAsia" w:ascii="方正仿宋_GBK" w:hAnsi="方正仿宋_GBK" w:eastAsia="方正仿宋_GBK" w:cs="方正仿宋_GBK"/>
                <w:b w:val="0"/>
                <w:bCs w:val="0"/>
                <w:sz w:val="18"/>
                <w:szCs w:val="18"/>
              </w:rPr>
              <w:t>+</w:t>
            </w:r>
            <w:r>
              <w:rPr>
                <w:rFonts w:hint="eastAsia" w:ascii="方正仿宋_GBK" w:hAnsi="方正仿宋_GBK" w:eastAsia="方正仿宋_GBK" w:cs="方正仿宋_GBK"/>
                <w:b w:val="0"/>
                <w:bCs w:val="0"/>
                <w:sz w:val="18"/>
                <w:szCs w:val="18"/>
                <w:vertAlign w:val="baseline"/>
                <w:lang w:val="en-US" w:eastAsia="zh-CN"/>
              </w:rPr>
              <w:t>200K)、显色指数(Ra≥95</w:t>
            </w:r>
            <w:r>
              <w:rPr>
                <w:rFonts w:hint="eastAsia" w:ascii="方正仿宋_GBK" w:hAnsi="方正仿宋_GBK" w:eastAsia="方正仿宋_GBK" w:cs="方正仿宋_GBK"/>
                <w:b w:val="0"/>
                <w:bCs w:val="0"/>
                <w:sz w:val="18"/>
                <w:szCs w:val="18"/>
                <w:lang w:eastAsia="zh-CN"/>
              </w:rPr>
              <w:t>、</w:t>
            </w:r>
            <w:r>
              <w:rPr>
                <w:rFonts w:hint="eastAsia" w:ascii="方正仿宋_GBK" w:hAnsi="方正仿宋_GBK" w:eastAsia="方正仿宋_GBK" w:cs="方正仿宋_GBK"/>
                <w:b w:val="0"/>
                <w:bCs w:val="0"/>
                <w:sz w:val="18"/>
                <w:szCs w:val="18"/>
                <w:vertAlign w:val="baseline"/>
                <w:lang w:val="en-US" w:eastAsia="zh-CN"/>
              </w:rPr>
              <w:t>R9≥90)、色容差(≤3SDCM)、光通量(≥3500Lm)、光效(&gt;90Lm</w:t>
            </w:r>
            <w:r>
              <w:rPr>
                <w:rFonts w:hint="eastAsia" w:ascii="方正仿宋_GBK" w:hAnsi="方正仿宋_GBK" w:eastAsia="方正仿宋_GBK" w:cs="方正仿宋_GBK"/>
                <w:b w:val="0"/>
                <w:bCs w:val="0"/>
                <w:sz w:val="18"/>
                <w:szCs w:val="18"/>
                <w:lang w:val="en-US" w:eastAsia="zh-CN"/>
              </w:rPr>
              <w:t>/W</w:t>
            </w:r>
            <w:r>
              <w:rPr>
                <w:rFonts w:hint="eastAsia" w:ascii="方正仿宋_GBK" w:hAnsi="方正仿宋_GBK" w:eastAsia="方正仿宋_GBK" w:cs="方正仿宋_GBK"/>
                <w:b w:val="0"/>
                <w:bCs w:val="0"/>
                <w:sz w:val="18"/>
                <w:szCs w:val="18"/>
                <w:vertAlign w:val="baseline"/>
                <w:lang w:val="en-US" w:eastAsia="zh-CN"/>
              </w:rPr>
              <w:t>)、50000小时光通维持率&gt;90%。【提供有CMA或CNAS标志的检测报告复印件及全国认证认可信息公共服务平台的查询截图证明佐证参数值及检测标准】并加盖投标人公章。</w:t>
            </w:r>
          </w:p>
          <w:p w14:paraId="2768D977">
            <w:pPr>
              <w:numPr>
                <w:ilvl w:val="0"/>
                <w:numId w:val="0"/>
              </w:numPr>
              <w:tabs>
                <w:tab w:val="left" w:pos="252"/>
              </w:tabs>
              <w:jc w:val="left"/>
              <w:rPr>
                <w:rFonts w:hint="eastAsia" w:ascii="方正仿宋_GBK" w:hAnsi="方正仿宋_GBK" w:eastAsia="方正仿宋_GBK" w:cs="方正仿宋_GBK"/>
                <w:b w:val="0"/>
                <w:bCs w:val="0"/>
                <w:sz w:val="18"/>
                <w:szCs w:val="18"/>
                <w:vertAlign w:val="baseline"/>
                <w:lang w:val="en-US" w:eastAsia="zh-CN"/>
              </w:rPr>
            </w:pPr>
            <w:r>
              <w:rPr>
                <w:rFonts w:hint="eastAsia" w:ascii="方正仿宋_GBK" w:hAnsi="方正仿宋_GBK" w:eastAsia="方正仿宋_GBK" w:cs="方正仿宋_GBK"/>
                <w:b w:val="0"/>
                <w:bCs w:val="0"/>
                <w:sz w:val="18"/>
                <w:szCs w:val="18"/>
                <w:vertAlign w:val="baseline"/>
                <w:lang w:val="en-US" w:eastAsia="zh-CN"/>
              </w:rPr>
              <w:t>(3)灯具包括但不仅限于无频闪、蓝光危害等级为RG0、光通维持寿命&gt;50000小时、依据GB40070-2021《儿童青少年学习用品近视防控卫生要求》标准通过近视防控认证证书。</w:t>
            </w:r>
          </w:p>
          <w:p w14:paraId="0AF8DC23">
            <w:pPr>
              <w:numPr>
                <w:ilvl w:val="0"/>
                <w:numId w:val="0"/>
              </w:numPr>
              <w:tabs>
                <w:tab w:val="left" w:pos="252"/>
              </w:tabs>
              <w:ind w:left="0" w:leftChars="0" w:firstLine="0" w:firstLineChars="0"/>
              <w:jc w:val="left"/>
              <w:rPr>
                <w:rFonts w:hint="eastAsia" w:ascii="方正仿宋_GBK" w:hAnsi="方正仿宋_GBK" w:eastAsia="方正仿宋_GBK" w:cs="方正仿宋_GBK"/>
                <w:b w:val="0"/>
                <w:bCs w:val="0"/>
                <w:sz w:val="18"/>
                <w:szCs w:val="18"/>
              </w:rPr>
            </w:pPr>
            <w:r>
              <w:rPr>
                <w:rFonts w:hint="eastAsia" w:ascii="方正仿宋_GBK" w:hAnsi="方正仿宋_GBK" w:eastAsia="方正仿宋_GBK" w:cs="方正仿宋_GBK"/>
                <w:b w:val="0"/>
                <w:bCs w:val="0"/>
                <w:sz w:val="18"/>
                <w:szCs w:val="18"/>
                <w:vertAlign w:val="baseline"/>
                <w:lang w:val="en-US" w:eastAsia="zh-CN"/>
              </w:rPr>
              <w:t>【提供中国质量认证中心出具的认证证书复印件及全国认证认可信息公共服务平台证书状态为“有效”查询截图证明(证书与查询证明文件上均须同时体现产品型号及认证标准)】并加盖投标人公章。</w:t>
            </w:r>
          </w:p>
        </w:tc>
      </w:tr>
    </w:tbl>
    <w:p w14:paraId="061EEF19">
      <w:pPr>
        <w:pStyle w:val="2"/>
        <w:keepNext/>
        <w:pageBreakBefore w:val="0"/>
        <w:widowControl w:val="0"/>
        <w:kinsoku/>
        <w:wordWrap/>
        <w:overflowPunct/>
        <w:topLinePunct w:val="0"/>
        <w:autoSpaceDE/>
        <w:autoSpaceDN/>
        <w:bidi w:val="0"/>
        <w:adjustRightInd/>
        <w:spacing w:before="0" w:after="0" w:line="360" w:lineRule="auto"/>
        <w:ind w:firstLine="280" w:firstLineChars="100"/>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（三）安装要求</w:t>
      </w:r>
    </w:p>
    <w:p w14:paraId="794D0382">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1.安装前，对改造教室进行数据采集，精准测算灯具点位布局、安装高度等参数，规划线路走向、线路负荷、控制开关</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照明开关、插座、风扇控制器按业主要求集成）</w:t>
      </w:r>
      <w:r>
        <w:rPr>
          <w:rFonts w:hint="eastAsia" w:ascii="方正仿宋_GBK" w:hAnsi="方正仿宋_GBK" w:eastAsia="方正仿宋_GBK" w:cs="方正仿宋_GBK"/>
          <w:kern w:val="0"/>
          <w:sz w:val="28"/>
          <w:szCs w:val="28"/>
        </w:rPr>
        <w:t>等设计，出具教室照明设计方案及施工图纸。</w:t>
      </w:r>
    </w:p>
    <w:p w14:paraId="344E8BD1">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2.供应商须针对项目安排具有相关资质(如电工证)的人员，并在响应文件中提供资质证书复印件。</w:t>
      </w:r>
    </w:p>
    <w:p w14:paraId="2EC0FA26">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3.施工阶段，遵照设计方案及施工图纸规范安装灯具，安排专业技术人员现场督促、指导全程施工。</w:t>
      </w:r>
    </w:p>
    <w:p w14:paraId="2D8D6E67">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4.施工结束后，全面检查、评估灯具安装质量，及时整改未达到安装标准的灯具。</w:t>
      </w:r>
    </w:p>
    <w:p w14:paraId="29C6CCF7">
      <w:pPr>
        <w:pStyle w:val="2"/>
        <w:keepNext/>
        <w:pageBreakBefore w:val="0"/>
        <w:widowControl w:val="0"/>
        <w:numPr>
          <w:ilvl w:val="0"/>
          <w:numId w:val="1"/>
        </w:numPr>
        <w:kinsoku/>
        <w:wordWrap/>
        <w:overflowPunct/>
        <w:topLinePunct w:val="0"/>
        <w:autoSpaceDE/>
        <w:autoSpaceDN/>
        <w:bidi w:val="0"/>
        <w:adjustRightInd/>
        <w:spacing w:before="0" w:after="0" w:line="360" w:lineRule="auto"/>
        <w:ind w:left="0" w:leftChars="0" w:firstLine="562"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商务要求</w:t>
      </w:r>
    </w:p>
    <w:p w14:paraId="4F0BD673">
      <w:pPr>
        <w:pStyle w:val="2"/>
        <w:keepNext/>
        <w:pageBreakBefore w:val="0"/>
        <w:widowControl w:val="0"/>
        <w:numPr>
          <w:ilvl w:val="0"/>
          <w:numId w:val="2"/>
        </w:numPr>
        <w:kinsoku/>
        <w:wordWrap/>
        <w:overflowPunct/>
        <w:topLinePunct w:val="0"/>
        <w:autoSpaceDE/>
        <w:autoSpaceDN/>
        <w:bidi w:val="0"/>
        <w:adjustRightInd/>
        <w:spacing w:before="0" w:after="0" w:line="360" w:lineRule="auto"/>
        <w:ind w:left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报价要求</w:t>
      </w:r>
    </w:p>
    <w:p w14:paraId="55E33D99">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本次竞采报价共分为两轮，供应商必须要参与第一轮报价方可参与第二轮报价。每轮报价开始时间、报价截止时间、有效报价家数均以公告内容为准。</w:t>
      </w:r>
    </w:p>
    <w:p w14:paraId="6335FD2C">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b/>
          <w:bCs/>
          <w:i/>
          <w:iCs/>
          <w:sz w:val="28"/>
          <w:szCs w:val="28"/>
          <w:u w:val="single"/>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竞采报价是指供应商在正确地完全履行合同义务后采购人应支付给供应商所有的货物价款，本次报价为人民币报价，即（包含且不限于）货物的供货、税金、包装、运输（含二次及多次转运费）、装卸、拆装、保护原有装饰、恢复原样、</w:t>
      </w:r>
      <w:r>
        <w:rPr>
          <w:rFonts w:hint="eastAsia" w:ascii="方正仿宋_GBK" w:hAnsi="方正仿宋_GBK" w:eastAsia="方正仿宋_GBK" w:cs="方正仿宋_GBK"/>
          <w:sz w:val="28"/>
          <w:szCs w:val="28"/>
          <w:lang w:val="en-US" w:eastAsia="zh-CN"/>
        </w:rPr>
        <w:t>原有灯具收集存放到指定地点、</w:t>
      </w:r>
      <w:r>
        <w:rPr>
          <w:rFonts w:hint="eastAsia" w:ascii="方正仿宋_GBK" w:hAnsi="方正仿宋_GBK" w:eastAsia="方正仿宋_GBK" w:cs="方正仿宋_GBK"/>
          <w:sz w:val="28"/>
          <w:szCs w:val="28"/>
        </w:rPr>
        <w:t>安装调试（含各种辅材费、人工费）、垃圾清运费、保险费、验收（含第三方检测及验收）、技术服务、售后服务、材料、采购代理服务费、人员培训费、合理的利润、不可预见费及其他国家相关规定的全部费用，实行货到采购人指定地点的所有费用总包干，供应商应根据上述因素自行考虑含入投标总价。因成交供应商自身原因造成漏报、少报皆由其自行承担责任，采购不再补偿。</w:t>
      </w:r>
    </w:p>
    <w:p w14:paraId="39C72FF9">
      <w:pPr>
        <w:pStyle w:val="2"/>
        <w:keepNext/>
        <w:pageBreakBefore w:val="0"/>
        <w:widowControl w:val="0"/>
        <w:numPr>
          <w:ilvl w:val="0"/>
          <w:numId w:val="2"/>
        </w:numPr>
        <w:kinsoku/>
        <w:wordWrap/>
        <w:overflowPunct/>
        <w:topLinePunct w:val="0"/>
        <w:autoSpaceDE/>
        <w:autoSpaceDN/>
        <w:bidi w:val="0"/>
        <w:adjustRightInd/>
        <w:spacing w:before="0" w:after="0" w:line="360" w:lineRule="auto"/>
        <w:ind w:left="420" w:leftChars="200" w:firstLine="0" w:firstLineChars="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履约保证金</w:t>
      </w:r>
    </w:p>
    <w:p w14:paraId="313C3263">
      <w:pPr>
        <w:pStyle w:val="2"/>
        <w:keepNext/>
        <w:pageBreakBefore w:val="0"/>
        <w:widowControl w:val="0"/>
        <w:numPr>
          <w:ilvl w:val="0"/>
          <w:numId w:val="0"/>
        </w:numPr>
        <w:kinsoku/>
        <w:wordWrap/>
        <w:overflowPunct/>
        <w:topLinePunct w:val="0"/>
        <w:autoSpaceDE/>
        <w:autoSpaceDN/>
        <w:bidi w:val="0"/>
        <w:adjustRightInd/>
        <w:spacing w:before="0" w:after="0" w:line="360" w:lineRule="auto"/>
        <w:ind w:firstLine="560" w:firstLineChars="200"/>
        <w:textAlignment w:val="auto"/>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合同签订前中标人向学校缴纳合同金额10%的履约保证金或保函;若未按时提交，视为自动放弃中标资格，学校将按相关规定重新确定中标人。验收合格后，采购人15个工作日内无息退还履约保证金。</w:t>
      </w:r>
    </w:p>
    <w:p w14:paraId="3A49268A">
      <w:pPr>
        <w:keepNext/>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rPr>
        <w:t>（</w:t>
      </w:r>
      <w:r>
        <w:rPr>
          <w:rFonts w:hint="eastAsia" w:ascii="方正仿宋_GBK" w:hAnsi="方正仿宋_GBK" w:eastAsia="方正仿宋_GBK" w:cs="方正仿宋_GBK"/>
          <w:b/>
          <w:bCs/>
          <w:kern w:val="0"/>
          <w:sz w:val="28"/>
          <w:szCs w:val="28"/>
          <w:lang w:eastAsia="zh-CN"/>
        </w:rPr>
        <w:t>三</w:t>
      </w:r>
      <w:r>
        <w:rPr>
          <w:rFonts w:hint="eastAsia" w:ascii="方正仿宋_GBK" w:hAnsi="方正仿宋_GBK" w:eastAsia="方正仿宋_GBK" w:cs="方正仿宋_GBK"/>
          <w:b/>
          <w:bCs/>
          <w:kern w:val="0"/>
          <w:sz w:val="28"/>
          <w:szCs w:val="28"/>
        </w:rPr>
        <w:t>）</w:t>
      </w:r>
      <w:r>
        <w:rPr>
          <w:rFonts w:hint="eastAsia" w:ascii="方正仿宋_GBK" w:hAnsi="方正仿宋_GBK" w:eastAsia="方正仿宋_GBK" w:cs="方正仿宋_GBK"/>
          <w:b/>
          <w:bCs/>
          <w:kern w:val="0"/>
          <w:sz w:val="28"/>
          <w:szCs w:val="28"/>
          <w:lang w:eastAsia="zh-CN"/>
        </w:rPr>
        <w:t>合同签订</w:t>
      </w:r>
    </w:p>
    <w:p w14:paraId="44B9CDC1">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Hans"/>
        </w:rPr>
        <w:t>签订合同前，中标人提供制造商出具的不低于5年的产品原厂质保函，中标人提供不低于5年的售后服务承诺函，方能签订合同。</w:t>
      </w:r>
    </w:p>
    <w:p w14:paraId="2AAC8434">
      <w:pPr>
        <w:pStyle w:val="2"/>
        <w:keepNext/>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交货期限及地点</w:t>
      </w:r>
    </w:p>
    <w:p w14:paraId="1766E2AA">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交货期:中标人应在采购合同签订后</w:t>
      </w:r>
      <w:r>
        <w:rPr>
          <w:rFonts w:hint="eastAsia" w:ascii="方正仿宋_GBK" w:hAnsi="方正仿宋_GBK" w:eastAsia="方正仿宋_GBK" w:cs="方正仿宋_GBK"/>
          <w:color w:val="FF0000"/>
          <w:sz w:val="28"/>
          <w:szCs w:val="28"/>
          <w:lang w:val="en-US" w:eastAsia="zh-CN"/>
        </w:rPr>
        <w:t>30</w:t>
      </w:r>
      <w:r>
        <w:rPr>
          <w:rFonts w:hint="eastAsia"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lang w:val="en-US" w:eastAsia="zh-CN"/>
        </w:rPr>
        <w:t>工作</w:t>
      </w:r>
      <w:r>
        <w:rPr>
          <w:rFonts w:hint="eastAsia" w:ascii="方正仿宋_GBK" w:hAnsi="方正仿宋_GBK" w:eastAsia="方正仿宋_GBK" w:cs="方正仿宋_GBK"/>
          <w:sz w:val="28"/>
          <w:szCs w:val="28"/>
        </w:rPr>
        <w:t>日内交货并完成安装调试。</w:t>
      </w:r>
    </w:p>
    <w:p w14:paraId="369E994D">
      <w:pPr>
        <w:keepNext/>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交货地点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渝北区龙兴中心小学校</w:t>
      </w:r>
      <w:r>
        <w:rPr>
          <w:rFonts w:hint="eastAsia" w:ascii="方正仿宋_GBK" w:hAnsi="方正仿宋_GBK" w:eastAsia="方正仿宋_GBK" w:cs="方正仿宋_GBK"/>
          <w:sz w:val="28"/>
          <w:szCs w:val="28"/>
        </w:rPr>
        <w:t>指定地点</w:t>
      </w:r>
      <w:r>
        <w:rPr>
          <w:rFonts w:hint="eastAsia" w:ascii="方正仿宋_GBK" w:hAnsi="方正仿宋_GBK" w:eastAsia="方正仿宋_GBK" w:cs="方正仿宋_GBK"/>
          <w:sz w:val="28"/>
          <w:szCs w:val="28"/>
          <w:lang w:eastAsia="zh-CN"/>
        </w:rPr>
        <w:t>。</w:t>
      </w:r>
    </w:p>
    <w:p w14:paraId="01F14141">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验</w:t>
      </w:r>
      <w:r>
        <w:rPr>
          <w:rFonts w:hint="eastAsia" w:ascii="方正仿宋_GBK" w:hAnsi="方正仿宋_GBK" w:eastAsia="方正仿宋_GBK" w:cs="方正仿宋_GBK"/>
          <w:sz w:val="28"/>
          <w:szCs w:val="28"/>
          <w:lang w:eastAsia="zh-CN"/>
        </w:rPr>
        <w:t>收</w:t>
      </w:r>
      <w:r>
        <w:rPr>
          <w:rFonts w:hint="eastAsia" w:ascii="方正仿宋_GBK" w:hAnsi="方正仿宋_GBK" w:eastAsia="方正仿宋_GBK" w:cs="方正仿宋_GBK"/>
          <w:sz w:val="28"/>
          <w:szCs w:val="28"/>
        </w:rPr>
        <w:t>方式</w:t>
      </w:r>
    </w:p>
    <w:p w14:paraId="6DE96EFC">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1.中标人应提供完备的技术资料、装箱单和合格证等，并派遣专业技术人员进行现场安装调试。初次验收条件如下:</w:t>
      </w:r>
    </w:p>
    <w:p w14:paraId="1BE7E8E2">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(1)设备技术参数与采购合同一致，性能指标达到规定的标准</w:t>
      </w:r>
    </w:p>
    <w:p w14:paraId="226C8985">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(2)货物技术资料、装箱单、合格证等资料齐全。</w:t>
      </w:r>
    </w:p>
    <w:p w14:paraId="3690F5F3">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(3)在规定时间内完成交货、完成安装，并经采购人确认。</w:t>
      </w:r>
    </w:p>
    <w:p w14:paraId="3D23BA31">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(4)在灯具试运行期间所出现的问题得到解决，并运行正常。</w:t>
      </w:r>
    </w:p>
    <w:p w14:paraId="427C7858">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2.产品在安装调试并试运行符合要求后，中标人提出验收书面申请。</w:t>
      </w:r>
    </w:p>
    <w:p w14:paraId="5396C001">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3.学校邀请第三方检测机构会同供应商共同随机抽检教室(每20间抽检1间，100间以上不低于5间)，按中标产品提供的基础参数标准进行检测，抽检不合格视为项目全部不合格，供应商应在30日内对所有项目教室进行全面整改。整改完成后，学校再次邀请第三方检测机构会同供应商，第二次随机抽检教室(每20间抽检1间，100间以上不低于5间)，按第一次检测标准再次进行检测，检测不合格视为终验不合格。所有检测费用由中标人承担。</w:t>
      </w:r>
    </w:p>
    <w:p w14:paraId="7A59B815">
      <w:pPr>
        <w:pStyle w:val="2"/>
        <w:spacing w:before="0" w:after="0" w:line="360" w:lineRule="auto"/>
        <w:ind w:firstLine="560" w:firstLineChars="200"/>
        <w:rPr>
          <w:rFonts w:hint="eastAsia" w:ascii="方正仿宋_GBK" w:hAnsi="方正仿宋_GBK" w:eastAsia="方正仿宋_GBK" w:cs="方正仿宋_GBK"/>
          <w:b w:val="0"/>
          <w:kern w:val="0"/>
          <w:sz w:val="28"/>
          <w:szCs w:val="28"/>
          <w:lang w:val="en-US" w:eastAsia="zh-CN" w:bidi="ar-SA"/>
        </w:rPr>
      </w:pPr>
      <w:r>
        <w:rPr>
          <w:rFonts w:hint="eastAsia" w:ascii="方正仿宋_GBK" w:hAnsi="方正仿宋_GBK" w:eastAsia="方正仿宋_GBK" w:cs="方正仿宋_GBK"/>
          <w:b w:val="0"/>
          <w:kern w:val="0"/>
          <w:sz w:val="28"/>
          <w:szCs w:val="28"/>
          <w:lang w:val="en-US" w:eastAsia="zh-CN" w:bidi="ar-SA"/>
        </w:rPr>
        <w:t>4.终验不合格，拒绝收货，中标人自行下架并免费无偿恢复教室原照明灯具(下架和恢复不得影响学生正常行课)，合同自行解除。</w:t>
      </w:r>
    </w:p>
    <w:p w14:paraId="371EC5C0">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质量保证及售后服务</w:t>
      </w:r>
    </w:p>
    <w:p w14:paraId="0119FC83">
      <w:pPr>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1.产品质量保证期:自验收合格之日起，其投标产品质量保证期达到5年及以上，且质保期满产品质量仍能够达到《中小学校教室采光和照明卫生标准》(GB7793-2010)。</w:t>
      </w:r>
    </w:p>
    <w:p w14:paraId="64BA6977">
      <w:pPr>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2.售后服务及要求。质保期内，接到维修通知后，24小时内派专业的维修工程师到场维修，48小时内免费完成修复或更换新产品。质保期满后，只收取维修配件费，不收取其他费用。维修零配件应为原厂配件，且质量标准不得低于原配件。 </w:t>
      </w:r>
    </w:p>
    <w:p w14:paraId="1A7656C3">
      <w:pPr>
        <w:snapToGrid w:val="0"/>
        <w:spacing w:line="360" w:lineRule="auto"/>
        <w:ind w:firstLine="562" w:firstLineChars="200"/>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（七）付款方式</w:t>
      </w:r>
    </w:p>
    <w:p w14:paraId="3184E9BB">
      <w:pPr>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预付款(最高至合同金额50%)。中标人需学校在签订合同后支付预付款的，须提供与预付款同等额度的担保函，但预付款金额最高不超过合同金额的50%。学校在收到担保函和相应额度的正式发票后，5个工作日内向区财政局提交付款申请。如中标人收到预付款后不履行相关义务，学校将通过担保函收回已支付的预付款。</w:t>
      </w:r>
    </w:p>
    <w:p w14:paraId="1B4FD991">
      <w:pPr>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2.货到付款(付至合同执行金额的70%)。中标人在合同约定时间内完成交货，经项目学校验收合格后，经采购人审核确认，中标人出具相应额度的正式发票，学校在5个工作日内向区财政局提交申请付款。</w:t>
      </w:r>
    </w:p>
    <w:p w14:paraId="1A69245C">
      <w:pPr>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综合验收付款(付至合同执行金额的100%)。中标人在合同约定时间内完成货物的安装调试并投入正常使用，经学校组织综合验收合格后，中标人出具相应额度的正式发票，学校在5个工作日内向区财政局提交付款申请。</w:t>
      </w:r>
    </w:p>
    <w:p w14:paraId="1B78FB3B">
      <w:pPr>
        <w:snapToGrid w:val="0"/>
        <w:spacing w:line="360" w:lineRule="auto"/>
        <w:ind w:firstLine="562" w:firstLineChars="200"/>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（八）违约责任</w:t>
      </w:r>
    </w:p>
    <w:p w14:paraId="2EBEFEE5">
      <w:pPr>
        <w:pStyle w:val="2"/>
        <w:spacing w:before="0" w:after="0" w:line="360" w:lineRule="auto"/>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1.中标方在实施项目的过程中若有不满足招投标文件要求的行为，且对需方造成损失的，由供方承担一切责任，并赔偿所造成的损失。</w:t>
      </w:r>
    </w:p>
    <w:p w14:paraId="6437AB20">
      <w:pPr>
        <w:snapToGrid w:val="0"/>
        <w:spacing w:line="360" w:lineRule="auto"/>
        <w:ind w:firstLine="560" w:firstLineChars="200"/>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val="0"/>
          <w:kern w:val="2"/>
          <w:sz w:val="28"/>
          <w:szCs w:val="28"/>
          <w:lang w:val="en-US" w:eastAsia="zh-CN" w:bidi="ar-SA"/>
        </w:rPr>
        <w:t>2.中标人延期完成交货、安装、调试，应按每天以合同总价的万分之五比例向采购人支付违约金,但违约金总额不得超过合同总价的20%。中标人第一次</w:t>
      </w:r>
    </w:p>
    <w:p w14:paraId="4C5E273C">
      <w:pPr>
        <w:pStyle w:val="2"/>
        <w:spacing w:before="0" w:after="0" w:line="360" w:lineRule="auto"/>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验收不合格，必须在30日内完成整改，如第二次验收仍不合格，合同自行解除，由此造成的一切损失由中标人自行承担。凡因不可抗拒力因素所造成未能按时完成进度或导致延期，双方均不承受违约责任。</w:t>
      </w:r>
    </w:p>
    <w:p w14:paraId="30CDF3EC">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供应商响应文件要求</w:t>
      </w:r>
    </w:p>
    <w:p w14:paraId="681365B2">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必须在平台上按要求上传响应文件，未按要求提供的视为无效供应商。供应商竞价时，须上传竞价文件要求提供的资质证书或证明文件，在报价时上传加盖投标鲜章的扫描件；未按要求的均为无效投标。签订合同时，须提供所招标产品制造商针对本项目的售后服务承诺函（盖厂商鲜章）原件。如需提供的原件与上传的扫描件不一致，视为虚假应标，并报告相关部门进行处理。竞价文件中的参数条款和其他相应条款均为实质性响应条款（指标），要求必须全部满足响应，若有一项未响应或不满足，均按无效投标处理。</w:t>
      </w:r>
    </w:p>
    <w:p w14:paraId="4B314A03">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响应文件内容</w:t>
      </w:r>
    </w:p>
    <w:p w14:paraId="3CF12198">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盖鲜章的《报价函》《明细报价表》各1份。</w:t>
      </w:r>
    </w:p>
    <w:p w14:paraId="09A28928">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盖鲜章的《法定代表人身份证明书》1份，</w:t>
      </w:r>
      <w:r>
        <w:rPr>
          <w:rFonts w:hint="eastAsia" w:ascii="方正仿宋_GBK" w:hAnsi="方正仿宋_GBK" w:eastAsia="方正仿宋_GBK" w:cs="方正仿宋_GBK"/>
          <w:sz w:val="28"/>
          <w:szCs w:val="28"/>
          <w:lang w:eastAsia="zh-Hans"/>
        </w:rPr>
        <w:t>其中应包含法定代表人身份证复印件</w:t>
      </w:r>
      <w:r>
        <w:rPr>
          <w:rFonts w:hint="eastAsia" w:ascii="方正仿宋_GBK" w:hAnsi="方正仿宋_GBK" w:eastAsia="方正仿宋_GBK" w:cs="方正仿宋_GBK"/>
          <w:sz w:val="28"/>
          <w:szCs w:val="28"/>
        </w:rPr>
        <w:t>。若法定代表人委托他人投标，</w:t>
      </w:r>
      <w:r>
        <w:rPr>
          <w:rFonts w:hint="eastAsia" w:ascii="方正仿宋_GBK" w:hAnsi="方正仿宋_GBK" w:eastAsia="方正仿宋_GBK" w:cs="方正仿宋_GBK"/>
          <w:sz w:val="28"/>
          <w:szCs w:val="28"/>
          <w:lang w:eastAsia="zh-Hans"/>
        </w:rPr>
        <w:t>请</w:t>
      </w:r>
      <w:r>
        <w:rPr>
          <w:rFonts w:hint="eastAsia" w:ascii="方正仿宋_GBK" w:hAnsi="方正仿宋_GBK" w:eastAsia="方正仿宋_GBK" w:cs="方正仿宋_GBK"/>
          <w:sz w:val="28"/>
          <w:szCs w:val="28"/>
        </w:rPr>
        <w:t>提供盖鲜章的《法定代表人授权委托书》1</w:t>
      </w:r>
      <w:r>
        <w:rPr>
          <w:rFonts w:hint="eastAsia" w:ascii="方正仿宋_GBK" w:hAnsi="方正仿宋_GBK" w:eastAsia="方正仿宋_GBK" w:cs="方正仿宋_GBK"/>
          <w:sz w:val="28"/>
          <w:szCs w:val="28"/>
          <w:lang w:eastAsia="zh-Hans"/>
        </w:rPr>
        <w:t>份</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Hans"/>
        </w:rPr>
        <w:t>其中应包含</w:t>
      </w:r>
      <w:r>
        <w:rPr>
          <w:rFonts w:hint="eastAsia" w:ascii="方正仿宋_GBK" w:hAnsi="方正仿宋_GBK" w:eastAsia="方正仿宋_GBK" w:cs="方正仿宋_GBK"/>
          <w:sz w:val="28"/>
          <w:szCs w:val="28"/>
        </w:rPr>
        <w:t>法定代表人及被授权人身份证复印件各1份。</w:t>
      </w:r>
    </w:p>
    <w:p w14:paraId="3B747B34">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盖鲜章的基本资格条件承诺函。</w:t>
      </w:r>
    </w:p>
    <w:p w14:paraId="7EA75227">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其他应提供的资料。</w:t>
      </w:r>
    </w:p>
    <w:p w14:paraId="7407A152">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提交文件的要求</w:t>
      </w:r>
    </w:p>
    <w:p w14:paraId="63C4AA11">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供应商线上报名、报价时需上传盖鲜章后的电子文档一份。</w:t>
      </w:r>
    </w:p>
    <w:p w14:paraId="0ABD41F2">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eastAsia="zh-Hans"/>
        </w:rPr>
        <w:t>供应商在系统中的报价与响应文件中的报价不一致时，</w:t>
      </w:r>
      <w:r>
        <w:rPr>
          <w:rFonts w:hint="eastAsia" w:ascii="方正仿宋_GBK" w:hAnsi="方正仿宋_GBK" w:eastAsia="方正仿宋_GBK" w:cs="方正仿宋_GBK"/>
          <w:sz w:val="28"/>
          <w:szCs w:val="28"/>
        </w:rPr>
        <w:t>采购人将以</w:t>
      </w:r>
      <w:r>
        <w:rPr>
          <w:rFonts w:hint="eastAsia" w:ascii="方正仿宋_GBK" w:hAnsi="方正仿宋_GBK" w:eastAsia="方正仿宋_GBK" w:cs="方正仿宋_GBK"/>
          <w:sz w:val="28"/>
          <w:szCs w:val="28"/>
          <w:lang w:eastAsia="zh-Hans"/>
        </w:rPr>
        <w:t>系统中供应商的报价作为评判依据</w:t>
      </w:r>
      <w:r>
        <w:rPr>
          <w:rFonts w:hint="eastAsia" w:ascii="方正仿宋_GBK" w:hAnsi="方正仿宋_GBK" w:eastAsia="方正仿宋_GBK" w:cs="方正仿宋_GBK"/>
          <w:sz w:val="28"/>
          <w:szCs w:val="28"/>
        </w:rPr>
        <w:t>。</w:t>
      </w:r>
    </w:p>
    <w:p w14:paraId="19978662">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供应商只能有一个有效报价，供应商只能以自己单位名义提交响应文件。</w:t>
      </w:r>
    </w:p>
    <w:p w14:paraId="650B0A2F">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供应商制作的响应文件电子文档，须按照要求制作，规定签字、盖章的地方必须按规定签字、盖章，上传的文件需字迹清晰，未按要求制作响应文件的作废标处理。</w:t>
      </w:r>
    </w:p>
    <w:p w14:paraId="739289D5">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w:t>
      </w:r>
      <w:r>
        <w:rPr>
          <w:rFonts w:hint="eastAsia" w:ascii="方正仿宋_GBK" w:hAnsi="方正仿宋_GBK" w:eastAsia="方正仿宋_GBK" w:cs="方正仿宋_GBK"/>
          <w:sz w:val="28"/>
          <w:szCs w:val="28"/>
        </w:rPr>
        <w:t>成交规则</w:t>
      </w:r>
    </w:p>
    <w:p w14:paraId="57BEABA3">
      <w:pPr>
        <w:pStyle w:val="5"/>
        <w:spacing w:before="0" w:beforeAutospacing="0" w:after="0" w:afterAutospacing="0" w:line="360" w:lineRule="auto"/>
        <w:ind w:firstLine="560" w:firstLineChars="200"/>
        <w:rPr>
          <w:rFonts w:hint="eastAsia" w:ascii="方正仿宋_GBK" w:hAnsi="方正仿宋_GBK" w:eastAsia="方正仿宋_GBK" w:cs="方正仿宋_GBK"/>
          <w:b/>
          <w:bCs/>
          <w:i/>
          <w:iCs/>
          <w:sz w:val="28"/>
          <w:szCs w:val="28"/>
          <w:u w:val="single"/>
        </w:rPr>
      </w:pPr>
      <w:r>
        <w:rPr>
          <w:rFonts w:hint="eastAsia" w:ascii="方正仿宋_GBK" w:hAnsi="方正仿宋_GBK" w:eastAsia="方正仿宋_GBK" w:cs="方正仿宋_GBK"/>
          <w:sz w:val="28"/>
          <w:szCs w:val="28"/>
        </w:rPr>
        <w:t>采购人在符合审查的供应商中，手动确认报价最低的成为成交供应商。</w:t>
      </w:r>
    </w:p>
    <w:p w14:paraId="48CB5E69">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14:paraId="3CF1C5F3">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1.供应商出现报价相同的情况，依次以质保期时长、售后服务响应快等进行排序。</w:t>
      </w:r>
    </w:p>
    <w:p w14:paraId="2243D305">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竞采小组认为供应商的报价明显低于其他通过符合性审查供应商的报价，有可能影响产品质量或者不能诚信履约的，应当要求其在合理的时间内提供书面说明，必要时提交相关证明材料；供应商不能证明其报价合理性的，竞采小组应当将其作无效响应处理。</w:t>
      </w:r>
    </w:p>
    <w:p w14:paraId="674C7B34">
      <w:pPr>
        <w:snapToGrid w:val="0"/>
        <w:spacing w:line="360" w:lineRule="auto"/>
        <w:ind w:firstLine="560" w:firstLineChars="200"/>
        <w:rPr>
          <w:rFonts w:hint="eastAsia" w:ascii="方正仿宋_GBK" w:hAnsi="方正仿宋_GBK" w:eastAsia="方正仿宋_GBK" w:cs="方正仿宋_GBK"/>
          <w:b/>
          <w:bCs/>
          <w:i/>
          <w:iCs/>
          <w:sz w:val="28"/>
          <w:szCs w:val="28"/>
          <w:u w:val="single"/>
        </w:rPr>
      </w:pPr>
      <w:r>
        <w:rPr>
          <w:rFonts w:hint="eastAsia" w:ascii="方正仿宋_GBK" w:hAnsi="方正仿宋_GBK" w:eastAsia="方正仿宋_GBK" w:cs="方正仿宋_GBK"/>
          <w:sz w:val="28"/>
          <w:szCs w:val="28"/>
        </w:rPr>
        <w:t>3.中标（成交）供应商在中标（成交）通知书发出之日起10日内与采购人签订采购合同，逾期视为放弃中标资格。</w:t>
      </w:r>
    </w:p>
    <w:p w14:paraId="33610F82">
      <w:pPr>
        <w:pStyle w:val="2"/>
        <w:spacing w:before="0" w:after="0" w:line="360" w:lineRule="auto"/>
        <w:ind w:firstLine="562"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（十一）联系方式</w:t>
      </w:r>
    </w:p>
    <w:p w14:paraId="2D9CCFDC">
      <w:pPr>
        <w:snapToGrid w:val="0"/>
        <w:spacing w:line="360" w:lineRule="auto"/>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采购单位：重庆市</w:t>
      </w:r>
      <w:r>
        <w:rPr>
          <w:rFonts w:hint="eastAsia" w:ascii="方正仿宋_GBK" w:hAnsi="方正仿宋_GBK" w:eastAsia="方正仿宋_GBK" w:cs="方正仿宋_GBK"/>
          <w:sz w:val="28"/>
          <w:szCs w:val="28"/>
          <w:lang w:val="en-US" w:eastAsia="zh-CN"/>
        </w:rPr>
        <w:t>渝北区龙兴中心小学校</w:t>
      </w:r>
    </w:p>
    <w:p w14:paraId="73DEF865">
      <w:pPr>
        <w:snapToGrid w:val="0"/>
        <w:spacing w:line="360" w:lineRule="auto"/>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联系人：徐老师</w:t>
      </w:r>
    </w:p>
    <w:p w14:paraId="4BEC33DA">
      <w:pPr>
        <w:snapToGrid w:val="0"/>
        <w:spacing w:line="360" w:lineRule="auto"/>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电话：13883991125</w:t>
      </w:r>
    </w:p>
    <w:p w14:paraId="3F8E0118">
      <w:pPr>
        <w:snapToGrid w:val="0"/>
        <w:spacing w:line="360" w:lineRule="auto"/>
        <w:ind w:firstLine="560" w:firstLineChars="200"/>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地址：渝北区龙兴镇天龙路1号</w:t>
      </w:r>
    </w:p>
    <w:p w14:paraId="45CCD9D3">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其它有关规定</w:t>
      </w:r>
    </w:p>
    <w:p w14:paraId="5ECD40E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凡有意参加此项目的供应商，请于公告发布之日起至报价截止时间之前，在重庆市政府采购云平台网上竞采下载查看本项目竞采文件，无论供应商下载查看与否，均视为已知晓所有实质性要求内容。</w:t>
      </w:r>
    </w:p>
    <w:p w14:paraId="033FC22D">
      <w:pPr>
        <w:widowControl/>
        <w:wordWrap w:val="0"/>
        <w:autoSpaceDE w:val="0"/>
        <w:autoSpaceDN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供应商应于报价开始前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4008ED2C">
      <w:pPr>
        <w:widowControl/>
        <w:wordWrap w:val="0"/>
        <w:autoSpaceDE w:val="0"/>
        <w:autoSpaceDN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《网上竞采自行采购操作手册（供应商）》、《单点登录账号绑定操作手册》详见</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"https://xj.ccgp-chongqing.gov.cn/ge/content/yptczzn/list" </w:instrText>
      </w:r>
      <w:r>
        <w:rPr>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color w:val="auto"/>
          <w:sz w:val="28"/>
          <w:szCs w:val="28"/>
        </w:rPr>
        <w:t>https://xj.ccgp-chongqing.gov.cn/ge/content/yptczzn/list</w:t>
      </w:r>
      <w:r>
        <w:rPr>
          <w:rStyle w:val="9"/>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sz w:val="28"/>
          <w:szCs w:val="28"/>
        </w:rPr>
        <w:t>。</w:t>
      </w:r>
    </w:p>
    <w:p w14:paraId="317F8D0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无论竞采结果如何，供应商参与本项目的所有费用均自行承担。</w:t>
      </w:r>
    </w:p>
    <w:p w14:paraId="0551059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其他未尽事宜由双方在采购合同中详细约定。</w:t>
      </w:r>
    </w:p>
    <w:p w14:paraId="104FCAAC">
      <w:pPr>
        <w:rPr>
          <w:rFonts w:hint="eastAsia" w:ascii="宋体" w:hAnsi="宋体" w:eastAsia="宋体" w:cs="宋体"/>
          <w:sz w:val="44"/>
          <w:szCs w:val="44"/>
        </w:rPr>
      </w:pPr>
      <w:r>
        <w:rPr>
          <w:rFonts w:hint="eastAsia" w:ascii="宋体" w:hAnsi="宋体" w:eastAsia="宋体" w:cs="宋体"/>
          <w:sz w:val="44"/>
          <w:szCs w:val="44"/>
        </w:rPr>
        <w:br w:type="page"/>
      </w:r>
    </w:p>
    <w:p w14:paraId="601EDC09">
      <w:pPr>
        <w:snapToGrid w:val="0"/>
        <w:spacing w:line="360" w:lineRule="auto"/>
        <w:jc w:val="center"/>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z w:val="40"/>
          <w:szCs w:val="40"/>
        </w:rPr>
        <w:t>供应商编制响应文件要求</w:t>
      </w:r>
    </w:p>
    <w:p w14:paraId="1AEC1DEA">
      <w:pPr>
        <w:pStyle w:val="2"/>
        <w:spacing w:before="0" w:after="0"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w:t>
      </w:r>
    </w:p>
    <w:p w14:paraId="6F4448E9">
      <w:pPr>
        <w:snapToGrid w:val="0"/>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14:paraId="29AE079C">
      <w:pPr>
        <w:pStyle w:val="2"/>
        <w:spacing w:before="0" w:after="0" w:line="240" w:lineRule="auto"/>
        <w:jc w:val="center"/>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z w:val="40"/>
          <w:szCs w:val="40"/>
        </w:rPr>
        <w:t>报 价 函</w:t>
      </w:r>
    </w:p>
    <w:p w14:paraId="1466B3FB">
      <w:pPr>
        <w:rPr>
          <w:rFonts w:hint="eastAsia" w:ascii="方正仿宋_GBK" w:hAnsi="方正仿宋_GBK" w:eastAsia="方正仿宋_GBK" w:cs="方正仿宋_GBK"/>
          <w:sz w:val="28"/>
          <w:szCs w:val="28"/>
        </w:rPr>
      </w:pPr>
    </w:p>
    <w:p w14:paraId="43136286">
      <w:pPr>
        <w:rPr>
          <w:rFonts w:hint="eastAsia" w:ascii="方正仿宋_GBK" w:hAnsi="方正仿宋_GBK" w:eastAsia="方正仿宋_GBK" w:cs="方正仿宋_GBK"/>
          <w:sz w:val="28"/>
          <w:szCs w:val="28"/>
        </w:rPr>
      </w:pPr>
    </w:p>
    <w:p w14:paraId="59B78D50">
      <w:pPr>
        <w:spacing w:line="360" w:lineRule="auto"/>
        <w:rPr>
          <w:rStyle w:val="9"/>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u w:val="single"/>
        </w:rPr>
        <w:t xml:space="preserve">                     </w:t>
      </w:r>
      <w:r>
        <w:rPr>
          <w:rStyle w:val="9"/>
          <w:rFonts w:hint="eastAsia" w:ascii="方正仿宋_GBK" w:hAnsi="方正仿宋_GBK" w:eastAsia="方正仿宋_GBK" w:cs="方正仿宋_GBK"/>
          <w:color w:val="auto"/>
          <w:sz w:val="28"/>
          <w:szCs w:val="28"/>
        </w:rPr>
        <w:t>（采购单位名称）：</w:t>
      </w:r>
    </w:p>
    <w:p w14:paraId="71B51FB5">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我方收到</w:t>
      </w:r>
      <w:r>
        <w:rPr>
          <w:rStyle w:val="9"/>
          <w:rFonts w:hint="eastAsia" w:ascii="方正仿宋_GBK" w:hAnsi="方正仿宋_GBK" w:eastAsia="方正仿宋_GBK" w:cs="方正仿宋_GBK"/>
          <w:color w:val="auto"/>
          <w:sz w:val="28"/>
          <w:szCs w:val="28"/>
          <w:u w:val="single"/>
        </w:rPr>
        <w:t xml:space="preserve">                         </w:t>
      </w:r>
      <w:r>
        <w:rPr>
          <w:rStyle w:val="9"/>
          <w:rFonts w:hint="eastAsia" w:ascii="方正仿宋_GBK" w:hAnsi="方正仿宋_GBK" w:eastAsia="方正仿宋_GBK" w:cs="方正仿宋_GBK"/>
          <w:color w:val="auto"/>
          <w:sz w:val="28"/>
          <w:szCs w:val="28"/>
        </w:rPr>
        <w:t>（项目名称）的竞采文件，经详细研究，决定参加该项目。</w:t>
      </w:r>
    </w:p>
    <w:p w14:paraId="4C8E674D">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1</w:t>
      </w:r>
      <w:r>
        <w:rPr>
          <w:rStyle w:val="9"/>
          <w:rFonts w:hint="eastAsia" w:ascii="方正仿宋_GBK" w:hAnsi="方正仿宋_GBK" w:eastAsia="方正仿宋_GBK" w:cs="方正仿宋_GBK"/>
          <w:color w:val="auto"/>
          <w:sz w:val="28"/>
          <w:szCs w:val="28"/>
          <w:lang w:eastAsia="zh-Hans"/>
        </w:rPr>
        <w:t>.</w:t>
      </w:r>
      <w:r>
        <w:rPr>
          <w:rStyle w:val="9"/>
          <w:rFonts w:hint="eastAsia" w:ascii="方正仿宋_GBK" w:hAnsi="方正仿宋_GBK" w:eastAsia="方正仿宋_GBK" w:cs="方正仿宋_GBK"/>
          <w:color w:val="auto"/>
          <w:sz w:val="28"/>
          <w:szCs w:val="28"/>
        </w:rPr>
        <w:t>愿意按照竞采文件中的一切要求，提供本项目的商品、及服务，报价为人民币大写：</w:t>
      </w:r>
      <w:r>
        <w:rPr>
          <w:rStyle w:val="9"/>
          <w:rFonts w:hint="eastAsia" w:ascii="方正仿宋_GBK" w:hAnsi="方正仿宋_GBK" w:eastAsia="方正仿宋_GBK" w:cs="方正仿宋_GBK"/>
          <w:color w:val="auto"/>
          <w:sz w:val="28"/>
          <w:szCs w:val="28"/>
          <w:u w:val="single"/>
        </w:rPr>
        <w:t xml:space="preserve">          </w:t>
      </w:r>
      <w:r>
        <w:rPr>
          <w:rStyle w:val="9"/>
          <w:rFonts w:hint="eastAsia" w:ascii="方正仿宋_GBK" w:hAnsi="方正仿宋_GBK" w:eastAsia="方正仿宋_GBK" w:cs="方正仿宋_GBK"/>
          <w:color w:val="auto"/>
          <w:sz w:val="28"/>
          <w:szCs w:val="28"/>
        </w:rPr>
        <w:t>元整；人民币小写</w:t>
      </w:r>
      <w:r>
        <w:rPr>
          <w:rStyle w:val="9"/>
          <w:rFonts w:hint="eastAsia" w:ascii="方正仿宋_GBK" w:hAnsi="方正仿宋_GBK" w:eastAsia="方正仿宋_GBK" w:cs="方正仿宋_GBK"/>
          <w:color w:val="auto"/>
          <w:sz w:val="28"/>
          <w:szCs w:val="28"/>
          <w:u w:val="single"/>
        </w:rPr>
        <w:t xml:space="preserve">          </w:t>
      </w:r>
      <w:r>
        <w:rPr>
          <w:rStyle w:val="9"/>
          <w:rFonts w:hint="eastAsia" w:ascii="方正仿宋_GBK" w:hAnsi="方正仿宋_GBK" w:eastAsia="方正仿宋_GBK" w:cs="方正仿宋_GBK"/>
          <w:color w:val="auto"/>
          <w:sz w:val="28"/>
          <w:szCs w:val="28"/>
        </w:rPr>
        <w:t>元。</w:t>
      </w:r>
    </w:p>
    <w:p w14:paraId="0E1DDB41">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2.我方现提交的响应文件为：响应文件正本壹份。</w:t>
      </w:r>
    </w:p>
    <w:p w14:paraId="086F3114">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3.我方承诺：本次报价的有效期为90天。</w:t>
      </w:r>
    </w:p>
    <w:p w14:paraId="4BC42809">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4.我方完全理解和接受竞采文件的一切规定、要求和评审办法。</w:t>
      </w:r>
    </w:p>
    <w:p w14:paraId="3F40C752">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5.在整个采购过程中，我方若有违规行为，愿意接受重庆市政府采购云平台相关管理方的</w:t>
      </w:r>
      <w:r>
        <w:rPr>
          <w:rStyle w:val="9"/>
          <w:rFonts w:hint="eastAsia" w:ascii="方正仿宋_GBK" w:hAnsi="方正仿宋_GBK" w:eastAsia="方正仿宋_GBK" w:cs="方正仿宋_GBK"/>
          <w:color w:val="auto"/>
          <w:sz w:val="28"/>
          <w:szCs w:val="28"/>
          <w:lang w:eastAsia="zh-Hans"/>
        </w:rPr>
        <w:t>处</w:t>
      </w:r>
      <w:r>
        <w:rPr>
          <w:rStyle w:val="9"/>
          <w:rFonts w:hint="eastAsia" w:ascii="方正仿宋_GBK" w:hAnsi="方正仿宋_GBK" w:eastAsia="方正仿宋_GBK" w:cs="方正仿宋_GBK"/>
          <w:color w:val="auto"/>
          <w:sz w:val="28"/>
          <w:szCs w:val="28"/>
        </w:rPr>
        <w:t>罚。</w:t>
      </w:r>
    </w:p>
    <w:p w14:paraId="332B7DC4">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6.我方若中选，将按照竞采结果签订合同，并且严格履行合同义务。本承诺函将成为合同不可分割的一部分，与合同具有同等的法律效力。</w:t>
      </w:r>
    </w:p>
    <w:p w14:paraId="26848E0A">
      <w:pPr>
        <w:spacing w:line="360" w:lineRule="auto"/>
        <w:ind w:firstLine="560" w:firstLineChars="200"/>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7.我方理解，最低报价不是成交的唯一条件。</w:t>
      </w:r>
    </w:p>
    <w:p w14:paraId="4649D433">
      <w:pPr>
        <w:pStyle w:val="10"/>
        <w:spacing w:line="360" w:lineRule="auto"/>
        <w:rPr>
          <w:rFonts w:hint="eastAsia" w:ascii="方正仿宋_GBK" w:hAnsi="方正仿宋_GBK" w:eastAsia="方正仿宋_GBK" w:cs="方正仿宋_GBK"/>
          <w:color w:val="auto"/>
          <w:sz w:val="28"/>
          <w:szCs w:val="28"/>
        </w:rPr>
      </w:pPr>
    </w:p>
    <w:p w14:paraId="195E75B5">
      <w:pPr>
        <w:ind w:firstLine="560" w:firstLineChars="200"/>
        <w:jc w:val="right"/>
        <w:rPr>
          <w:rStyle w:val="9"/>
          <w:rFonts w:hint="eastAsia" w:ascii="方正仿宋_GBK" w:hAnsi="方正仿宋_GBK" w:eastAsia="方正仿宋_GBK" w:cs="方正仿宋_GBK"/>
          <w:color w:val="auto"/>
          <w:sz w:val="28"/>
          <w:szCs w:val="28"/>
        </w:rPr>
      </w:pPr>
      <w:r>
        <w:rPr>
          <w:rStyle w:val="9"/>
          <w:rFonts w:hint="eastAsia" w:ascii="方正仿宋_GBK" w:hAnsi="方正仿宋_GBK" w:eastAsia="方正仿宋_GBK" w:cs="方正仿宋_GBK"/>
          <w:color w:val="auto"/>
          <w:sz w:val="28"/>
          <w:szCs w:val="28"/>
        </w:rPr>
        <w:t>供应商名称（公章）：</w:t>
      </w:r>
    </w:p>
    <w:p w14:paraId="57D657AD">
      <w:pPr>
        <w:ind w:firstLine="560" w:firstLineChars="200"/>
        <w:jc w:val="center"/>
        <w:rPr>
          <w:rFonts w:hint="eastAsia" w:ascii="方正仿宋_GBK" w:hAnsi="方正仿宋_GBK" w:eastAsia="方正仿宋_GBK" w:cs="方正仿宋_GBK"/>
          <w:sz w:val="28"/>
          <w:szCs w:val="28"/>
        </w:rPr>
        <w:sectPr>
          <w:footerReference r:id="rId3" w:type="default"/>
          <w:pgSz w:w="11907" w:h="16840"/>
          <w:pgMar w:top="1134" w:right="1191" w:bottom="1134" w:left="1304" w:header="851" w:footer="992" w:gutter="0"/>
          <w:pgNumType w:start="1"/>
          <w:cols w:space="720" w:num="1"/>
          <w:docGrid w:linePitch="380" w:charSpace="-5735"/>
        </w:sectPr>
      </w:pPr>
      <w:r>
        <w:rPr>
          <w:rStyle w:val="9"/>
          <w:rFonts w:hint="eastAsia" w:ascii="方正仿宋_GBK" w:hAnsi="方正仿宋_GBK" w:eastAsia="方正仿宋_GBK" w:cs="方正仿宋_GBK"/>
          <w:color w:val="auto"/>
          <w:sz w:val="28"/>
          <w:szCs w:val="28"/>
        </w:rPr>
        <w:t xml:space="preserve">                                  年  月  日</w:t>
      </w:r>
      <w:r>
        <w:rPr>
          <w:rFonts w:hint="eastAsia" w:ascii="方正仿宋_GBK" w:hAnsi="方正仿宋_GBK" w:eastAsia="方正仿宋_GBK" w:cs="方正仿宋_GBK"/>
          <w:sz w:val="28"/>
          <w:szCs w:val="28"/>
        </w:rPr>
        <w:t xml:space="preserve">                                        </w:t>
      </w:r>
    </w:p>
    <w:p w14:paraId="54EE6728">
      <w:pPr>
        <w:snapToGrid w:val="0"/>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（二）明细报价表        </w:t>
      </w:r>
    </w:p>
    <w:p w14:paraId="58F8452B">
      <w:pPr>
        <w:pStyle w:val="2"/>
        <w:spacing w:before="0" w:after="0"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47826214">
      <w:pPr>
        <w:pStyle w:val="2"/>
        <w:spacing w:before="0" w:after="0" w:line="360" w:lineRule="auto"/>
        <w:jc w:val="center"/>
        <w:rPr>
          <w:rFonts w:hint="eastAsia" w:ascii="方正公文小标宋" w:hAnsi="方正公文小标宋" w:eastAsia="方正公文小标宋" w:cs="方正公文小标宋"/>
          <w:b w:val="0"/>
          <w:bCs/>
          <w:i w:val="0"/>
          <w:iCs w:val="0"/>
          <w:sz w:val="40"/>
          <w:szCs w:val="40"/>
        </w:rPr>
      </w:pPr>
      <w:r>
        <w:rPr>
          <w:rFonts w:hint="eastAsia" w:ascii="方正公文小标宋" w:hAnsi="方正公文小标宋" w:eastAsia="方正公文小标宋" w:cs="方正公文小标宋"/>
          <w:b w:val="0"/>
          <w:bCs/>
          <w:i w:val="0"/>
          <w:iCs w:val="0"/>
          <w:sz w:val="40"/>
          <w:szCs w:val="40"/>
        </w:rPr>
        <w:t>明细报价表</w:t>
      </w:r>
      <w:r>
        <w:rPr>
          <w:rFonts w:hint="eastAsia" w:ascii="方正公文小标宋" w:hAnsi="方正公文小标宋" w:eastAsia="方正公文小标宋" w:cs="方正公文小标宋"/>
          <w:b w:val="0"/>
          <w:bCs/>
          <w:i w:val="0"/>
          <w:iCs w:val="0"/>
          <w:sz w:val="40"/>
          <w:szCs w:val="40"/>
          <w:u w:val="single"/>
        </w:rPr>
        <w:t xml:space="preserve">（请采购人自行修改本表） </w:t>
      </w:r>
    </w:p>
    <w:p w14:paraId="6FF982D6">
      <w:pPr>
        <w:pStyle w:val="2"/>
        <w:spacing w:before="0" w:after="0" w:line="36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bl>
      <w:tblPr>
        <w:tblStyle w:val="6"/>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40E0156D">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521D495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4892B91D">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FD45DB5">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511BD03B">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33103B5B">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10C1D65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7747CD78">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18A271F4">
            <w:pPr>
              <w:pStyle w:val="3"/>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单价</w:t>
            </w:r>
          </w:p>
          <w:p w14:paraId="2AFA4CC6">
            <w:pPr>
              <w:pStyle w:val="3"/>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5F60051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合计</w:t>
            </w:r>
          </w:p>
          <w:p w14:paraId="01AF65C6">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（元）</w:t>
            </w:r>
          </w:p>
        </w:tc>
      </w:tr>
      <w:tr w14:paraId="1390CF94">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6FA2CECA">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2410" w:type="dxa"/>
            <w:tcBorders>
              <w:top w:val="nil"/>
              <w:left w:val="nil"/>
              <w:bottom w:val="single" w:color="auto" w:sz="4" w:space="0"/>
              <w:right w:val="single" w:color="auto" w:sz="4" w:space="0"/>
            </w:tcBorders>
            <w:vAlign w:val="center"/>
          </w:tcPr>
          <w:p w14:paraId="53E40435">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0" w:type="dxa"/>
            <w:tcBorders>
              <w:top w:val="nil"/>
              <w:left w:val="nil"/>
              <w:bottom w:val="single" w:color="auto" w:sz="4" w:space="0"/>
              <w:right w:val="single" w:color="auto" w:sz="4" w:space="0"/>
            </w:tcBorders>
            <w:vAlign w:val="center"/>
          </w:tcPr>
          <w:p w14:paraId="6D824396">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709" w:type="dxa"/>
            <w:tcBorders>
              <w:top w:val="nil"/>
              <w:left w:val="nil"/>
              <w:bottom w:val="single" w:color="auto" w:sz="4" w:space="0"/>
              <w:right w:val="single" w:color="auto" w:sz="4" w:space="0"/>
            </w:tcBorders>
            <w:vAlign w:val="center"/>
          </w:tcPr>
          <w:p w14:paraId="3967C5A2">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1" w:type="dxa"/>
            <w:tcBorders>
              <w:top w:val="nil"/>
              <w:left w:val="nil"/>
              <w:bottom w:val="single" w:color="auto" w:sz="4" w:space="0"/>
              <w:right w:val="single" w:color="auto" w:sz="4" w:space="0"/>
            </w:tcBorders>
            <w:vAlign w:val="center"/>
          </w:tcPr>
          <w:p w14:paraId="5D15A04E">
            <w:pPr>
              <w:keepNext/>
              <w:snapToGrid w:val="0"/>
              <w:spacing w:line="360" w:lineRule="auto"/>
              <w:jc w:val="center"/>
              <w:outlineLvl w:val="0"/>
              <w:rPr>
                <w:rFonts w:hint="eastAsia" w:ascii="方正仿宋_GBK" w:hAnsi="方正仿宋_GBK" w:eastAsia="方正仿宋_GBK" w:cs="方正仿宋_GBK"/>
                <w:sz w:val="28"/>
                <w:szCs w:val="28"/>
              </w:rPr>
            </w:pPr>
          </w:p>
        </w:tc>
        <w:tc>
          <w:tcPr>
            <w:tcW w:w="850" w:type="dxa"/>
            <w:tcBorders>
              <w:top w:val="nil"/>
              <w:left w:val="nil"/>
              <w:bottom w:val="single" w:color="auto" w:sz="4" w:space="0"/>
              <w:right w:val="single" w:color="auto" w:sz="4" w:space="0"/>
            </w:tcBorders>
            <w:vAlign w:val="center"/>
          </w:tcPr>
          <w:p w14:paraId="21B3C2FA">
            <w:pPr>
              <w:keepNext/>
              <w:snapToGrid w:val="0"/>
              <w:spacing w:line="360" w:lineRule="auto"/>
              <w:jc w:val="center"/>
              <w:outlineLvl w:val="0"/>
              <w:rPr>
                <w:rFonts w:hint="eastAsia" w:ascii="方正仿宋_GBK" w:hAnsi="方正仿宋_GBK" w:eastAsia="方正仿宋_GBK" w:cs="方正仿宋_GBK"/>
                <w:sz w:val="28"/>
                <w:szCs w:val="28"/>
              </w:rPr>
            </w:pPr>
          </w:p>
        </w:tc>
        <w:tc>
          <w:tcPr>
            <w:tcW w:w="851" w:type="dxa"/>
            <w:tcBorders>
              <w:top w:val="nil"/>
              <w:left w:val="nil"/>
              <w:bottom w:val="single" w:color="auto" w:sz="4" w:space="0"/>
              <w:right w:val="single" w:color="auto" w:sz="4" w:space="0"/>
            </w:tcBorders>
            <w:vAlign w:val="center"/>
          </w:tcPr>
          <w:p w14:paraId="084BC737">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5E264D04">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7E656997">
            <w:pPr>
              <w:keepNext/>
              <w:snapToGrid w:val="0"/>
              <w:spacing w:line="360" w:lineRule="auto"/>
              <w:jc w:val="center"/>
              <w:outlineLvl w:val="0"/>
              <w:rPr>
                <w:rFonts w:hint="eastAsia" w:ascii="方正仿宋_GBK" w:hAnsi="方正仿宋_GBK" w:eastAsia="方正仿宋_GBK" w:cs="方正仿宋_GBK"/>
                <w:sz w:val="28"/>
                <w:szCs w:val="28"/>
              </w:rPr>
            </w:pPr>
          </w:p>
        </w:tc>
      </w:tr>
      <w:tr w14:paraId="5B1D84B8">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35780ED9">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2410" w:type="dxa"/>
            <w:tcBorders>
              <w:top w:val="nil"/>
              <w:left w:val="nil"/>
              <w:bottom w:val="single" w:color="auto" w:sz="4" w:space="0"/>
              <w:right w:val="single" w:color="auto" w:sz="4" w:space="0"/>
            </w:tcBorders>
            <w:vAlign w:val="center"/>
          </w:tcPr>
          <w:p w14:paraId="59DE6981">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0" w:type="dxa"/>
            <w:tcBorders>
              <w:top w:val="nil"/>
              <w:left w:val="nil"/>
              <w:bottom w:val="single" w:color="auto" w:sz="4" w:space="0"/>
              <w:right w:val="single" w:color="auto" w:sz="4" w:space="0"/>
            </w:tcBorders>
            <w:vAlign w:val="center"/>
          </w:tcPr>
          <w:p w14:paraId="44826F6D">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709" w:type="dxa"/>
            <w:tcBorders>
              <w:top w:val="nil"/>
              <w:left w:val="nil"/>
              <w:bottom w:val="single" w:color="auto" w:sz="4" w:space="0"/>
              <w:right w:val="single" w:color="auto" w:sz="4" w:space="0"/>
            </w:tcBorders>
            <w:vAlign w:val="center"/>
          </w:tcPr>
          <w:p w14:paraId="5AF98236">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1" w:type="dxa"/>
            <w:tcBorders>
              <w:top w:val="nil"/>
              <w:left w:val="nil"/>
              <w:bottom w:val="single" w:color="auto" w:sz="4" w:space="0"/>
              <w:right w:val="single" w:color="auto" w:sz="4" w:space="0"/>
            </w:tcBorders>
            <w:vAlign w:val="center"/>
          </w:tcPr>
          <w:p w14:paraId="310534C0">
            <w:pPr>
              <w:keepNext/>
              <w:snapToGrid w:val="0"/>
              <w:spacing w:line="360" w:lineRule="auto"/>
              <w:jc w:val="center"/>
              <w:outlineLvl w:val="0"/>
              <w:rPr>
                <w:rFonts w:hint="eastAsia" w:ascii="方正仿宋_GBK" w:hAnsi="方正仿宋_GBK" w:eastAsia="方正仿宋_GBK" w:cs="方正仿宋_GBK"/>
                <w:sz w:val="28"/>
                <w:szCs w:val="28"/>
              </w:rPr>
            </w:pPr>
          </w:p>
        </w:tc>
        <w:tc>
          <w:tcPr>
            <w:tcW w:w="850" w:type="dxa"/>
            <w:tcBorders>
              <w:top w:val="nil"/>
              <w:left w:val="nil"/>
              <w:bottom w:val="single" w:color="auto" w:sz="4" w:space="0"/>
              <w:right w:val="single" w:color="auto" w:sz="4" w:space="0"/>
            </w:tcBorders>
            <w:vAlign w:val="center"/>
          </w:tcPr>
          <w:p w14:paraId="2FC56924">
            <w:pPr>
              <w:keepNext/>
              <w:snapToGrid w:val="0"/>
              <w:spacing w:line="360" w:lineRule="auto"/>
              <w:jc w:val="center"/>
              <w:outlineLvl w:val="0"/>
              <w:rPr>
                <w:rFonts w:hint="eastAsia" w:ascii="方正仿宋_GBK" w:hAnsi="方正仿宋_GBK" w:eastAsia="方正仿宋_GBK" w:cs="方正仿宋_GBK"/>
                <w:sz w:val="28"/>
                <w:szCs w:val="28"/>
              </w:rPr>
            </w:pPr>
          </w:p>
        </w:tc>
        <w:tc>
          <w:tcPr>
            <w:tcW w:w="851" w:type="dxa"/>
            <w:tcBorders>
              <w:top w:val="nil"/>
              <w:left w:val="nil"/>
              <w:bottom w:val="single" w:color="auto" w:sz="4" w:space="0"/>
              <w:right w:val="single" w:color="auto" w:sz="4" w:space="0"/>
            </w:tcBorders>
            <w:vAlign w:val="center"/>
          </w:tcPr>
          <w:p w14:paraId="435F572E">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3BA05607">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11112DFA">
            <w:pPr>
              <w:keepNext/>
              <w:snapToGrid w:val="0"/>
              <w:spacing w:line="360" w:lineRule="auto"/>
              <w:jc w:val="center"/>
              <w:outlineLvl w:val="0"/>
              <w:rPr>
                <w:rFonts w:hint="eastAsia" w:ascii="方正仿宋_GBK" w:hAnsi="方正仿宋_GBK" w:eastAsia="方正仿宋_GBK" w:cs="方正仿宋_GBK"/>
                <w:sz w:val="28"/>
                <w:szCs w:val="28"/>
              </w:rPr>
            </w:pPr>
          </w:p>
        </w:tc>
      </w:tr>
      <w:tr w14:paraId="5F954E0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67969D4">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2410" w:type="dxa"/>
            <w:tcBorders>
              <w:top w:val="nil"/>
              <w:left w:val="nil"/>
              <w:bottom w:val="single" w:color="auto" w:sz="4" w:space="0"/>
              <w:right w:val="single" w:color="auto" w:sz="4" w:space="0"/>
            </w:tcBorders>
            <w:vAlign w:val="center"/>
          </w:tcPr>
          <w:p w14:paraId="4ADD9B78">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0" w:type="dxa"/>
            <w:tcBorders>
              <w:top w:val="nil"/>
              <w:left w:val="nil"/>
              <w:bottom w:val="single" w:color="auto" w:sz="4" w:space="0"/>
              <w:right w:val="single" w:color="auto" w:sz="4" w:space="0"/>
            </w:tcBorders>
            <w:vAlign w:val="center"/>
          </w:tcPr>
          <w:p w14:paraId="32A21FF0">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709" w:type="dxa"/>
            <w:tcBorders>
              <w:top w:val="nil"/>
              <w:left w:val="nil"/>
              <w:bottom w:val="single" w:color="auto" w:sz="4" w:space="0"/>
              <w:right w:val="single" w:color="auto" w:sz="4" w:space="0"/>
            </w:tcBorders>
            <w:vAlign w:val="center"/>
          </w:tcPr>
          <w:p w14:paraId="10B00FC2">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1" w:type="dxa"/>
            <w:tcBorders>
              <w:top w:val="nil"/>
              <w:left w:val="nil"/>
              <w:bottom w:val="single" w:color="auto" w:sz="4" w:space="0"/>
              <w:right w:val="single" w:color="auto" w:sz="4" w:space="0"/>
            </w:tcBorders>
            <w:vAlign w:val="center"/>
          </w:tcPr>
          <w:p w14:paraId="4D594996">
            <w:pPr>
              <w:keepNext/>
              <w:snapToGrid w:val="0"/>
              <w:spacing w:line="360" w:lineRule="auto"/>
              <w:jc w:val="center"/>
              <w:outlineLvl w:val="0"/>
              <w:rPr>
                <w:rFonts w:hint="eastAsia" w:ascii="方正仿宋_GBK" w:hAnsi="方正仿宋_GBK" w:eastAsia="方正仿宋_GBK" w:cs="方正仿宋_GBK"/>
                <w:sz w:val="28"/>
                <w:szCs w:val="28"/>
              </w:rPr>
            </w:pPr>
          </w:p>
        </w:tc>
        <w:tc>
          <w:tcPr>
            <w:tcW w:w="850" w:type="dxa"/>
            <w:tcBorders>
              <w:top w:val="nil"/>
              <w:left w:val="nil"/>
              <w:bottom w:val="single" w:color="auto" w:sz="4" w:space="0"/>
              <w:right w:val="single" w:color="auto" w:sz="4" w:space="0"/>
            </w:tcBorders>
            <w:vAlign w:val="center"/>
          </w:tcPr>
          <w:p w14:paraId="7568DD99">
            <w:pPr>
              <w:keepNext/>
              <w:snapToGrid w:val="0"/>
              <w:spacing w:line="360" w:lineRule="auto"/>
              <w:jc w:val="center"/>
              <w:outlineLvl w:val="0"/>
              <w:rPr>
                <w:rFonts w:hint="eastAsia" w:ascii="方正仿宋_GBK" w:hAnsi="方正仿宋_GBK" w:eastAsia="方正仿宋_GBK" w:cs="方正仿宋_GBK"/>
                <w:sz w:val="28"/>
                <w:szCs w:val="28"/>
              </w:rPr>
            </w:pPr>
          </w:p>
        </w:tc>
        <w:tc>
          <w:tcPr>
            <w:tcW w:w="851" w:type="dxa"/>
            <w:tcBorders>
              <w:top w:val="nil"/>
              <w:left w:val="nil"/>
              <w:bottom w:val="single" w:color="auto" w:sz="4" w:space="0"/>
              <w:right w:val="single" w:color="auto" w:sz="4" w:space="0"/>
            </w:tcBorders>
            <w:vAlign w:val="center"/>
          </w:tcPr>
          <w:p w14:paraId="530A3C2E">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4AB38574">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64139DB0">
            <w:pPr>
              <w:keepNext/>
              <w:snapToGrid w:val="0"/>
              <w:spacing w:line="360" w:lineRule="auto"/>
              <w:jc w:val="center"/>
              <w:outlineLvl w:val="0"/>
              <w:rPr>
                <w:rFonts w:hint="eastAsia" w:ascii="方正仿宋_GBK" w:hAnsi="方正仿宋_GBK" w:eastAsia="方正仿宋_GBK" w:cs="方正仿宋_GBK"/>
                <w:sz w:val="28"/>
                <w:szCs w:val="28"/>
              </w:rPr>
            </w:pPr>
          </w:p>
        </w:tc>
      </w:tr>
      <w:tr w14:paraId="702D3EA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DDECA90">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2410" w:type="dxa"/>
            <w:tcBorders>
              <w:top w:val="nil"/>
              <w:left w:val="nil"/>
              <w:bottom w:val="single" w:color="auto" w:sz="4" w:space="0"/>
              <w:right w:val="single" w:color="auto" w:sz="4" w:space="0"/>
            </w:tcBorders>
            <w:vAlign w:val="center"/>
          </w:tcPr>
          <w:p w14:paraId="670DF1B8">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0" w:type="dxa"/>
            <w:tcBorders>
              <w:top w:val="nil"/>
              <w:left w:val="nil"/>
              <w:bottom w:val="single" w:color="auto" w:sz="4" w:space="0"/>
              <w:right w:val="single" w:color="auto" w:sz="4" w:space="0"/>
            </w:tcBorders>
            <w:vAlign w:val="center"/>
          </w:tcPr>
          <w:p w14:paraId="1CFEFFFB">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709" w:type="dxa"/>
            <w:tcBorders>
              <w:top w:val="nil"/>
              <w:left w:val="nil"/>
              <w:bottom w:val="single" w:color="auto" w:sz="4" w:space="0"/>
              <w:right w:val="single" w:color="auto" w:sz="4" w:space="0"/>
            </w:tcBorders>
            <w:vAlign w:val="center"/>
          </w:tcPr>
          <w:p w14:paraId="7DAEF561">
            <w:pPr>
              <w:widowControl/>
              <w:spacing w:line="360" w:lineRule="auto"/>
              <w:jc w:val="center"/>
              <w:textAlignment w:val="center"/>
              <w:rPr>
                <w:rFonts w:hint="eastAsia" w:ascii="方正仿宋_GBK" w:hAnsi="方正仿宋_GBK" w:eastAsia="方正仿宋_GBK" w:cs="方正仿宋_GBK"/>
                <w:kern w:val="0"/>
                <w:sz w:val="28"/>
                <w:szCs w:val="28"/>
              </w:rPr>
            </w:pPr>
          </w:p>
        </w:tc>
        <w:tc>
          <w:tcPr>
            <w:tcW w:w="851" w:type="dxa"/>
            <w:tcBorders>
              <w:top w:val="nil"/>
              <w:left w:val="nil"/>
              <w:bottom w:val="single" w:color="auto" w:sz="4" w:space="0"/>
              <w:right w:val="single" w:color="auto" w:sz="4" w:space="0"/>
            </w:tcBorders>
            <w:vAlign w:val="center"/>
          </w:tcPr>
          <w:p w14:paraId="3C088918">
            <w:pPr>
              <w:keepNext/>
              <w:snapToGrid w:val="0"/>
              <w:spacing w:line="360" w:lineRule="auto"/>
              <w:jc w:val="center"/>
              <w:outlineLvl w:val="0"/>
              <w:rPr>
                <w:rFonts w:hint="eastAsia" w:ascii="方正仿宋_GBK" w:hAnsi="方正仿宋_GBK" w:eastAsia="方正仿宋_GBK" w:cs="方正仿宋_GBK"/>
                <w:sz w:val="28"/>
                <w:szCs w:val="28"/>
              </w:rPr>
            </w:pPr>
          </w:p>
        </w:tc>
        <w:tc>
          <w:tcPr>
            <w:tcW w:w="850" w:type="dxa"/>
            <w:tcBorders>
              <w:top w:val="nil"/>
              <w:left w:val="nil"/>
              <w:bottom w:val="single" w:color="auto" w:sz="4" w:space="0"/>
              <w:right w:val="single" w:color="auto" w:sz="4" w:space="0"/>
            </w:tcBorders>
            <w:vAlign w:val="center"/>
          </w:tcPr>
          <w:p w14:paraId="2E802520">
            <w:pPr>
              <w:keepNext/>
              <w:snapToGrid w:val="0"/>
              <w:spacing w:line="360" w:lineRule="auto"/>
              <w:jc w:val="center"/>
              <w:outlineLvl w:val="0"/>
              <w:rPr>
                <w:rFonts w:hint="eastAsia" w:ascii="方正仿宋_GBK" w:hAnsi="方正仿宋_GBK" w:eastAsia="方正仿宋_GBK" w:cs="方正仿宋_GBK"/>
                <w:sz w:val="28"/>
                <w:szCs w:val="28"/>
              </w:rPr>
            </w:pPr>
          </w:p>
        </w:tc>
        <w:tc>
          <w:tcPr>
            <w:tcW w:w="851" w:type="dxa"/>
            <w:tcBorders>
              <w:top w:val="nil"/>
              <w:left w:val="nil"/>
              <w:bottom w:val="single" w:color="auto" w:sz="4" w:space="0"/>
              <w:right w:val="single" w:color="auto" w:sz="4" w:space="0"/>
            </w:tcBorders>
            <w:vAlign w:val="center"/>
          </w:tcPr>
          <w:p w14:paraId="051D1A70">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488BFE0C">
            <w:pPr>
              <w:keepNext/>
              <w:snapToGrid w:val="0"/>
              <w:spacing w:line="360" w:lineRule="auto"/>
              <w:jc w:val="center"/>
              <w:outlineLvl w:val="0"/>
              <w:rPr>
                <w:rFonts w:hint="eastAsia" w:ascii="方正仿宋_GBK" w:hAnsi="方正仿宋_GBK" w:eastAsia="方正仿宋_GBK" w:cs="方正仿宋_GBK"/>
                <w:sz w:val="28"/>
                <w:szCs w:val="28"/>
              </w:rPr>
            </w:pPr>
          </w:p>
        </w:tc>
        <w:tc>
          <w:tcPr>
            <w:tcW w:w="992" w:type="dxa"/>
            <w:tcBorders>
              <w:top w:val="nil"/>
              <w:left w:val="nil"/>
              <w:bottom w:val="single" w:color="auto" w:sz="4" w:space="0"/>
              <w:right w:val="single" w:color="auto" w:sz="4" w:space="0"/>
            </w:tcBorders>
            <w:vAlign w:val="center"/>
          </w:tcPr>
          <w:p w14:paraId="3D9DF783">
            <w:pPr>
              <w:keepNext/>
              <w:snapToGrid w:val="0"/>
              <w:spacing w:line="360" w:lineRule="auto"/>
              <w:jc w:val="center"/>
              <w:outlineLvl w:val="0"/>
              <w:rPr>
                <w:rFonts w:hint="eastAsia" w:ascii="方正仿宋_GBK" w:hAnsi="方正仿宋_GBK" w:eastAsia="方正仿宋_GBK" w:cs="方正仿宋_GBK"/>
                <w:sz w:val="28"/>
                <w:szCs w:val="28"/>
              </w:rPr>
            </w:pPr>
          </w:p>
        </w:tc>
      </w:tr>
      <w:tr w14:paraId="4909B20D">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12CA1D69">
            <w:pPr>
              <w:keepNext/>
              <w:widowControl/>
              <w:snapToGrid w:val="0"/>
              <w:spacing w:line="360" w:lineRule="auto"/>
              <w:jc w:val="center"/>
              <w:outlineLvl w:val="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合计（元）</w:t>
            </w:r>
          </w:p>
        </w:tc>
        <w:tc>
          <w:tcPr>
            <w:tcW w:w="992" w:type="dxa"/>
            <w:tcBorders>
              <w:top w:val="single" w:color="auto" w:sz="4" w:space="0"/>
              <w:left w:val="nil"/>
              <w:bottom w:val="single" w:color="auto" w:sz="4" w:space="0"/>
              <w:right w:val="single" w:color="auto" w:sz="4" w:space="0"/>
            </w:tcBorders>
          </w:tcPr>
          <w:p w14:paraId="6ED6FF36">
            <w:pPr>
              <w:keepNext/>
              <w:widowControl/>
              <w:snapToGrid w:val="0"/>
              <w:spacing w:line="360" w:lineRule="auto"/>
              <w:jc w:val="center"/>
              <w:outlineLvl w:val="0"/>
              <w:rPr>
                <w:rFonts w:hint="eastAsia" w:ascii="方正仿宋_GBK" w:hAnsi="方正仿宋_GBK" w:eastAsia="方正仿宋_GBK" w:cs="方正仿宋_GBK"/>
                <w:kern w:val="0"/>
                <w:sz w:val="28"/>
                <w:szCs w:val="28"/>
              </w:rPr>
            </w:pPr>
          </w:p>
        </w:tc>
      </w:tr>
    </w:tbl>
    <w:p w14:paraId="14008B3F">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73EAA04A">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填写要求：</w:t>
      </w:r>
    </w:p>
    <w:p w14:paraId="0B141DC3">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1.供应商应完整填写本表，并逐页盖章。</w:t>
      </w:r>
    </w:p>
    <w:p w14:paraId="1DC68474">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2.该表内容不可扩展、不可变更。</w:t>
      </w:r>
    </w:p>
    <w:p w14:paraId="63D41BF9">
      <w:pPr>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5B420462">
      <w:pPr>
        <w:pStyle w:val="11"/>
        <w:spacing w:line="360" w:lineRule="auto"/>
        <w:ind w:left="1600" w:hanging="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0EAF1725">
      <w:pPr>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14:paraId="6E179D5D">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1AFCD819">
      <w:pPr>
        <w:pStyle w:val="2"/>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70FAEC5A">
      <w:pPr>
        <w:tabs>
          <w:tab w:val="left" w:pos="6300"/>
        </w:tabs>
        <w:snapToGrid w:val="0"/>
        <w:spacing w:line="360" w:lineRule="auto"/>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二、法定代表人身份证明书（格式）/法定代表人授权委托书（格式）</w:t>
      </w:r>
      <w:r>
        <w:rPr>
          <w:rFonts w:hint="eastAsia" w:ascii="方正仿宋_GBK" w:hAnsi="方正仿宋_GBK" w:eastAsia="方正仿宋_GBK" w:cs="方正仿宋_GBK"/>
          <w:b/>
          <w:bCs/>
          <w:sz w:val="28"/>
          <w:szCs w:val="28"/>
        </w:rPr>
        <w:t>（二选一）</w:t>
      </w:r>
    </w:p>
    <w:p w14:paraId="654A3E84">
      <w:pPr>
        <w:tabs>
          <w:tab w:val="left" w:pos="6300"/>
        </w:tabs>
        <w:snapToGrid w:val="0"/>
        <w:spacing w:line="360" w:lineRule="auto"/>
        <w:jc w:val="center"/>
        <w:rPr>
          <w:rFonts w:hint="eastAsia" w:ascii="方正仿宋_GBK" w:hAnsi="方正仿宋_GBK" w:eastAsia="方正仿宋_GBK" w:cs="方正仿宋_GBK"/>
          <w:b/>
          <w:bCs/>
          <w:sz w:val="28"/>
          <w:szCs w:val="28"/>
        </w:rPr>
      </w:pPr>
    </w:p>
    <w:p w14:paraId="6C4D37AD">
      <w:pPr>
        <w:tabs>
          <w:tab w:val="left" w:pos="6300"/>
        </w:tabs>
        <w:snapToGrid w:val="0"/>
        <w:spacing w:line="360" w:lineRule="auto"/>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rPr>
        <w:t>法定代表人身份证明书</w:t>
      </w:r>
    </w:p>
    <w:p w14:paraId="695DCD00">
      <w:pPr>
        <w:tabs>
          <w:tab w:val="left" w:pos="6300"/>
        </w:tabs>
        <w:snapToGrid w:val="0"/>
        <w:spacing w:line="360" w:lineRule="auto"/>
        <w:rPr>
          <w:rFonts w:hint="eastAsia" w:ascii="方正仿宋_GBK" w:hAnsi="方正仿宋_GBK" w:eastAsia="方正仿宋_GBK" w:cs="方正仿宋_GBK"/>
          <w:sz w:val="28"/>
          <w:szCs w:val="28"/>
          <w:u w:val="single"/>
        </w:rPr>
      </w:pPr>
    </w:p>
    <w:p w14:paraId="4E8E5B3B">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Hans"/>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（采购单位名称）：</w:t>
      </w:r>
    </w:p>
    <w:p w14:paraId="464EC54B">
      <w:pPr>
        <w:tabs>
          <w:tab w:val="left" w:pos="6300"/>
        </w:tabs>
        <w:snapToGrid w:val="0"/>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（法定代表人名称及身份证代码）是</w:t>
      </w:r>
      <w:r>
        <w:rPr>
          <w:rFonts w:hint="eastAsia" w:ascii="方正仿宋_GBK" w:hAnsi="方正仿宋_GBK" w:eastAsia="方正仿宋_GBK" w:cs="方正仿宋_GBK"/>
          <w:sz w:val="28"/>
          <w:szCs w:val="28"/>
          <w:u w:val="single"/>
        </w:rPr>
        <w:t>（供应商名称）</w:t>
      </w:r>
      <w:r>
        <w:rPr>
          <w:rFonts w:hint="eastAsia" w:ascii="方正仿宋_GBK" w:hAnsi="方正仿宋_GBK" w:eastAsia="方正仿宋_GBK" w:cs="方正仿宋_GBK"/>
          <w:sz w:val="28"/>
          <w:szCs w:val="28"/>
        </w:rPr>
        <w:t>的法定代表人，电话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，代表我单位全权办理上述项目的竞采报价、签约等具体工作，并签署全部有关文件、协议及合同。签字负全部责任。</w:t>
      </w:r>
    </w:p>
    <w:p w14:paraId="56F3A670">
      <w:pPr>
        <w:tabs>
          <w:tab w:val="left" w:pos="6300"/>
        </w:tabs>
        <w:snapToGrid w:val="0"/>
        <w:spacing w:line="360" w:lineRule="auto"/>
        <w:ind w:firstLine="570"/>
        <w:rPr>
          <w:rFonts w:hint="eastAsia" w:ascii="方正仿宋_GBK" w:hAnsi="方正仿宋_GBK" w:eastAsia="方正仿宋_GBK" w:cs="方正仿宋_GBK"/>
          <w:sz w:val="28"/>
          <w:szCs w:val="28"/>
        </w:rPr>
      </w:pPr>
    </w:p>
    <w:p w14:paraId="5C44E882">
      <w:pPr>
        <w:tabs>
          <w:tab w:val="left" w:pos="6300"/>
        </w:tabs>
        <w:snapToGrid w:val="0"/>
        <w:spacing w:line="360" w:lineRule="auto"/>
        <w:ind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法定代表人（签字或盖章）：                          </w:t>
      </w:r>
    </w:p>
    <w:p w14:paraId="5A98AA8D">
      <w:pPr>
        <w:tabs>
          <w:tab w:val="left" w:pos="6300"/>
        </w:tabs>
        <w:snapToGrid w:val="0"/>
        <w:spacing w:line="360" w:lineRule="auto"/>
        <w:ind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供应商名称（公章）</w:t>
      </w:r>
    </w:p>
    <w:p w14:paraId="2DD3CF92">
      <w:pPr>
        <w:tabs>
          <w:tab w:val="left" w:pos="6300"/>
        </w:tabs>
        <w:snapToGrid w:val="0"/>
        <w:spacing w:line="360" w:lineRule="auto"/>
        <w:ind w:right="360"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31CEE08B">
      <w:pPr>
        <w:pStyle w:val="10"/>
        <w:spacing w:line="360" w:lineRule="auto"/>
        <w:rPr>
          <w:rFonts w:hint="eastAsia" w:ascii="方正仿宋_GBK" w:hAnsi="方正仿宋_GBK" w:eastAsia="方正仿宋_GBK" w:cs="方正仿宋_GBK"/>
          <w:color w:val="auto"/>
          <w:sz w:val="28"/>
          <w:szCs w:val="28"/>
        </w:rPr>
      </w:pPr>
    </w:p>
    <w:p w14:paraId="6888F96E">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p>
    <w:p w14:paraId="69D5CEFE">
      <w:pPr>
        <w:pStyle w:val="2"/>
        <w:spacing w:line="360" w:lineRule="auto"/>
        <w:rPr>
          <w:rFonts w:hint="eastAsia" w:ascii="方正仿宋_GBK" w:hAnsi="方正仿宋_GBK" w:eastAsia="方正仿宋_GBK" w:cs="方正仿宋_GBK"/>
          <w:sz w:val="28"/>
          <w:szCs w:val="28"/>
        </w:rPr>
      </w:pPr>
    </w:p>
    <w:p w14:paraId="4A72E4E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6972E4F5">
      <w:pPr>
        <w:tabs>
          <w:tab w:val="left" w:pos="6300"/>
        </w:tabs>
        <w:snapToGrid w:val="0"/>
        <w:spacing w:line="360" w:lineRule="auto"/>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rPr>
        <w:t>法定代表人授权委托书</w:t>
      </w:r>
    </w:p>
    <w:p w14:paraId="77C677B9">
      <w:pPr>
        <w:tabs>
          <w:tab w:val="left" w:pos="6300"/>
        </w:tabs>
        <w:snapToGrid w:val="0"/>
        <w:spacing w:line="360" w:lineRule="auto"/>
        <w:rPr>
          <w:rFonts w:hint="eastAsia" w:ascii="方正仿宋_GBK" w:hAnsi="方正仿宋_GBK" w:eastAsia="方正仿宋_GBK" w:cs="方正仿宋_GBK"/>
          <w:sz w:val="28"/>
          <w:szCs w:val="28"/>
          <w:u w:val="single"/>
        </w:rPr>
      </w:pPr>
    </w:p>
    <w:p w14:paraId="13EBE38E">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Hans"/>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（采购单位名称）：</w:t>
      </w:r>
    </w:p>
    <w:p w14:paraId="5B856F10">
      <w:pPr>
        <w:tabs>
          <w:tab w:val="left" w:pos="6300"/>
        </w:tabs>
        <w:wordWrap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（法定代表人名称）是</w:t>
      </w:r>
      <w:r>
        <w:rPr>
          <w:rFonts w:hint="eastAsia" w:ascii="方正仿宋_GBK" w:hAnsi="方正仿宋_GBK" w:eastAsia="方正仿宋_GBK" w:cs="方正仿宋_GBK"/>
          <w:sz w:val="28"/>
          <w:szCs w:val="28"/>
          <w:u w:val="single"/>
        </w:rPr>
        <w:t>（供应商名称）</w:t>
      </w:r>
      <w:r>
        <w:rPr>
          <w:rFonts w:hint="eastAsia" w:ascii="方正仿宋_GBK" w:hAnsi="方正仿宋_GBK" w:eastAsia="方正仿宋_GBK" w:cs="方正仿宋_GBK"/>
          <w:sz w:val="28"/>
          <w:szCs w:val="28"/>
        </w:rPr>
        <w:t>的法定代表人，特授权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（被授权人姓名及身份证代码）电话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，代表我单位全权办理上述项目的竞采报价、签约等具体工作，并签署全部有关文件、协议及合同。</w:t>
      </w:r>
    </w:p>
    <w:p w14:paraId="2902A6A9">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14:paraId="65C05FCF">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w:t>
      </w:r>
      <w:r>
        <w:rPr>
          <w:rFonts w:hint="eastAsia" w:ascii="方正仿宋_GBK" w:hAnsi="方正仿宋_GBK" w:eastAsia="方正仿宋_GBK" w:cs="方正仿宋_GBK"/>
          <w:sz w:val="28"/>
          <w:szCs w:val="28"/>
          <w:lang w:eastAsia="zh-Hans"/>
        </w:rPr>
        <w:t>的</w:t>
      </w:r>
      <w:r>
        <w:rPr>
          <w:rFonts w:hint="eastAsia" w:ascii="方正仿宋_GBK" w:hAnsi="方正仿宋_GBK" w:eastAsia="方正仿宋_GBK" w:cs="方正仿宋_GBK"/>
          <w:sz w:val="28"/>
          <w:szCs w:val="28"/>
        </w:rPr>
        <w:t>书面通知以前，本授权书一直有效。被授权人在授权书有效期内签署的所有文件不因授权的撤消而失效。</w:t>
      </w:r>
    </w:p>
    <w:p w14:paraId="20286DCE">
      <w:pPr>
        <w:tabs>
          <w:tab w:val="left" w:pos="6300"/>
        </w:tabs>
        <w:snapToGrid w:val="0"/>
        <w:spacing w:line="360" w:lineRule="auto"/>
        <w:ind w:firstLine="570"/>
        <w:rPr>
          <w:rFonts w:hint="eastAsia" w:ascii="方正仿宋_GBK" w:hAnsi="方正仿宋_GBK" w:eastAsia="方正仿宋_GBK" w:cs="方正仿宋_GBK"/>
          <w:sz w:val="28"/>
          <w:szCs w:val="28"/>
        </w:rPr>
      </w:pPr>
    </w:p>
    <w:p w14:paraId="4A093700">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法定代表人：</w:t>
      </w:r>
    </w:p>
    <w:p w14:paraId="5E8FD98F">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（签字或盖章）                      （签字或盖章）</w:t>
      </w:r>
    </w:p>
    <w:p w14:paraId="4F9A25A1">
      <w:pPr>
        <w:tabs>
          <w:tab w:val="left" w:pos="6300"/>
        </w:tabs>
        <w:snapToGrid w:val="0"/>
        <w:spacing w:line="360" w:lineRule="auto"/>
        <w:ind w:firstLine="570"/>
        <w:rPr>
          <w:rFonts w:hint="eastAsia" w:ascii="方正仿宋_GBK" w:hAnsi="方正仿宋_GBK" w:eastAsia="方正仿宋_GBK" w:cs="方正仿宋_GBK"/>
          <w:sz w:val="28"/>
          <w:szCs w:val="28"/>
        </w:rPr>
      </w:pPr>
    </w:p>
    <w:p w14:paraId="67A273CB">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（附：被授权人、法定代表人身份证正反面复印件）</w:t>
      </w:r>
    </w:p>
    <w:p w14:paraId="5E411892">
      <w:pPr>
        <w:tabs>
          <w:tab w:val="left" w:pos="6300"/>
        </w:tabs>
        <w:snapToGrid w:val="0"/>
        <w:spacing w:line="360" w:lineRule="auto"/>
        <w:ind w:firstLine="570"/>
        <w:rPr>
          <w:rFonts w:hint="eastAsia" w:ascii="方正仿宋_GBK" w:hAnsi="方正仿宋_GBK" w:eastAsia="方正仿宋_GBK" w:cs="方正仿宋_GBK"/>
          <w:sz w:val="28"/>
          <w:szCs w:val="28"/>
        </w:rPr>
      </w:pPr>
    </w:p>
    <w:p w14:paraId="0258937A">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供应商名称（公章）</w:t>
      </w:r>
    </w:p>
    <w:p w14:paraId="1B1E5B28">
      <w:pPr>
        <w:tabs>
          <w:tab w:val="left" w:pos="6300"/>
        </w:tabs>
        <w:snapToGrid w:val="0"/>
        <w:spacing w:line="360" w:lineRule="auto"/>
        <w:ind w:right="480"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769BCAF9">
      <w:pPr>
        <w:pStyle w:val="2"/>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1C6A133">
      <w:pPr>
        <w:numPr>
          <w:ilvl w:val="0"/>
          <w:numId w:val="3"/>
        </w:numPr>
        <w:tabs>
          <w:tab w:val="left" w:pos="6300"/>
        </w:tabs>
        <w:snapToGrid w:val="0"/>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基本资格条件承诺函</w:t>
      </w:r>
    </w:p>
    <w:p w14:paraId="4C230D59">
      <w:pPr>
        <w:pStyle w:val="10"/>
        <w:rPr>
          <w:rFonts w:hint="eastAsia" w:ascii="方正仿宋_GBK" w:hAnsi="方正仿宋_GBK" w:eastAsia="方正仿宋_GBK" w:cs="方正仿宋_GBK"/>
          <w:color w:val="auto"/>
          <w:sz w:val="28"/>
          <w:szCs w:val="28"/>
        </w:rPr>
      </w:pPr>
    </w:p>
    <w:p w14:paraId="77C3F7C7">
      <w:pPr>
        <w:snapToGrid w:val="0"/>
        <w:spacing w:line="360" w:lineRule="auto"/>
        <w:ind w:firstLine="570"/>
        <w:jc w:val="center"/>
        <w:rPr>
          <w:rFonts w:hint="eastAsia" w:ascii="方正公文小标宋" w:hAnsi="方正公文小标宋" w:eastAsia="方正公文小标宋" w:cs="方正公文小标宋"/>
          <w:b w:val="0"/>
          <w:bCs/>
          <w:sz w:val="40"/>
          <w:szCs w:val="40"/>
        </w:rPr>
      </w:pPr>
      <w:r>
        <w:rPr>
          <w:rFonts w:hint="eastAsia" w:ascii="方正公文小标宋" w:hAnsi="方正公文小标宋" w:eastAsia="方正公文小标宋" w:cs="方正公文小标宋"/>
          <w:b w:val="0"/>
          <w:bCs/>
          <w:sz w:val="40"/>
          <w:szCs w:val="40"/>
        </w:rPr>
        <w:t>基本资格条件承诺函</w:t>
      </w:r>
    </w:p>
    <w:p w14:paraId="34059570">
      <w:pPr>
        <w:snapToGrid w:val="0"/>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p>
    <w:p w14:paraId="5542C52D">
      <w:pPr>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（采购单位名称）：</w:t>
      </w:r>
    </w:p>
    <w:p w14:paraId="7D9320DE">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（供应商名称）郑重承诺：</w:t>
      </w:r>
    </w:p>
    <w:p w14:paraId="1060D678">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6E1069C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2.我方未列入在信用中国网站（www.creditchina.gov.cn）“失信被执行人”、“重大税收违法案件当事人名单”中，也未列入中国政府采购网（www.ccgp.gov.cn）“政府采购严重违法失信行为记录名单”中。</w:t>
      </w:r>
    </w:p>
    <w:p w14:paraId="06B6A2E8">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3.我方在项目评审环节结束后，随时接受采购人检查验证，配合提供相关证明材料，证明符合《中华人民共和国政府采购法》第二十二条规定的供应商基本资格条件。</w:t>
      </w:r>
    </w:p>
    <w:p w14:paraId="279446F8">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我方对以上承诺负全部法律责任。</w:t>
      </w:r>
    </w:p>
    <w:p w14:paraId="7E7363C5">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14:paraId="2BC767F1">
      <w:pPr>
        <w:pStyle w:val="10"/>
        <w:rPr>
          <w:rFonts w:hint="eastAsia" w:ascii="方正仿宋_GBK" w:hAnsi="方正仿宋_GBK" w:eastAsia="方正仿宋_GBK" w:cs="方正仿宋_GBK"/>
          <w:color w:val="auto"/>
          <w:sz w:val="28"/>
          <w:szCs w:val="28"/>
        </w:rPr>
      </w:pPr>
    </w:p>
    <w:p w14:paraId="1BEB4745">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供应商名称（公章）</w:t>
      </w:r>
    </w:p>
    <w:p w14:paraId="2C19D6D1">
      <w:pPr>
        <w:tabs>
          <w:tab w:val="left" w:pos="6300"/>
        </w:tabs>
        <w:snapToGrid w:val="0"/>
        <w:spacing w:line="360" w:lineRule="auto"/>
        <w:ind w:right="480"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7652E4F7">
      <w:pPr>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6526DE26">
      <w:pPr>
        <w:tabs>
          <w:tab w:val="left" w:pos="6300"/>
        </w:tabs>
        <w:snapToGrid w:val="0"/>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四、特定资格条件证书或证明文件</w:t>
      </w:r>
    </w:p>
    <w:p w14:paraId="1F2552EA">
      <w:pPr>
        <w:pStyle w:val="2"/>
        <w:spacing w:line="360" w:lineRule="auto"/>
        <w:rPr>
          <w:rFonts w:hint="eastAsia" w:ascii="方正仿宋_GBK" w:hAnsi="方正仿宋_GBK" w:eastAsia="方正仿宋_GBK" w:cs="方正仿宋_GBK"/>
          <w:sz w:val="28"/>
          <w:szCs w:val="28"/>
        </w:rPr>
      </w:pPr>
    </w:p>
    <w:p w14:paraId="75EA9F31">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p>
    <w:p w14:paraId="44E9FFE1">
      <w:pPr>
        <w:pStyle w:val="2"/>
        <w:spacing w:line="360" w:lineRule="auto"/>
        <w:rPr>
          <w:rFonts w:hint="eastAsia" w:ascii="方正仿宋_GBK" w:hAnsi="方正仿宋_GBK" w:eastAsia="方正仿宋_GBK" w:cs="方正仿宋_GBK"/>
          <w:sz w:val="28"/>
          <w:szCs w:val="28"/>
        </w:rPr>
      </w:pPr>
    </w:p>
    <w:p w14:paraId="600A35ED">
      <w:pPr>
        <w:spacing w:line="360" w:lineRule="auto"/>
        <w:rPr>
          <w:rFonts w:hint="eastAsia" w:ascii="方正仿宋_GBK" w:hAnsi="方正仿宋_GBK" w:eastAsia="方正仿宋_GBK" w:cs="方正仿宋_GBK"/>
          <w:sz w:val="28"/>
          <w:szCs w:val="28"/>
        </w:rPr>
      </w:pPr>
    </w:p>
    <w:p w14:paraId="02C3A11D">
      <w:pPr>
        <w:pStyle w:val="2"/>
        <w:spacing w:line="360" w:lineRule="auto"/>
        <w:rPr>
          <w:rFonts w:hint="eastAsia" w:ascii="方正仿宋_GBK" w:hAnsi="方正仿宋_GBK" w:eastAsia="方正仿宋_GBK" w:cs="方正仿宋_GBK"/>
          <w:sz w:val="28"/>
          <w:szCs w:val="28"/>
        </w:rPr>
      </w:pPr>
    </w:p>
    <w:p w14:paraId="26088B1C">
      <w:pPr>
        <w:spacing w:line="360" w:lineRule="auto"/>
        <w:rPr>
          <w:rFonts w:hint="eastAsia" w:ascii="方正仿宋_GBK" w:hAnsi="方正仿宋_GBK" w:eastAsia="方正仿宋_GBK" w:cs="方正仿宋_GBK"/>
          <w:sz w:val="28"/>
          <w:szCs w:val="28"/>
        </w:rPr>
      </w:pPr>
    </w:p>
    <w:p w14:paraId="30CD8625">
      <w:pPr>
        <w:pStyle w:val="2"/>
        <w:spacing w:line="360" w:lineRule="auto"/>
        <w:rPr>
          <w:rFonts w:hint="eastAsia" w:ascii="方正仿宋_GBK" w:hAnsi="方正仿宋_GBK" w:eastAsia="方正仿宋_GBK" w:cs="方正仿宋_GBK"/>
          <w:sz w:val="28"/>
          <w:szCs w:val="28"/>
        </w:rPr>
      </w:pPr>
    </w:p>
    <w:p w14:paraId="57A0032B">
      <w:pPr>
        <w:spacing w:line="360" w:lineRule="auto"/>
        <w:rPr>
          <w:rFonts w:hint="eastAsia" w:ascii="方正仿宋_GBK" w:hAnsi="方正仿宋_GBK" w:eastAsia="方正仿宋_GBK" w:cs="方正仿宋_GBK"/>
          <w:sz w:val="28"/>
          <w:szCs w:val="28"/>
        </w:rPr>
      </w:pPr>
    </w:p>
    <w:p w14:paraId="1FC75DA6">
      <w:pPr>
        <w:pStyle w:val="2"/>
        <w:spacing w:line="360" w:lineRule="auto"/>
        <w:rPr>
          <w:rFonts w:hint="eastAsia" w:ascii="方正仿宋_GBK" w:hAnsi="方正仿宋_GBK" w:eastAsia="方正仿宋_GBK" w:cs="方正仿宋_GBK"/>
          <w:sz w:val="28"/>
          <w:szCs w:val="28"/>
        </w:rPr>
      </w:pPr>
    </w:p>
    <w:p w14:paraId="3E6072F6">
      <w:pPr>
        <w:spacing w:line="360" w:lineRule="auto"/>
        <w:rPr>
          <w:rFonts w:hint="eastAsia" w:ascii="方正仿宋_GBK" w:hAnsi="方正仿宋_GBK" w:eastAsia="方正仿宋_GBK" w:cs="方正仿宋_GBK"/>
          <w:sz w:val="28"/>
          <w:szCs w:val="28"/>
        </w:rPr>
      </w:pPr>
    </w:p>
    <w:p w14:paraId="1527100D">
      <w:pPr>
        <w:tabs>
          <w:tab w:val="left" w:pos="6300"/>
        </w:tabs>
        <w:snapToGrid w:val="0"/>
        <w:spacing w:line="360" w:lineRule="auto"/>
        <w:ind w:right="-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14:paraId="0090370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18D600D-09D1-4573-8E41-741AE3B00166}"/>
  </w:font>
  <w:font w:name="方正公文小标宋">
    <w:panose1 w:val="02000500000000000000"/>
    <w:charset w:val="86"/>
    <w:family w:val="auto"/>
    <w:pitch w:val="default"/>
    <w:sig w:usb0="A00002BF" w:usb1="38CF7CFA" w:usb2="00000016" w:usb3="00000000" w:csb0="00040001" w:csb1="00000000"/>
    <w:embedRegular r:id="rId2" w:fontKey="{E7883CF4-5B70-4A89-A960-4F32C3CBE207}"/>
  </w:font>
  <w:font w:name="方正仿宋_GBK">
    <w:panose1 w:val="03000509000000000000"/>
    <w:charset w:val="86"/>
    <w:family w:val="auto"/>
    <w:pitch w:val="default"/>
    <w:sig w:usb0="00000001" w:usb1="080E0000" w:usb2="00000000" w:usb3="00000000" w:csb0="00040000" w:csb1="00000000"/>
    <w:embedRegular r:id="rId3" w:fontKey="{F64BB03A-2947-4D55-9091-7BA936BA06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FF2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09BE8">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009BE8">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75ABA"/>
    <w:multiLevelType w:val="singleLevel"/>
    <w:tmpl w:val="9D275ABA"/>
    <w:lvl w:ilvl="0" w:tentative="0">
      <w:start w:val="1"/>
      <w:numFmt w:val="chineseCounting"/>
      <w:suff w:val="nothing"/>
      <w:lvlText w:val="（%1）"/>
      <w:lvlJc w:val="left"/>
      <w:rPr>
        <w:rFonts w:hint="eastAsia"/>
      </w:rPr>
    </w:lvl>
  </w:abstractNum>
  <w:abstractNum w:abstractNumId="1">
    <w:nsid w:val="0CAEB845"/>
    <w:multiLevelType w:val="singleLevel"/>
    <w:tmpl w:val="0CAEB845"/>
    <w:lvl w:ilvl="0" w:tentative="0">
      <w:start w:val="2"/>
      <w:numFmt w:val="chineseCounting"/>
      <w:suff w:val="nothing"/>
      <w:lvlText w:val="%1、"/>
      <w:lvlJc w:val="left"/>
      <w:rPr>
        <w:rFonts w:hint="eastAsia"/>
      </w:rPr>
    </w:lvl>
  </w:abstractNum>
  <w:abstractNum w:abstractNumId="2">
    <w:nsid w:val="628F9547"/>
    <w:multiLevelType w:val="singleLevel"/>
    <w:tmpl w:val="628F9547"/>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50C3F"/>
    <w:rsid w:val="12221783"/>
    <w:rsid w:val="17050C3F"/>
    <w:rsid w:val="224C6F09"/>
    <w:rsid w:val="2EC92CDF"/>
    <w:rsid w:val="349E076A"/>
    <w:rsid w:val="374E2F3F"/>
    <w:rsid w:val="3FFB1E97"/>
    <w:rsid w:val="6B0B7716"/>
    <w:rsid w:val="720D12A3"/>
    <w:rsid w:val="7F6D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333333"/>
      <w:u w:val="none"/>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
    <w:name w:val="目录 11"/>
    <w:basedOn w:val="1"/>
    <w:next w:val="1"/>
    <w:qFormat/>
    <w:uiPriority w:val="0"/>
    <w:pPr>
      <w:jc w:val="center"/>
    </w:pPr>
    <w:rPr>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Words>
  <Characters>100</Characters>
  <Lines>0</Lines>
  <Paragraphs>0</Paragraphs>
  <TotalTime>29</TotalTime>
  <ScaleCrop>false</ScaleCrop>
  <LinksUpToDate>false</LinksUpToDate>
  <CharactersWithSpaces>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2025-07-08T01:12:00Z</dcterms:created>
  <dc:creator>wh</dc:creator>
  <cp:lastModifiedBy>wh</cp:lastModifiedBy>
  <dcterms:modified xsi:type="dcterms:W3CDTF">2025-07-10T04:22:31Z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70740B9E1E6840CD85C4CBD0A55D6561_11</vt:lpwstr>
  </property>
  <property fmtid="{D5CDD505-2E9C-101B-9397-08002B2CF9AE}" pid="4" name="KSOTemplateDocerSaveRecord">
    <vt:lpwstr>eyJoZGlkIjoiYmQ5MDAxZmM1YWRlMmJmOTdmMTE3YjA1OWU2OTUwMWUiLCJ1c2VySWQiOiI2MjQwOTM2MjgifQ==</vt:lpwstr>
  </property>
</Properties>
</file>