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36"/>
          <w:szCs w:val="36"/>
        </w:rPr>
      </w:pPr>
      <w:r>
        <w:rPr>
          <w:rFonts w:hint="eastAsia"/>
          <w:b/>
          <w:bCs/>
          <w:sz w:val="36"/>
          <w:szCs w:val="36"/>
        </w:rPr>
        <w:t>采购需求</w:t>
      </w:r>
    </w:p>
    <w:p>
      <w:pPr>
        <w:spacing w:line="460" w:lineRule="exact"/>
        <w:rPr>
          <w:rFonts w:ascii="仿宋" w:hAnsi="仿宋" w:eastAsia="仿宋" w:cs="Times New Roman"/>
          <w:b/>
          <w:bCs/>
          <w:sz w:val="28"/>
          <w:szCs w:val="28"/>
        </w:rPr>
      </w:pPr>
    </w:p>
    <w:p>
      <w:pPr>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一、项目名称：</w:t>
      </w:r>
      <w:r>
        <w:rPr>
          <w:rFonts w:hint="eastAsia" w:ascii="仿宋" w:hAnsi="仿宋" w:eastAsia="仿宋" w:cs="仿宋"/>
          <w:sz w:val="30"/>
          <w:szCs w:val="30"/>
          <w:lang w:val="en-US" w:eastAsia="zh-CN"/>
        </w:rPr>
        <w:t>东方红校区</w:t>
      </w:r>
      <w:r>
        <w:rPr>
          <w:rFonts w:hint="eastAsia" w:ascii="仿宋" w:hAnsi="仿宋" w:eastAsia="仿宋" w:cs="仿宋"/>
          <w:sz w:val="30"/>
          <w:szCs w:val="30"/>
        </w:rPr>
        <w:t>中心机房网络安全技术保障</w:t>
      </w:r>
    </w:p>
    <w:p>
      <w:pPr>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 xml:space="preserve">二、归口管理部门名称： </w:t>
      </w:r>
      <w:r>
        <w:rPr>
          <w:rFonts w:hint="eastAsia" w:ascii="仿宋" w:hAnsi="仿宋" w:eastAsia="仿宋" w:cs="仿宋"/>
          <w:sz w:val="30"/>
          <w:szCs w:val="30"/>
        </w:rPr>
        <w:t>现代教育技术与网络中心</w:t>
      </w:r>
    </w:p>
    <w:p>
      <w:pPr>
        <w:spacing w:line="520" w:lineRule="exact"/>
        <w:ind w:firstLine="602" w:firstLineChars="200"/>
        <w:rPr>
          <w:rFonts w:ascii="仿宋" w:hAnsi="仿宋" w:eastAsia="仿宋" w:cs="仿宋"/>
          <w:sz w:val="30"/>
          <w:szCs w:val="30"/>
        </w:rPr>
      </w:pPr>
      <w:r>
        <w:rPr>
          <w:rFonts w:hint="eastAsia" w:ascii="仿宋" w:hAnsi="仿宋" w:eastAsia="仿宋" w:cs="仿宋"/>
          <w:b/>
          <w:bCs/>
          <w:sz w:val="30"/>
          <w:szCs w:val="30"/>
        </w:rPr>
        <w:t>三、项目基本情况（含项目简述、预算、商务要求、技术要求等）</w:t>
      </w:r>
    </w:p>
    <w:p>
      <w:pPr>
        <w:spacing w:line="520" w:lineRule="exact"/>
        <w:ind w:firstLine="600" w:firstLineChars="200"/>
        <w:rPr>
          <w:rFonts w:ascii="仿宋" w:hAnsi="仿宋" w:eastAsia="仿宋" w:cs="仿宋"/>
          <w:sz w:val="30"/>
          <w:szCs w:val="30"/>
        </w:rPr>
      </w:pPr>
      <w:r>
        <w:rPr>
          <w:rFonts w:hint="eastAsia" w:ascii="仿宋" w:hAnsi="仿宋" w:eastAsia="仿宋" w:cs="仿宋"/>
          <w:sz w:val="30"/>
          <w:szCs w:val="30"/>
        </w:rPr>
        <w:t>1.项目简述</w:t>
      </w:r>
    </w:p>
    <w:p>
      <w:pPr>
        <w:pStyle w:val="2"/>
        <w:spacing w:line="520" w:lineRule="exact"/>
        <w:jc w:val="left"/>
        <w:rPr>
          <w:rFonts w:ascii="仿宋" w:hAnsi="仿宋" w:eastAsia="仿宋"/>
          <w:sz w:val="30"/>
          <w:szCs w:val="30"/>
        </w:rPr>
      </w:pPr>
      <w:r>
        <w:rPr>
          <w:rFonts w:hint="eastAsia"/>
          <w:sz w:val="30"/>
          <w:szCs w:val="30"/>
        </w:rPr>
        <w:t xml:space="preserve">   </w:t>
      </w:r>
      <w:r>
        <w:rPr>
          <w:rFonts w:hint="eastAsia" w:ascii="仿宋" w:hAnsi="仿宋" w:eastAsia="仿宋"/>
          <w:sz w:val="30"/>
          <w:szCs w:val="30"/>
        </w:rPr>
        <w:t xml:space="preserve"> 随着学校快速发展和网络安全的需要，设备和网络越来越多越来越复杂，且学校办公、学生用水用电就餐等完全依赖网络限时通讯。我校网络关键设备维保及特征库已经过期且设备的故障率会随使用年限上升，因此必须对机房内的关键设备进行运维升级支持，确保校园网络信息设备的正常运行，确保学校网络硬件设备设施稳定通畅。</w:t>
      </w:r>
    </w:p>
    <w:p>
      <w:pPr>
        <w:pStyle w:val="2"/>
        <w:spacing w:line="520" w:lineRule="exact"/>
        <w:jc w:val="left"/>
        <w:rPr>
          <w:rFonts w:ascii="仿宋" w:hAnsi="仿宋" w:eastAsia="仿宋"/>
          <w:sz w:val="30"/>
          <w:szCs w:val="30"/>
        </w:rPr>
      </w:pPr>
      <w:r>
        <w:rPr>
          <w:rFonts w:hint="eastAsia" w:ascii="仿宋" w:hAnsi="仿宋" w:eastAsia="仿宋"/>
          <w:sz w:val="30"/>
          <w:szCs w:val="30"/>
        </w:rPr>
        <w:t xml:space="preserve">    学校业务网络和办公网络面临外部和内部一系列新型复杂的安全威胁，因此还需要有专业的技术团队提供专业的服务，定期为学校各业务系统和校园网安全进行渗透测试、整改和加固等服务。   </w:t>
      </w:r>
    </w:p>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2.项目预算情况</w:t>
      </w:r>
    </w:p>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采购控制价：27.2513万元</w:t>
      </w:r>
      <w:r>
        <w:rPr>
          <w:rFonts w:hint="eastAsia" w:ascii="仿宋" w:hAnsi="仿宋" w:eastAsia="仿宋" w:cs="仿宋"/>
          <w:kern w:val="0"/>
          <w:sz w:val="30"/>
          <w:szCs w:val="30"/>
          <w:lang w:eastAsia="zh-CN"/>
        </w:rPr>
        <w:t>（</w:t>
      </w:r>
      <w:r>
        <w:rPr>
          <w:rFonts w:hint="eastAsia" w:ascii="仿宋" w:hAnsi="仿宋" w:eastAsia="仿宋"/>
          <w:color w:val="000000" w:themeColor="text1"/>
          <w:kern w:val="0"/>
          <w:sz w:val="30"/>
          <w:szCs w:val="30"/>
        </w:rPr>
        <w:t>审计控制价</w:t>
      </w:r>
      <w:r>
        <w:rPr>
          <w:rFonts w:hint="eastAsia" w:ascii="仿宋" w:hAnsi="仿宋" w:eastAsia="仿宋" w:cs="仿宋"/>
          <w:kern w:val="0"/>
          <w:sz w:val="30"/>
          <w:szCs w:val="30"/>
        </w:rPr>
        <w:t>27.136</w:t>
      </w:r>
      <w:r>
        <w:rPr>
          <w:rFonts w:hint="eastAsia" w:ascii="仿宋" w:hAnsi="仿宋" w:eastAsia="仿宋"/>
          <w:color w:val="000000" w:themeColor="text1"/>
          <w:kern w:val="0"/>
          <w:sz w:val="30"/>
          <w:szCs w:val="30"/>
        </w:rPr>
        <w:t>万元</w:t>
      </w:r>
      <w:r>
        <w:rPr>
          <w:rFonts w:ascii="仿宋" w:hAnsi="仿宋" w:eastAsia="仿宋"/>
          <w:color w:val="000000" w:themeColor="text1"/>
          <w:kern w:val="0"/>
          <w:sz w:val="30"/>
          <w:szCs w:val="30"/>
        </w:rPr>
        <w:t>+</w:t>
      </w:r>
      <w:r>
        <w:rPr>
          <w:rFonts w:hint="eastAsia" w:ascii="仿宋" w:hAnsi="仿宋" w:eastAsia="仿宋"/>
          <w:color w:val="000000" w:themeColor="text1"/>
          <w:kern w:val="0"/>
          <w:sz w:val="30"/>
          <w:szCs w:val="30"/>
        </w:rPr>
        <w:t>审计咨询费0</w:t>
      </w:r>
      <w:r>
        <w:rPr>
          <w:rFonts w:ascii="仿宋" w:hAnsi="仿宋" w:eastAsia="仿宋"/>
          <w:color w:val="000000" w:themeColor="text1"/>
          <w:kern w:val="0"/>
          <w:sz w:val="30"/>
          <w:szCs w:val="30"/>
        </w:rPr>
        <w:t>.1</w:t>
      </w:r>
      <w:r>
        <w:rPr>
          <w:rFonts w:hint="eastAsia" w:ascii="仿宋" w:hAnsi="仿宋" w:eastAsia="仿宋"/>
          <w:color w:val="000000" w:themeColor="text1"/>
          <w:kern w:val="0"/>
          <w:sz w:val="30"/>
          <w:szCs w:val="30"/>
          <w:lang w:val="en-US" w:eastAsia="zh-CN"/>
        </w:rPr>
        <w:t>153</w:t>
      </w:r>
      <w:r>
        <w:rPr>
          <w:rFonts w:hint="eastAsia" w:ascii="仿宋" w:hAnsi="仿宋" w:eastAsia="仿宋"/>
          <w:color w:val="000000" w:themeColor="text1"/>
          <w:kern w:val="0"/>
          <w:sz w:val="30"/>
          <w:szCs w:val="30"/>
        </w:rPr>
        <w:t>万元</w:t>
      </w:r>
      <w:r>
        <w:rPr>
          <w:rFonts w:hint="eastAsia" w:ascii="仿宋" w:hAnsi="仿宋" w:eastAsia="仿宋" w:cs="仿宋"/>
          <w:kern w:val="0"/>
          <w:sz w:val="30"/>
          <w:szCs w:val="30"/>
          <w:lang w:eastAsia="zh-CN"/>
        </w:rPr>
        <w:t>）</w:t>
      </w:r>
      <w:r>
        <w:rPr>
          <w:rFonts w:hint="eastAsia" w:ascii="仿宋" w:hAnsi="仿宋" w:eastAsia="仿宋" w:cs="仿宋"/>
          <w:kern w:val="0"/>
          <w:sz w:val="30"/>
          <w:szCs w:val="30"/>
        </w:rPr>
        <w:t>　　　　　　</w:t>
      </w:r>
    </w:p>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审计控制价：27.136万元</w:t>
      </w:r>
    </w:p>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送审预算价：30万元</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3.</w:t>
      </w:r>
      <w:r>
        <w:rPr>
          <w:rFonts w:hint="eastAsia" w:ascii="仿宋" w:hAnsi="仿宋" w:eastAsia="仿宋" w:cs="仿宋"/>
          <w:color w:val="000000"/>
          <w:sz w:val="30"/>
          <w:szCs w:val="30"/>
        </w:rPr>
        <w:t>采购方式</w:t>
      </w:r>
    </w:p>
    <w:p>
      <w:pPr>
        <w:pStyle w:val="2"/>
        <w:spacing w:line="520" w:lineRule="exact"/>
        <w:ind w:firstLine="600" w:firstLineChars="200"/>
        <w:jc w:val="both"/>
        <w:rPr>
          <w:sz w:val="30"/>
          <w:szCs w:val="30"/>
        </w:rPr>
      </w:pPr>
      <w:r>
        <w:rPr>
          <w:rFonts w:hint="eastAsia" w:ascii="仿宋" w:hAnsi="仿宋" w:eastAsia="仿宋" w:cs="仿宋"/>
          <w:sz w:val="30"/>
          <w:szCs w:val="30"/>
        </w:rPr>
        <w:t>湖南省政府采购电子卖场竞价</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4.</w:t>
      </w:r>
      <w:r>
        <w:rPr>
          <w:rFonts w:hint="eastAsia" w:ascii="仿宋" w:hAnsi="仿宋" w:eastAsia="仿宋" w:cs="仿宋"/>
          <w:color w:val="000000"/>
          <w:sz w:val="30"/>
          <w:szCs w:val="30"/>
        </w:rPr>
        <w:t>采购内容（摘要，含主要技术参数与要求，如有星号条款则需注明）</w:t>
      </w:r>
    </w:p>
    <w:p>
      <w:pPr>
        <w:pStyle w:val="2"/>
        <w:spacing w:line="520" w:lineRule="exact"/>
        <w:ind w:firstLine="420"/>
        <w:jc w:val="left"/>
        <w:rPr>
          <w:rFonts w:ascii="仿宋" w:hAnsi="仿宋" w:eastAsia="仿宋"/>
          <w:sz w:val="30"/>
          <w:szCs w:val="30"/>
        </w:rPr>
      </w:pPr>
      <w:r>
        <w:rPr>
          <w:rFonts w:hint="eastAsia" w:ascii="仿宋" w:hAnsi="仿宋" w:eastAsia="仿宋"/>
          <w:sz w:val="30"/>
          <w:szCs w:val="30"/>
        </w:rPr>
        <w:t>本次建设的范围含：1.攻防演练网络安全服务(2年)；2.学校迪普安全设备维保及特征库(1年）(需提供原厂盖章授权函);</w:t>
      </w:r>
      <w:r>
        <w:rPr>
          <w:rFonts w:hint="eastAsia"/>
        </w:rPr>
        <w:t xml:space="preserve"> </w:t>
      </w:r>
      <w:r>
        <w:rPr>
          <w:rFonts w:hint="eastAsia" w:ascii="仿宋" w:hAnsi="仿宋" w:eastAsia="仿宋"/>
          <w:sz w:val="30"/>
          <w:szCs w:val="30"/>
        </w:rPr>
        <w:t>3.检测和渗透测试(2年);</w:t>
      </w:r>
      <w:r>
        <w:rPr>
          <w:rFonts w:hint="eastAsia"/>
        </w:rPr>
        <w:t xml:space="preserve"> </w:t>
      </w:r>
      <w:r>
        <w:rPr>
          <w:rFonts w:hint="eastAsia" w:ascii="仿宋" w:hAnsi="仿宋" w:eastAsia="仿宋"/>
          <w:sz w:val="30"/>
          <w:szCs w:val="30"/>
        </w:rPr>
        <w:t>4.网络安全宣传周(2年);</w:t>
      </w:r>
      <w:r>
        <w:rPr>
          <w:rFonts w:hint="eastAsia"/>
        </w:rPr>
        <w:t xml:space="preserve"> </w:t>
      </w:r>
      <w:r>
        <w:rPr>
          <w:rFonts w:hint="eastAsia" w:ascii="仿宋" w:hAnsi="仿宋" w:eastAsia="仿宋"/>
          <w:sz w:val="30"/>
          <w:szCs w:val="30"/>
        </w:rPr>
        <w:t>5.安全巡检及加固(2年);6.应急响应(2年);</w:t>
      </w:r>
    </w:p>
    <w:p>
      <w:pPr>
        <w:pStyle w:val="2"/>
        <w:spacing w:line="520" w:lineRule="exact"/>
        <w:ind w:firstLine="420"/>
        <w:jc w:val="left"/>
        <w:rPr>
          <w:rFonts w:ascii="仿宋" w:hAnsi="仿宋" w:eastAsia="仿宋" w:cs="仿宋"/>
          <w:sz w:val="30"/>
          <w:szCs w:val="30"/>
        </w:rPr>
      </w:pPr>
      <w:r>
        <w:rPr>
          <w:rFonts w:hint="eastAsia" w:ascii="仿宋" w:hAnsi="仿宋" w:eastAsia="仿宋"/>
          <w:sz w:val="30"/>
          <w:szCs w:val="30"/>
        </w:rPr>
        <w:t>采购内容如下</w:t>
      </w:r>
      <w:r>
        <w:rPr>
          <w:rFonts w:hint="eastAsia" w:ascii="仿宋" w:hAnsi="仿宋" w:eastAsia="仿宋" w:cs="仿宋"/>
          <w:sz w:val="30"/>
          <w:szCs w:val="30"/>
        </w:rPr>
        <w:t>：</w:t>
      </w:r>
    </w:p>
    <w:tbl>
      <w:tblPr>
        <w:tblStyle w:val="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1134"/>
        <w:gridCol w:w="5954"/>
        <w:gridCol w:w="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tcPr>
          <w:p>
            <w:pPr>
              <w:pStyle w:val="3"/>
              <w:spacing w:line="520" w:lineRule="exact"/>
              <w:rPr>
                <w:rFonts w:ascii="仿宋" w:hAnsi="仿宋" w:eastAsia="仿宋"/>
                <w:sz w:val="24"/>
              </w:rPr>
            </w:pPr>
            <w:r>
              <w:rPr>
                <w:rFonts w:hint="eastAsia" w:ascii="仿宋" w:hAnsi="仿宋" w:eastAsia="仿宋"/>
                <w:sz w:val="24"/>
              </w:rPr>
              <w:t>序号</w:t>
            </w:r>
          </w:p>
        </w:tc>
        <w:tc>
          <w:tcPr>
            <w:tcW w:w="1134" w:type="dxa"/>
          </w:tcPr>
          <w:p>
            <w:pPr>
              <w:pStyle w:val="3"/>
              <w:spacing w:line="520" w:lineRule="exact"/>
              <w:jc w:val="center"/>
              <w:rPr>
                <w:rFonts w:ascii="仿宋" w:hAnsi="仿宋" w:eastAsia="仿宋"/>
                <w:sz w:val="24"/>
              </w:rPr>
            </w:pPr>
            <w:r>
              <w:rPr>
                <w:rFonts w:hint="eastAsia" w:ascii="仿宋" w:hAnsi="仿宋" w:eastAsia="仿宋"/>
                <w:sz w:val="24"/>
              </w:rPr>
              <w:t>项目</w:t>
            </w:r>
          </w:p>
        </w:tc>
        <w:tc>
          <w:tcPr>
            <w:tcW w:w="5954" w:type="dxa"/>
          </w:tcPr>
          <w:p>
            <w:pPr>
              <w:pStyle w:val="3"/>
              <w:spacing w:line="520" w:lineRule="exact"/>
              <w:jc w:val="center"/>
              <w:rPr>
                <w:rFonts w:ascii="仿宋" w:hAnsi="仿宋" w:eastAsia="仿宋"/>
                <w:sz w:val="24"/>
              </w:rPr>
            </w:pPr>
            <w:r>
              <w:rPr>
                <w:rFonts w:hint="eastAsia" w:ascii="仿宋" w:hAnsi="仿宋" w:eastAsia="仿宋"/>
                <w:sz w:val="24"/>
              </w:rPr>
              <w:t>建设内容</w:t>
            </w:r>
          </w:p>
        </w:tc>
        <w:tc>
          <w:tcPr>
            <w:tcW w:w="759" w:type="dxa"/>
          </w:tcPr>
          <w:p>
            <w:pPr>
              <w:pStyle w:val="3"/>
              <w:spacing w:line="520" w:lineRule="exact"/>
              <w:rPr>
                <w:sz w:val="24"/>
              </w:rPr>
            </w:pPr>
            <w:r>
              <w:rPr>
                <w:rFonts w:hint="eastAsia"/>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75" w:type="dxa"/>
            <w:vMerge w:val="restart"/>
            <w:vAlign w:val="center"/>
          </w:tcPr>
          <w:p>
            <w:pPr>
              <w:pStyle w:val="3"/>
              <w:spacing w:line="520" w:lineRule="exact"/>
              <w:jc w:val="center"/>
              <w:rPr>
                <w:rFonts w:ascii="仿宋" w:hAnsi="仿宋" w:eastAsia="仿宋"/>
                <w:sz w:val="24"/>
              </w:rPr>
            </w:pPr>
            <w:r>
              <w:rPr>
                <w:rFonts w:hint="eastAsia" w:ascii="仿宋" w:hAnsi="仿宋" w:eastAsia="仿宋"/>
                <w:sz w:val="24"/>
              </w:rPr>
              <w:t>1</w:t>
            </w:r>
          </w:p>
        </w:tc>
        <w:tc>
          <w:tcPr>
            <w:tcW w:w="1134" w:type="dxa"/>
            <w:vMerge w:val="restart"/>
            <w:vAlign w:val="center"/>
          </w:tcPr>
          <w:p>
            <w:pPr>
              <w:spacing w:line="520" w:lineRule="exact"/>
              <w:rPr>
                <w:rFonts w:ascii="仿宋" w:hAnsi="仿宋" w:eastAsia="仿宋"/>
                <w:sz w:val="24"/>
              </w:rPr>
            </w:pPr>
            <w:r>
              <w:rPr>
                <w:rFonts w:hint="eastAsia" w:ascii="仿宋" w:hAnsi="仿宋" w:eastAsia="仿宋"/>
                <w:sz w:val="24"/>
              </w:rPr>
              <w:t>中心机房网络安全技术保障项</w:t>
            </w:r>
          </w:p>
        </w:tc>
        <w:tc>
          <w:tcPr>
            <w:tcW w:w="5954" w:type="dxa"/>
          </w:tcPr>
          <w:p>
            <w:pPr>
              <w:pStyle w:val="3"/>
              <w:tabs>
                <w:tab w:val="left" w:pos="1150"/>
              </w:tabs>
              <w:spacing w:line="380" w:lineRule="exact"/>
              <w:rPr>
                <w:rFonts w:ascii="仿宋" w:hAnsi="仿宋" w:eastAsia="仿宋"/>
                <w:sz w:val="24"/>
              </w:rPr>
            </w:pPr>
            <w:r>
              <w:rPr>
                <w:rFonts w:hint="eastAsia" w:ascii="仿宋" w:hAnsi="仿宋" w:eastAsia="仿宋"/>
                <w:sz w:val="24"/>
              </w:rPr>
              <w:t>1.攻防演练网络安全服务:提供重要时期前的防护加固工作，包括风险排查、漏洞修复、安全加固等；重保期间提供重要时期的现场值守及应急响应服务，现场值守人员每次不少于2人。重要时期包括但不限于每年度省委网信办、省公安厅、市公安局组织的网络安全攻防演练;</w:t>
            </w:r>
          </w:p>
        </w:tc>
        <w:tc>
          <w:tcPr>
            <w:tcW w:w="759" w:type="dxa"/>
            <w:vAlign w:val="center"/>
          </w:tcPr>
          <w:p>
            <w:pPr>
              <w:pStyle w:val="3"/>
              <w:spacing w:line="520" w:lineRule="exact"/>
              <w:jc w:val="center"/>
              <w:rPr>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6" w:hRule="atLeast"/>
        </w:trPr>
        <w:tc>
          <w:tcPr>
            <w:tcW w:w="675" w:type="dxa"/>
            <w:vMerge w:val="continue"/>
            <w:vAlign w:val="center"/>
          </w:tcPr>
          <w:p>
            <w:pPr>
              <w:pStyle w:val="3"/>
              <w:spacing w:line="520" w:lineRule="exact"/>
              <w:jc w:val="center"/>
              <w:rPr>
                <w:rFonts w:hint="eastAsia" w:ascii="仿宋" w:hAnsi="仿宋" w:eastAsia="仿宋"/>
                <w:sz w:val="24"/>
              </w:rPr>
            </w:pPr>
          </w:p>
        </w:tc>
        <w:tc>
          <w:tcPr>
            <w:tcW w:w="1134" w:type="dxa"/>
            <w:vMerge w:val="continue"/>
            <w:vAlign w:val="center"/>
          </w:tcPr>
          <w:p>
            <w:pPr>
              <w:spacing w:line="520" w:lineRule="exact"/>
              <w:rPr>
                <w:rFonts w:hint="eastAsia" w:ascii="仿宋" w:hAnsi="仿宋" w:eastAsia="仿宋"/>
                <w:sz w:val="24"/>
              </w:rPr>
            </w:pPr>
          </w:p>
        </w:tc>
        <w:tc>
          <w:tcPr>
            <w:tcW w:w="5954" w:type="dxa"/>
          </w:tcPr>
          <w:p>
            <w:pPr>
              <w:pStyle w:val="3"/>
              <w:tabs>
                <w:tab w:val="left" w:pos="1150"/>
              </w:tabs>
              <w:spacing w:line="380" w:lineRule="exact"/>
              <w:rPr>
                <w:rFonts w:hint="eastAsia" w:ascii="仿宋" w:hAnsi="仿宋" w:eastAsia="仿宋"/>
                <w:sz w:val="24"/>
              </w:rPr>
            </w:pPr>
            <w:r>
              <w:rPr>
                <w:rFonts w:hint="eastAsia" w:ascii="仿宋" w:hAnsi="仿宋" w:eastAsia="仿宋"/>
                <w:sz w:val="24"/>
              </w:rPr>
              <w:t>2.迪普安全设备维保及特征库:对WAF防火墙1台、服务器网关1台进行一次特征库升级及维保(两台设备都需提供原厂盖章授权函);</w:t>
            </w:r>
          </w:p>
        </w:tc>
        <w:tc>
          <w:tcPr>
            <w:tcW w:w="759" w:type="dxa"/>
            <w:vAlign w:val="center"/>
          </w:tcPr>
          <w:p>
            <w:pPr>
              <w:pStyle w:val="3"/>
              <w:spacing w:line="520" w:lineRule="exact"/>
              <w:jc w:val="center"/>
              <w:rPr>
                <w:rFonts w:hint="eastAsia"/>
                <w:sz w:val="24"/>
              </w:rPr>
            </w:pPr>
            <w:r>
              <w:rPr>
                <w:rFonts w:hint="eastAsia"/>
                <w:sz w:val="24"/>
              </w:rPr>
              <w:t>1年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75" w:type="dxa"/>
            <w:vMerge w:val="continue"/>
            <w:vAlign w:val="center"/>
          </w:tcPr>
          <w:p>
            <w:pPr>
              <w:pStyle w:val="3"/>
              <w:spacing w:line="520" w:lineRule="exact"/>
              <w:jc w:val="center"/>
              <w:rPr>
                <w:rFonts w:hint="eastAsia" w:ascii="仿宋" w:hAnsi="仿宋" w:eastAsia="仿宋"/>
                <w:sz w:val="24"/>
              </w:rPr>
            </w:pPr>
          </w:p>
        </w:tc>
        <w:tc>
          <w:tcPr>
            <w:tcW w:w="1134" w:type="dxa"/>
            <w:vMerge w:val="continue"/>
            <w:vAlign w:val="center"/>
          </w:tcPr>
          <w:p>
            <w:pPr>
              <w:spacing w:line="520" w:lineRule="exact"/>
              <w:rPr>
                <w:rFonts w:hint="eastAsia" w:ascii="仿宋" w:hAnsi="仿宋" w:eastAsia="仿宋"/>
                <w:sz w:val="24"/>
              </w:rPr>
            </w:pPr>
          </w:p>
        </w:tc>
        <w:tc>
          <w:tcPr>
            <w:tcW w:w="5954" w:type="dxa"/>
          </w:tcPr>
          <w:p>
            <w:pPr>
              <w:pStyle w:val="3"/>
              <w:tabs>
                <w:tab w:val="left" w:pos="1150"/>
              </w:tabs>
              <w:spacing w:line="380" w:lineRule="exact"/>
              <w:rPr>
                <w:rFonts w:hint="eastAsia" w:ascii="仿宋" w:hAnsi="仿宋" w:eastAsia="仿宋"/>
                <w:sz w:val="24"/>
              </w:rPr>
            </w:pPr>
            <w:r>
              <w:rPr>
                <w:rFonts w:hint="eastAsia" w:ascii="仿宋" w:hAnsi="仿宋" w:eastAsia="仿宋"/>
                <w:sz w:val="24"/>
              </w:rPr>
              <w:t>3.检测和渗透测试:每季度为学校重要信息系统及新上线系统提供渗透测试服务，通过非破坏性的模拟入侵攻击，获取系统信息，并将入侵过程及细节汇总成测试报告，以识别应用系统的安全威胁。同时，开展人工渗透测试及加固咨询服务，利用工具和手工交叉渗透，查找系统脆弱点和安全漏洞，输出扫描报告及修复建议，支持学校进行加固整改。每次现场服务人数不低于3人，每年服务天数不低于15天（两年服务天数不低于30天）；</w:t>
            </w:r>
          </w:p>
        </w:tc>
        <w:tc>
          <w:tcPr>
            <w:tcW w:w="759" w:type="dxa"/>
            <w:vAlign w:val="center"/>
          </w:tcPr>
          <w:p>
            <w:pPr>
              <w:pStyle w:val="3"/>
              <w:spacing w:line="520" w:lineRule="exact"/>
              <w:jc w:val="center"/>
              <w:rPr>
                <w:rFonts w:hint="eastAsia"/>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75" w:type="dxa"/>
            <w:vMerge w:val="continue"/>
            <w:vAlign w:val="center"/>
          </w:tcPr>
          <w:p>
            <w:pPr>
              <w:pStyle w:val="3"/>
              <w:spacing w:line="520" w:lineRule="exact"/>
              <w:jc w:val="center"/>
              <w:rPr>
                <w:rFonts w:hint="eastAsia" w:ascii="仿宋" w:hAnsi="仿宋" w:eastAsia="仿宋"/>
                <w:sz w:val="24"/>
              </w:rPr>
            </w:pPr>
          </w:p>
        </w:tc>
        <w:tc>
          <w:tcPr>
            <w:tcW w:w="1134" w:type="dxa"/>
            <w:vMerge w:val="continue"/>
            <w:vAlign w:val="center"/>
          </w:tcPr>
          <w:p>
            <w:pPr>
              <w:spacing w:line="520" w:lineRule="exact"/>
              <w:rPr>
                <w:rFonts w:hint="eastAsia" w:ascii="仿宋" w:hAnsi="仿宋" w:eastAsia="仿宋"/>
                <w:sz w:val="24"/>
              </w:rPr>
            </w:pPr>
          </w:p>
        </w:tc>
        <w:tc>
          <w:tcPr>
            <w:tcW w:w="5954" w:type="dxa"/>
          </w:tcPr>
          <w:p>
            <w:pPr>
              <w:pStyle w:val="3"/>
              <w:tabs>
                <w:tab w:val="left" w:pos="1150"/>
              </w:tabs>
              <w:spacing w:line="380" w:lineRule="exact"/>
              <w:rPr>
                <w:rFonts w:hint="eastAsia" w:ascii="仿宋" w:hAnsi="仿宋" w:eastAsia="仿宋"/>
                <w:sz w:val="24"/>
              </w:rPr>
            </w:pPr>
            <w:r>
              <w:rPr>
                <w:rFonts w:hint="eastAsia" w:ascii="仿宋" w:hAnsi="仿宋" w:eastAsia="仿宋"/>
                <w:sz w:val="24"/>
              </w:rPr>
              <w:t>4.网络安全宣传周:完成网络安全宣传周活动，策划并提供活动方案，由中心人员参与并完成宣传活动,对中心机房技术人员每年进行至少2场网络安全培训或讲座,每年宣传周期间提供一次应急演练服务，协助进行编制总体应急预案，通过模拟安全事件应急演练场景，制定应急演练方案并进行现场应急演练,提交《应急演练方案》及演练视频，每次现场服务人数不低于3人，每年服务天数不低于5天（两年服务天数不低于10天）；</w:t>
            </w:r>
          </w:p>
        </w:tc>
        <w:tc>
          <w:tcPr>
            <w:tcW w:w="759" w:type="dxa"/>
            <w:vAlign w:val="center"/>
          </w:tcPr>
          <w:p>
            <w:pPr>
              <w:pStyle w:val="3"/>
              <w:spacing w:line="520" w:lineRule="exact"/>
              <w:jc w:val="center"/>
              <w:rPr>
                <w:rFonts w:hint="eastAsia"/>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75" w:type="dxa"/>
            <w:vMerge w:val="continue"/>
            <w:vAlign w:val="center"/>
          </w:tcPr>
          <w:p>
            <w:pPr>
              <w:pStyle w:val="3"/>
              <w:spacing w:line="520" w:lineRule="exact"/>
              <w:jc w:val="center"/>
              <w:rPr>
                <w:rFonts w:hint="eastAsia" w:ascii="仿宋" w:hAnsi="仿宋" w:eastAsia="仿宋"/>
                <w:sz w:val="24"/>
              </w:rPr>
            </w:pPr>
          </w:p>
        </w:tc>
        <w:tc>
          <w:tcPr>
            <w:tcW w:w="1134" w:type="dxa"/>
            <w:vMerge w:val="continue"/>
            <w:vAlign w:val="center"/>
          </w:tcPr>
          <w:p>
            <w:pPr>
              <w:spacing w:line="520" w:lineRule="exact"/>
              <w:rPr>
                <w:rFonts w:hint="eastAsia" w:ascii="仿宋" w:hAnsi="仿宋" w:eastAsia="仿宋"/>
                <w:sz w:val="24"/>
              </w:rPr>
            </w:pPr>
          </w:p>
        </w:tc>
        <w:tc>
          <w:tcPr>
            <w:tcW w:w="5954" w:type="dxa"/>
          </w:tcPr>
          <w:p>
            <w:pPr>
              <w:pStyle w:val="3"/>
              <w:tabs>
                <w:tab w:val="left" w:pos="1150"/>
              </w:tabs>
              <w:spacing w:line="380" w:lineRule="exact"/>
              <w:rPr>
                <w:rFonts w:hint="eastAsia" w:ascii="仿宋" w:hAnsi="仿宋" w:eastAsia="仿宋"/>
                <w:sz w:val="24"/>
              </w:rPr>
            </w:pPr>
            <w:r>
              <w:rPr>
                <w:rFonts w:hint="eastAsia" w:ascii="仿宋" w:hAnsi="仿宋" w:eastAsia="仿宋"/>
                <w:sz w:val="24"/>
              </w:rPr>
              <w:t>5.安全巡检及加固:每月定期对学校机房服务器进行病毒和木马查杀，维护部署的病毒服务及查杀策略配置。同时，每月对主机、网络设备和应用系统进行漏洞扫描，针对发现的安全漏洞及时修复及加固。此外，每月对服务器、网络设备及应用软件进行安全配置检查。提交《月度安全巡检报告》，每次服务人数不低于2人，每年服务天数不低于24天（两年服务天数不低于48天）；</w:t>
            </w:r>
          </w:p>
        </w:tc>
        <w:tc>
          <w:tcPr>
            <w:tcW w:w="759" w:type="dxa"/>
            <w:vAlign w:val="center"/>
          </w:tcPr>
          <w:p>
            <w:pPr>
              <w:pStyle w:val="3"/>
              <w:spacing w:line="520" w:lineRule="exact"/>
              <w:jc w:val="center"/>
              <w:rPr>
                <w:rFonts w:hint="eastAsia"/>
                <w:sz w:val="24"/>
              </w:rPr>
            </w:pPr>
            <w:r>
              <w:rPr>
                <w:rFonts w:hint="eastAsia"/>
                <w:sz w:val="24"/>
              </w:rPr>
              <w:t>2年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00" w:hRule="atLeast"/>
        </w:trPr>
        <w:tc>
          <w:tcPr>
            <w:tcW w:w="675" w:type="dxa"/>
            <w:vMerge w:val="continue"/>
            <w:vAlign w:val="center"/>
          </w:tcPr>
          <w:p>
            <w:pPr>
              <w:pStyle w:val="3"/>
              <w:spacing w:line="520" w:lineRule="exact"/>
              <w:jc w:val="center"/>
              <w:rPr>
                <w:rFonts w:hint="eastAsia" w:ascii="仿宋" w:hAnsi="仿宋" w:eastAsia="仿宋"/>
                <w:sz w:val="24"/>
              </w:rPr>
            </w:pPr>
          </w:p>
        </w:tc>
        <w:tc>
          <w:tcPr>
            <w:tcW w:w="1134" w:type="dxa"/>
            <w:vMerge w:val="continue"/>
            <w:vAlign w:val="center"/>
          </w:tcPr>
          <w:p>
            <w:pPr>
              <w:spacing w:line="520" w:lineRule="exact"/>
              <w:rPr>
                <w:rFonts w:hint="eastAsia" w:ascii="仿宋" w:hAnsi="仿宋" w:eastAsia="仿宋"/>
                <w:sz w:val="24"/>
              </w:rPr>
            </w:pPr>
          </w:p>
        </w:tc>
        <w:tc>
          <w:tcPr>
            <w:tcW w:w="5954" w:type="dxa"/>
          </w:tcPr>
          <w:p>
            <w:pPr>
              <w:pStyle w:val="3"/>
              <w:tabs>
                <w:tab w:val="left" w:pos="1150"/>
              </w:tabs>
              <w:spacing w:line="380" w:lineRule="exact"/>
              <w:rPr>
                <w:rFonts w:hint="eastAsia" w:ascii="仿宋" w:hAnsi="仿宋" w:eastAsia="仿宋"/>
                <w:sz w:val="24"/>
              </w:rPr>
            </w:pPr>
            <w:r>
              <w:rPr>
                <w:rFonts w:hint="eastAsia" w:ascii="仿宋" w:hAnsi="仿宋" w:eastAsia="仿宋"/>
                <w:sz w:val="24"/>
              </w:rPr>
              <w:t>6.应急响应:(1)对于突发的安全事件在最短时间内做到应急响应，了解安全事件的基本现象，判断安全事件的原因，进行故障和事件的处理，并针对安全事件形成的破坏做出灾难恢复，在必要的情况下，协助学校进行入侵追踪和犯罪取证。同时加强学校自身的应急响应能力，包括协助完善应急响应流程和规范。安全事件电话响应时间为7*24小时；对于通过电话支持和远程支持都不能解决的设备或软件故障，应在半小时内到达学校提供现场支持服务，安排经验丰富的技术支持工程师赴现场分析故障原因，制定故障解决方案，并最终排除故障。(2)针对最新出现的安全漏洞及安全事件信息每周提供安全预警服务，及时排查我校是否使用存在该漏洞的软件、系统和设备等。每年服务天数不低于5天（两年服务天数不低于10天）。</w:t>
            </w:r>
          </w:p>
        </w:tc>
        <w:tc>
          <w:tcPr>
            <w:tcW w:w="759" w:type="dxa"/>
            <w:vAlign w:val="center"/>
          </w:tcPr>
          <w:p>
            <w:pPr>
              <w:pStyle w:val="3"/>
              <w:spacing w:line="520" w:lineRule="exact"/>
              <w:jc w:val="center"/>
              <w:rPr>
                <w:rFonts w:hint="eastAsia"/>
                <w:sz w:val="24"/>
              </w:rPr>
            </w:pPr>
            <w:r>
              <w:rPr>
                <w:rFonts w:hint="eastAsia"/>
                <w:sz w:val="24"/>
              </w:rPr>
              <w:t>2年</w:t>
            </w:r>
          </w:p>
        </w:tc>
      </w:tr>
    </w:tbl>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6.供货期限</w:t>
      </w:r>
    </w:p>
    <w:p>
      <w:pPr>
        <w:pStyle w:val="2"/>
        <w:spacing w:line="520" w:lineRule="exact"/>
        <w:ind w:firstLine="420"/>
        <w:jc w:val="both"/>
        <w:rPr>
          <w:sz w:val="30"/>
          <w:szCs w:val="30"/>
        </w:rPr>
      </w:pPr>
      <w:r>
        <w:rPr>
          <w:rFonts w:hint="eastAsia" w:ascii="仿宋" w:hAnsi="仿宋" w:eastAsia="仿宋" w:cs="仿宋"/>
          <w:szCs w:val="28"/>
        </w:rPr>
        <w:t xml:space="preserve"> </w:t>
      </w:r>
      <w:r>
        <w:rPr>
          <w:rFonts w:hint="eastAsia" w:ascii="仿宋" w:hAnsi="仿宋" w:eastAsia="仿宋" w:cs="仿宋"/>
          <w:sz w:val="30"/>
          <w:szCs w:val="30"/>
        </w:rPr>
        <w:t>从签订合同起实施服务，按合同规定时间完成服务。</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7.</w:t>
      </w:r>
      <w:r>
        <w:rPr>
          <w:rFonts w:hint="eastAsia" w:ascii="仿宋" w:hAnsi="仿宋" w:eastAsia="仿宋" w:cs="仿宋"/>
          <w:color w:val="000000"/>
          <w:sz w:val="30"/>
          <w:szCs w:val="30"/>
        </w:rPr>
        <w:t>付款</w:t>
      </w:r>
    </w:p>
    <w:p>
      <w:pPr>
        <w:spacing w:line="520" w:lineRule="exact"/>
        <w:ind w:firstLine="600" w:firstLineChars="200"/>
        <w:rPr>
          <w:sz w:val="30"/>
          <w:szCs w:val="30"/>
        </w:rPr>
      </w:pPr>
      <w:r>
        <w:rPr>
          <w:rFonts w:hint="eastAsia" w:ascii="仿宋" w:hAnsi="仿宋" w:eastAsia="仿宋" w:cs="仿宋"/>
          <w:sz w:val="30"/>
          <w:szCs w:val="30"/>
        </w:rPr>
        <w:t>本项目为银校合作项目，中标后先支付询价咨询费用1153元，项目实施完毕验收合格且中标人向采购人缴纳了三年运维保证金（合同总金额的5%）后，银行方向中标人支付100%合同款；项目运行满三年，经采购人确认无产品质量问题及售后服务问题，且中标人履行了免费维保义务后，采购人向其支付本合同总金额的5%（不支付利息）。在质保期内，货物质量发生问题或中标人未履行保修义务，采购人可直接从运维保证金中扣除相应的金额。</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8.</w:t>
      </w:r>
      <w:r>
        <w:rPr>
          <w:rFonts w:hint="eastAsia" w:ascii="仿宋" w:hAnsi="仿宋" w:eastAsia="仿宋" w:cs="仿宋"/>
          <w:color w:val="000000"/>
          <w:sz w:val="30"/>
          <w:szCs w:val="30"/>
        </w:rPr>
        <w:t>验收</w:t>
      </w:r>
    </w:p>
    <w:p>
      <w:pPr>
        <w:pStyle w:val="2"/>
        <w:spacing w:line="520" w:lineRule="exact"/>
        <w:ind w:firstLine="420"/>
        <w:jc w:val="both"/>
        <w:rPr>
          <w:sz w:val="30"/>
          <w:szCs w:val="30"/>
        </w:rPr>
      </w:pPr>
      <w:r>
        <w:rPr>
          <w:rFonts w:hint="eastAsia" w:ascii="仿宋" w:hAnsi="仿宋" w:eastAsia="仿宋" w:cs="仿宋"/>
          <w:sz w:val="30"/>
          <w:szCs w:val="30"/>
        </w:rPr>
        <w:t>采购人组织验收，中标人积极配合。项目建设过程中由采购人全程监督，如发现有违反合同情况可责令采购方及时整改，整改完后方可继续施工。整体项目完成后由采购方提交初验收申请单，采购人按合同要求组织专家及相关部门对项目进行验收。</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9.</w:t>
      </w:r>
      <w:r>
        <w:rPr>
          <w:rFonts w:hint="eastAsia" w:ascii="仿宋" w:hAnsi="仿宋" w:eastAsia="仿宋" w:cs="仿宋"/>
          <w:color w:val="000000"/>
          <w:sz w:val="30"/>
          <w:szCs w:val="30"/>
        </w:rPr>
        <w:t>售后服务</w:t>
      </w:r>
    </w:p>
    <w:p>
      <w:pPr>
        <w:spacing w:line="520" w:lineRule="exact"/>
        <w:ind w:firstLine="600" w:firstLineChars="200"/>
        <w:rPr>
          <w:rFonts w:ascii="仿宋" w:hAnsi="仿宋" w:eastAsia="仿宋" w:cs="仿宋"/>
          <w:bCs/>
          <w:sz w:val="30"/>
          <w:szCs w:val="30"/>
        </w:rPr>
      </w:pPr>
      <w:r>
        <w:rPr>
          <w:rFonts w:hint="eastAsia" w:ascii="仿宋" w:hAnsi="仿宋" w:eastAsia="仿宋" w:cs="仿宋"/>
          <w:bCs/>
          <w:sz w:val="30"/>
          <w:szCs w:val="30"/>
        </w:rPr>
        <w:t>按采购清单提供一到两年服务。服务期内按合同要求人员及服务数据进行服务。</w:t>
      </w:r>
    </w:p>
    <w:p>
      <w:pPr>
        <w:pStyle w:val="2"/>
        <w:spacing w:line="520" w:lineRule="exact"/>
        <w:ind w:firstLine="600" w:firstLineChars="200"/>
        <w:jc w:val="both"/>
        <w:rPr>
          <w:rFonts w:ascii="仿宋" w:hAnsi="仿宋" w:eastAsia="仿宋"/>
          <w:sz w:val="30"/>
          <w:szCs w:val="30"/>
        </w:rPr>
      </w:pPr>
      <w:r>
        <w:rPr>
          <w:rFonts w:hint="eastAsia" w:ascii="仿宋" w:hAnsi="仿宋" w:eastAsia="仿宋"/>
          <w:sz w:val="30"/>
          <w:szCs w:val="30"/>
        </w:rPr>
        <w:t>在服务过程中，对学校校园技术人员进行技术指导，培养学校技术力量。</w:t>
      </w:r>
    </w:p>
    <w:p>
      <w:pPr>
        <w:spacing w:line="520" w:lineRule="exact"/>
        <w:ind w:firstLine="600" w:firstLineChars="200"/>
        <w:rPr>
          <w:rFonts w:ascii="仿宋" w:hAnsi="仿宋" w:eastAsia="仿宋" w:cs="仿宋"/>
          <w:color w:val="000000"/>
          <w:sz w:val="30"/>
          <w:szCs w:val="30"/>
        </w:rPr>
      </w:pPr>
      <w:r>
        <w:rPr>
          <w:rFonts w:hint="eastAsia" w:ascii="仿宋" w:hAnsi="仿宋" w:eastAsia="仿宋" w:cs="仿宋"/>
          <w:kern w:val="0"/>
          <w:sz w:val="30"/>
          <w:szCs w:val="30"/>
        </w:rPr>
        <w:t>10.</w:t>
      </w:r>
      <w:r>
        <w:rPr>
          <w:rFonts w:hint="eastAsia" w:ascii="仿宋" w:hAnsi="仿宋" w:eastAsia="仿宋" w:cs="仿宋"/>
          <w:color w:val="000000"/>
          <w:sz w:val="30"/>
          <w:szCs w:val="30"/>
        </w:rPr>
        <w:t>质保期</w:t>
      </w:r>
    </w:p>
    <w:p>
      <w:pPr>
        <w:pStyle w:val="2"/>
        <w:spacing w:line="520" w:lineRule="exact"/>
        <w:jc w:val="both"/>
      </w:pPr>
      <w:r>
        <w:rPr>
          <w:rFonts w:hint="eastAsia" w:ascii="仿宋" w:hAnsi="仿宋" w:eastAsia="仿宋" w:cs="仿宋"/>
          <w:bCs/>
          <w:sz w:val="30"/>
          <w:szCs w:val="30"/>
        </w:rPr>
        <w:t xml:space="preserve">     全服务期内</w:t>
      </w:r>
    </w:p>
    <w:p>
      <w:pPr>
        <w:spacing w:line="52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四、评标办法</w:t>
      </w:r>
    </w:p>
    <w:p>
      <w:pPr>
        <w:spacing w:line="520" w:lineRule="exact"/>
        <w:ind w:firstLine="600" w:firstLineChars="200"/>
        <w:rPr>
          <w:rFonts w:ascii="仿宋" w:hAnsi="仿宋" w:eastAsia="仿宋" w:cs="仿宋"/>
          <w:bCs/>
          <w:color w:val="000000"/>
          <w:sz w:val="30"/>
          <w:szCs w:val="30"/>
        </w:rPr>
      </w:pPr>
      <w:r>
        <w:rPr>
          <w:rFonts w:hint="eastAsia" w:ascii="仿宋" w:hAnsi="仿宋" w:eastAsia="仿宋" w:cs="仿宋"/>
          <w:bCs/>
          <w:color w:val="000000"/>
          <w:sz w:val="30"/>
          <w:szCs w:val="30"/>
        </w:rPr>
        <w:t>满足设备品牌参数、商务要求的供应商中，价格最低者成交。</w:t>
      </w:r>
    </w:p>
    <w:p>
      <w:pPr>
        <w:spacing w:line="520" w:lineRule="exact"/>
        <w:ind w:firstLine="602" w:firstLineChars="200"/>
        <w:rPr>
          <w:rFonts w:ascii="仿宋" w:hAnsi="仿宋" w:eastAsia="仿宋" w:cs="仿宋"/>
          <w:b/>
          <w:bCs/>
          <w:kern w:val="0"/>
          <w:sz w:val="30"/>
          <w:szCs w:val="30"/>
        </w:rPr>
      </w:pPr>
      <w:r>
        <w:rPr>
          <w:rFonts w:hint="eastAsia" w:ascii="仿宋" w:hAnsi="仿宋" w:eastAsia="仿宋" w:cs="仿宋"/>
          <w:b/>
          <w:bCs/>
          <w:kern w:val="0"/>
          <w:sz w:val="30"/>
          <w:szCs w:val="30"/>
        </w:rPr>
        <w:t>五、附件</w:t>
      </w:r>
    </w:p>
    <w:p>
      <w:pPr>
        <w:spacing w:line="520" w:lineRule="exact"/>
        <w:ind w:firstLine="600" w:firstLineChars="200"/>
        <w:rPr>
          <w:rFonts w:ascii="仿宋" w:hAnsi="仿宋" w:eastAsia="仿宋" w:cs="仿宋"/>
          <w:kern w:val="0"/>
          <w:sz w:val="30"/>
          <w:szCs w:val="30"/>
        </w:rPr>
      </w:pPr>
      <w:r>
        <w:rPr>
          <w:rFonts w:hint="eastAsia" w:ascii="仿宋" w:hAnsi="仿宋" w:eastAsia="仿宋" w:cs="仿宋"/>
          <w:kern w:val="0"/>
          <w:sz w:val="30"/>
          <w:szCs w:val="30"/>
        </w:rPr>
        <w:t>1.审计处项目控制价意见</w:t>
      </w:r>
    </w:p>
    <w:p>
      <w:pPr>
        <w:spacing w:line="520" w:lineRule="exact"/>
        <w:ind w:firstLine="600" w:firstLineChars="200"/>
        <w:rPr>
          <w:rFonts w:hint="eastAsia"/>
        </w:rPr>
        <w:sectPr>
          <w:footerReference r:id="rId3" w:type="default"/>
          <w:pgSz w:w="11906" w:h="16838"/>
          <w:pgMar w:top="1440" w:right="1800" w:bottom="1440" w:left="1800" w:header="851" w:footer="992" w:gutter="0"/>
          <w:cols w:space="425" w:num="1"/>
          <w:docGrid w:type="lines" w:linePitch="312" w:charSpace="0"/>
        </w:sectPr>
      </w:pPr>
      <w:r>
        <w:rPr>
          <w:rFonts w:hint="eastAsia" w:ascii="仿宋" w:hAnsi="仿宋" w:eastAsia="仿宋" w:cs="仿宋"/>
          <w:kern w:val="0"/>
          <w:sz w:val="30"/>
          <w:szCs w:val="30"/>
        </w:rPr>
        <w:t>2.前期论证</w:t>
      </w:r>
    </w:p>
    <w:p>
      <w:pPr>
        <w:pStyle w:val="2"/>
        <w:jc w:val="both"/>
        <w:rPr>
          <w:rFonts w:hint="eastAsia"/>
        </w:rPr>
      </w:pPr>
    </w:p>
    <w:p>
      <w:pPr>
        <w:tabs>
          <w:tab w:val="left" w:pos="7555"/>
        </w:tabs>
        <w:jc w:val="left"/>
      </w:pPr>
      <w:bookmarkStart w:id="0" w:name="_GoBack"/>
      <w:bookmarkEnd w:id="0"/>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fldChar w:fldCharType="begin"/>
                </w:r>
                <w:r>
                  <w:instrText xml:space="preserve"> PAGE  \* MERGEFORMAT </w:instrText>
                </w:r>
                <w:r>
                  <w:fldChar w:fldCharType="separate"/>
                </w:r>
                <w:r>
                  <w:t>7</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rPr>
        <w:rFonts w:hint="eastAsia" w:eastAsiaTheme="minorEastAsia"/>
        <w:lang w:val="en-US" w:eastAsia="zh-C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lmN2QyOTdiYzJhNzgzYWJlZGVjMzBlMjUxN2Y5MDQifQ=="/>
  </w:docVars>
  <w:rsids>
    <w:rsidRoot w:val="0C0463AE"/>
    <w:rsid w:val="00040986"/>
    <w:rsid w:val="0005171F"/>
    <w:rsid w:val="00074A7D"/>
    <w:rsid w:val="000A6017"/>
    <w:rsid w:val="000B7826"/>
    <w:rsid w:val="000D3F4E"/>
    <w:rsid w:val="000D76D3"/>
    <w:rsid w:val="0015125A"/>
    <w:rsid w:val="001867A9"/>
    <w:rsid w:val="001B3F04"/>
    <w:rsid w:val="001E7145"/>
    <w:rsid w:val="002120F4"/>
    <w:rsid w:val="0021463D"/>
    <w:rsid w:val="00250D97"/>
    <w:rsid w:val="002604D3"/>
    <w:rsid w:val="002677C6"/>
    <w:rsid w:val="003400D5"/>
    <w:rsid w:val="00362026"/>
    <w:rsid w:val="00483178"/>
    <w:rsid w:val="0048562F"/>
    <w:rsid w:val="004B1C50"/>
    <w:rsid w:val="004E66DC"/>
    <w:rsid w:val="0053387D"/>
    <w:rsid w:val="00535053"/>
    <w:rsid w:val="005B2AD3"/>
    <w:rsid w:val="005C1237"/>
    <w:rsid w:val="005C7DB3"/>
    <w:rsid w:val="005D0D05"/>
    <w:rsid w:val="00642891"/>
    <w:rsid w:val="006661CC"/>
    <w:rsid w:val="006B6876"/>
    <w:rsid w:val="00753D9A"/>
    <w:rsid w:val="0088491E"/>
    <w:rsid w:val="008D5721"/>
    <w:rsid w:val="008E422A"/>
    <w:rsid w:val="0095337F"/>
    <w:rsid w:val="009A0B50"/>
    <w:rsid w:val="009F0688"/>
    <w:rsid w:val="00A37F61"/>
    <w:rsid w:val="00A45D9A"/>
    <w:rsid w:val="00A80453"/>
    <w:rsid w:val="00A921F0"/>
    <w:rsid w:val="00BA6879"/>
    <w:rsid w:val="00BD5BC3"/>
    <w:rsid w:val="00BE455C"/>
    <w:rsid w:val="00C01910"/>
    <w:rsid w:val="00C120C1"/>
    <w:rsid w:val="00C4604A"/>
    <w:rsid w:val="00C566C2"/>
    <w:rsid w:val="00CB5F2E"/>
    <w:rsid w:val="00CE03AE"/>
    <w:rsid w:val="00DA5CCF"/>
    <w:rsid w:val="00E422BC"/>
    <w:rsid w:val="00E85868"/>
    <w:rsid w:val="00E9188A"/>
    <w:rsid w:val="00F04A52"/>
    <w:rsid w:val="00F13E53"/>
    <w:rsid w:val="00F14803"/>
    <w:rsid w:val="00F80046"/>
    <w:rsid w:val="00F86D75"/>
    <w:rsid w:val="00F8748A"/>
    <w:rsid w:val="00FA0A49"/>
    <w:rsid w:val="00FA2AEC"/>
    <w:rsid w:val="01FF7988"/>
    <w:rsid w:val="0466617C"/>
    <w:rsid w:val="07F51244"/>
    <w:rsid w:val="09EA6F07"/>
    <w:rsid w:val="0A285C81"/>
    <w:rsid w:val="0B0009AC"/>
    <w:rsid w:val="0C0463AE"/>
    <w:rsid w:val="0C953306"/>
    <w:rsid w:val="0CEB4AC5"/>
    <w:rsid w:val="0D5E03AD"/>
    <w:rsid w:val="0EA51E4A"/>
    <w:rsid w:val="0F522528"/>
    <w:rsid w:val="10CC1E02"/>
    <w:rsid w:val="14C96327"/>
    <w:rsid w:val="15512530"/>
    <w:rsid w:val="15640DD2"/>
    <w:rsid w:val="15727975"/>
    <w:rsid w:val="181E2472"/>
    <w:rsid w:val="189270E7"/>
    <w:rsid w:val="193006AE"/>
    <w:rsid w:val="19A23C6E"/>
    <w:rsid w:val="19CB6C46"/>
    <w:rsid w:val="1A9D0B3C"/>
    <w:rsid w:val="1AD8315D"/>
    <w:rsid w:val="1C574E12"/>
    <w:rsid w:val="1C5823F6"/>
    <w:rsid w:val="1F316F2E"/>
    <w:rsid w:val="201C14F9"/>
    <w:rsid w:val="21882235"/>
    <w:rsid w:val="21FF50C2"/>
    <w:rsid w:val="22032E04"/>
    <w:rsid w:val="221E19EC"/>
    <w:rsid w:val="223F6D65"/>
    <w:rsid w:val="22BC300F"/>
    <w:rsid w:val="230E6FB5"/>
    <w:rsid w:val="256C5331"/>
    <w:rsid w:val="27DF7E96"/>
    <w:rsid w:val="29D108EA"/>
    <w:rsid w:val="2DCF44E2"/>
    <w:rsid w:val="2E6966E5"/>
    <w:rsid w:val="30B874AF"/>
    <w:rsid w:val="340B5B80"/>
    <w:rsid w:val="35845BB2"/>
    <w:rsid w:val="37863E63"/>
    <w:rsid w:val="388819F1"/>
    <w:rsid w:val="39565AB7"/>
    <w:rsid w:val="39B9774B"/>
    <w:rsid w:val="3C706E90"/>
    <w:rsid w:val="401A15ED"/>
    <w:rsid w:val="40F840B2"/>
    <w:rsid w:val="438C16C3"/>
    <w:rsid w:val="46256F3D"/>
    <w:rsid w:val="473371E1"/>
    <w:rsid w:val="4AA74645"/>
    <w:rsid w:val="4B171A3A"/>
    <w:rsid w:val="4BDB4B9F"/>
    <w:rsid w:val="4C2E6EF1"/>
    <w:rsid w:val="4DF22F46"/>
    <w:rsid w:val="4DF900EF"/>
    <w:rsid w:val="4E3D33C8"/>
    <w:rsid w:val="4FC275AB"/>
    <w:rsid w:val="51222E0C"/>
    <w:rsid w:val="53AA4710"/>
    <w:rsid w:val="55F36710"/>
    <w:rsid w:val="58084D19"/>
    <w:rsid w:val="58426C15"/>
    <w:rsid w:val="58D83007"/>
    <w:rsid w:val="59282D5B"/>
    <w:rsid w:val="59E74830"/>
    <w:rsid w:val="5C0068EF"/>
    <w:rsid w:val="5E253121"/>
    <w:rsid w:val="5EA52572"/>
    <w:rsid w:val="62970423"/>
    <w:rsid w:val="629A5F2E"/>
    <w:rsid w:val="633A0929"/>
    <w:rsid w:val="648275DD"/>
    <w:rsid w:val="66682803"/>
    <w:rsid w:val="66895251"/>
    <w:rsid w:val="66A571F6"/>
    <w:rsid w:val="671D539B"/>
    <w:rsid w:val="683312DA"/>
    <w:rsid w:val="68C83A2C"/>
    <w:rsid w:val="6C561DF0"/>
    <w:rsid w:val="6D513FF0"/>
    <w:rsid w:val="6DCE5641"/>
    <w:rsid w:val="6E423939"/>
    <w:rsid w:val="6ECA6E08"/>
    <w:rsid w:val="6F633C29"/>
    <w:rsid w:val="71364647"/>
    <w:rsid w:val="721101F2"/>
    <w:rsid w:val="73497518"/>
    <w:rsid w:val="73907A32"/>
    <w:rsid w:val="75ED037D"/>
    <w:rsid w:val="78915BE9"/>
    <w:rsid w:val="79FD2E0A"/>
    <w:rsid w:val="7CDE33C7"/>
    <w:rsid w:val="7F005943"/>
    <w:rsid w:val="7F5B55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adjustRightInd w:val="0"/>
      <w:spacing w:line="360" w:lineRule="atLeast"/>
      <w:jc w:val="center"/>
      <w:textAlignment w:val="baseline"/>
    </w:pPr>
    <w:rPr>
      <w:rFonts w:ascii="宋体"/>
      <w:kern w:val="0"/>
      <w:sz w:val="28"/>
    </w:rPr>
  </w:style>
  <w:style w:type="paragraph" w:styleId="3">
    <w:name w:val="Plain Text"/>
    <w:basedOn w:val="1"/>
    <w:next w:val="1"/>
    <w:link w:val="10"/>
    <w:qFormat/>
    <w:uiPriority w:val="99"/>
    <w:rPr>
      <w:rFonts w:ascii="宋体" w:hAnsi="Courier New" w:eastAsia="宋体" w:cs="Times New Roma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List Paragraph"/>
    <w:basedOn w:val="1"/>
    <w:qFormat/>
    <w:uiPriority w:val="34"/>
    <w:pPr>
      <w:ind w:firstLine="200" w:firstLineChars="200"/>
    </w:pPr>
    <w:rPr>
      <w:rFonts w:ascii="Calibri" w:hAnsi="Calibri"/>
      <w:kern w:val="0"/>
      <w:sz w:val="20"/>
    </w:rPr>
  </w:style>
  <w:style w:type="paragraph" w:customStyle="1" w:styleId="9">
    <w:name w:val="_Style 27"/>
    <w:basedOn w:val="1"/>
    <w:next w:val="8"/>
    <w:qFormat/>
    <w:uiPriority w:val="34"/>
    <w:pPr>
      <w:widowControl/>
      <w:ind w:left="720"/>
      <w:contextualSpacing/>
      <w:jc w:val="left"/>
    </w:pPr>
    <w:rPr>
      <w:rFonts w:ascii="Calibri" w:hAnsi="Calibri"/>
      <w:kern w:val="0"/>
      <w:sz w:val="24"/>
      <w:lang w:eastAsia="en-US" w:bidi="en-US"/>
    </w:rPr>
  </w:style>
  <w:style w:type="character" w:customStyle="1" w:styleId="10">
    <w:name w:val="纯文本 Char"/>
    <w:basedOn w:val="7"/>
    <w:link w:val="3"/>
    <w:qFormat/>
    <w:uiPriority w:val="99"/>
    <w:rPr>
      <w:rFonts w:ascii="宋体" w:hAnsi="Courier New" w:eastAsia="宋体" w:cs="Times New Roman"/>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372</Words>
  <Characters>2122</Characters>
  <Lines>17</Lines>
  <Paragraphs>4</Paragraphs>
  <TotalTime>5</TotalTime>
  <ScaleCrop>false</ScaleCrop>
  <LinksUpToDate>false</LinksUpToDate>
  <CharactersWithSpaces>2490</CharactersWithSpaces>
  <Application>WPS Office_11.8.2.8576_F1E327BC-269C-435d-A152-05C5408002CA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2025-04-09T08:07:00Z</dcterms:created>
  <dc:creator>Administrator</dc:creator>
  <cp:lastModifiedBy>Administrator</cp:lastModifiedBy>
  <cp:lastPrinted>2022-10-31T02:44:00Z</cp:lastPrinted>
  <dcterms:modified xsi:type="dcterms:W3CDTF">2025-06-27T06:42:33Z</dcterms:modified>
  <cp:revision>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2052-11.8.2.8576</vt:lpwstr>
  </property>
  <property fmtid="{D5CDD505-2E9C-101B-9397-08002B2CF9AE}" pid="3" name="ICV">
    <vt:lpwstr>747B6FD144824A6DAFBE830A72EC920A_13</vt:lpwstr>
  </property>
  <property fmtid="{D5CDD505-2E9C-101B-9397-08002B2CF9AE}" pid="4" name="KSOTemplateDocerSaveRecord">
    <vt:lpwstr>eyJoZGlkIjoiZjlmN2QyOTdiYzJhNzgzYWJlZGVjMzBlMjUxN2Y5MDQiLCJ1c2VySWQiOiIxMjc4MDE2NTA0In0=</vt:lpwstr>
  </property>
</Properties>
</file>