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11100" w:type="dxa"/>
        <w:tblInd w:w="93" w:type="dxa"/>
        <w:tblLayout w:type="autofit"/>
        <w:tblCellMar>
          <w:top w:w="0" w:type="dxa"/>
          <w:left w:w="108" w:type="dxa"/>
          <w:bottom w:w="0" w:type="dxa"/>
          <w:right w:w="108" w:type="dxa"/>
        </w:tblCellMar>
      </w:tblPr>
      <w:tblGrid>
        <w:gridCol w:w="2010"/>
        <w:gridCol w:w="1575"/>
        <w:gridCol w:w="6129"/>
        <w:gridCol w:w="1386"/>
      </w:tblGrid>
      <w:tr>
        <w:tblPrEx>
          <w:tblCellMar>
            <w:top w:w="0" w:type="dxa"/>
            <w:left w:w="108" w:type="dxa"/>
            <w:bottom w:w="0" w:type="dxa"/>
            <w:right w:w="108" w:type="dxa"/>
          </w:tblCellMar>
        </w:tblPrEx>
        <w:trPr>
          <w:trHeight w:val="552" w:hRule="atLeast"/>
        </w:trPr>
        <w:tc>
          <w:tcPr>
            <w:tcW w:w="11100" w:type="dxa"/>
            <w:gridSpan w:val="4"/>
            <w:tcBorders>
              <w:top w:val="nil"/>
              <w:left w:val="nil"/>
              <w:bottom w:val="nil"/>
              <w:right w:val="nil"/>
            </w:tcBorders>
            <w:noWrap/>
            <w:vAlign w:val="bottom"/>
          </w:tcPr>
          <w:p>
            <w:pPr>
              <w:widowControl/>
              <w:jc w:val="center"/>
              <w:textAlignment w:val="bottom"/>
              <w:rPr>
                <w:rFonts w:ascii="宋体" w:hAnsi="宋体" w:cs="宋体"/>
                <w:b/>
                <w:bCs/>
                <w:color w:val="000000"/>
                <w:sz w:val="40"/>
                <w:szCs w:val="40"/>
              </w:rPr>
            </w:pPr>
            <w:r>
              <w:rPr>
                <w:rFonts w:hint="eastAsia" w:ascii="宋体" w:hAnsi="宋体" w:cs="宋体"/>
                <w:b/>
                <w:bCs/>
                <w:color w:val="000000"/>
                <w:kern w:val="0"/>
                <w:sz w:val="40"/>
                <w:szCs w:val="40"/>
                <w:lang w:bidi="ar"/>
              </w:rPr>
              <w:t xml:space="preserve">竞价招标文件 </w:t>
            </w:r>
          </w:p>
        </w:tc>
      </w:tr>
      <w:tr>
        <w:tblPrEx>
          <w:tblCellMar>
            <w:top w:w="0" w:type="dxa"/>
            <w:left w:w="108" w:type="dxa"/>
            <w:bottom w:w="0" w:type="dxa"/>
            <w:right w:w="108" w:type="dxa"/>
          </w:tblCellMar>
        </w:tblPrEx>
        <w:trPr>
          <w:trHeight w:val="600" w:hRule="atLeast"/>
        </w:trPr>
        <w:tc>
          <w:tcPr>
            <w:tcW w:w="2010"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基本信息</w:t>
            </w: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项目名称</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ascii="宋体" w:hAnsi="宋体" w:eastAsia="宋体" w:cs="宋体"/>
                <w:color w:val="000000"/>
                <w:sz w:val="22"/>
                <w:szCs w:val="22"/>
                <w:lang w:val="en-US" w:eastAsia="zh-CN"/>
              </w:rPr>
            </w:pPr>
            <w:r>
              <w:rPr>
                <w:rFonts w:hint="eastAsia" w:ascii="宋体" w:hAnsi="宋体" w:cs="宋体"/>
                <w:color w:val="000000"/>
                <w:kern w:val="0"/>
                <w:sz w:val="22"/>
                <w:szCs w:val="22"/>
                <w:lang w:val="en-US" w:eastAsia="zh-CN" w:bidi="ar"/>
              </w:rPr>
              <w:t xml:space="preserve"> </w:t>
            </w:r>
            <w:bookmarkStart w:id="0" w:name="OLE_LINK8"/>
            <w:r>
              <w:rPr>
                <w:rFonts w:hint="eastAsia" w:ascii="宋体" w:hAnsi="宋体" w:cs="宋体"/>
                <w:color w:val="000000"/>
                <w:kern w:val="0"/>
                <w:sz w:val="22"/>
                <w:szCs w:val="22"/>
                <w:lang w:val="en-US" w:eastAsia="zh-CN" w:bidi="ar"/>
              </w:rPr>
              <w:t>学校网站运行维护服务采购</w:t>
            </w:r>
            <w:bookmarkEnd w:id="0"/>
          </w:p>
        </w:tc>
      </w:tr>
      <w:tr>
        <w:tblPrEx>
          <w:tblCellMar>
            <w:top w:w="0" w:type="dxa"/>
            <w:left w:w="108" w:type="dxa"/>
            <w:bottom w:w="0" w:type="dxa"/>
            <w:right w:w="108" w:type="dxa"/>
          </w:tblCellMar>
        </w:tblPrEx>
        <w:trPr>
          <w:trHeight w:val="600"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控制总价（万元）</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3.2</w:t>
            </w:r>
          </w:p>
        </w:tc>
      </w:tr>
      <w:tr>
        <w:tblPrEx>
          <w:tblCellMar>
            <w:top w:w="0" w:type="dxa"/>
            <w:left w:w="108" w:type="dxa"/>
            <w:bottom w:w="0" w:type="dxa"/>
            <w:right w:w="108" w:type="dxa"/>
          </w:tblCellMar>
        </w:tblPrEx>
        <w:trPr>
          <w:trHeight w:val="600" w:hRule="atLeast"/>
        </w:trPr>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联系人及联系电话</w:t>
            </w:r>
          </w:p>
        </w:tc>
        <w:tc>
          <w:tcPr>
            <w:tcW w:w="7515"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郭李平 0731-82946163</w:t>
            </w:r>
          </w:p>
        </w:tc>
      </w:tr>
      <w:tr>
        <w:tblPrEx>
          <w:tblCellMar>
            <w:top w:w="0" w:type="dxa"/>
            <w:left w:w="108" w:type="dxa"/>
            <w:bottom w:w="0" w:type="dxa"/>
            <w:right w:w="108" w:type="dxa"/>
          </w:tblCellMar>
        </w:tblPrEx>
        <w:trPr>
          <w:trHeight w:val="600"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采购执行周期【默认30天】</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30天</w:t>
            </w:r>
          </w:p>
        </w:tc>
      </w:tr>
      <w:tr>
        <w:tblPrEx>
          <w:tblCellMar>
            <w:top w:w="0" w:type="dxa"/>
            <w:left w:w="108" w:type="dxa"/>
            <w:bottom w:w="0" w:type="dxa"/>
            <w:right w:w="108" w:type="dxa"/>
          </w:tblCellMar>
        </w:tblPrEx>
        <w:trPr>
          <w:trHeight w:val="600" w:hRule="atLeast"/>
        </w:trPr>
        <w:tc>
          <w:tcPr>
            <w:tcW w:w="2010"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竞价规则</w:t>
            </w: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竞价开始时间</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以竞价信息发布之日起为竞价开始时间</w:t>
            </w:r>
          </w:p>
        </w:tc>
      </w:tr>
      <w:tr>
        <w:tblPrEx>
          <w:tblCellMar>
            <w:top w:w="0" w:type="dxa"/>
            <w:left w:w="108" w:type="dxa"/>
            <w:bottom w:w="0" w:type="dxa"/>
            <w:right w:w="108" w:type="dxa"/>
          </w:tblCellMar>
        </w:tblPrEx>
        <w:trPr>
          <w:trHeight w:val="600"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竞价截止时间</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竞价开始后（ 3 ）个工作日18:00:00【不少于3个工作日】</w:t>
            </w:r>
          </w:p>
        </w:tc>
      </w:tr>
      <w:tr>
        <w:tblPrEx>
          <w:tblCellMar>
            <w:top w:w="0" w:type="dxa"/>
            <w:left w:w="108" w:type="dxa"/>
            <w:bottom w:w="0" w:type="dxa"/>
            <w:right w:w="108" w:type="dxa"/>
          </w:tblCellMar>
        </w:tblPrEx>
        <w:trPr>
          <w:trHeight w:val="600"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有效竞价标准</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有效报价供应商不少于2家</w:t>
            </w:r>
          </w:p>
        </w:tc>
      </w:tr>
      <w:tr>
        <w:tblPrEx>
          <w:tblCellMar>
            <w:top w:w="0" w:type="dxa"/>
            <w:left w:w="108" w:type="dxa"/>
            <w:bottom w:w="0" w:type="dxa"/>
            <w:right w:w="108" w:type="dxa"/>
          </w:tblCellMar>
        </w:tblPrEx>
        <w:trPr>
          <w:trHeight w:val="600"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成交规则</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在有效报价供应商中确认1家成交供应商</w:t>
            </w:r>
          </w:p>
        </w:tc>
      </w:tr>
      <w:tr>
        <w:tblPrEx>
          <w:tblCellMar>
            <w:top w:w="0" w:type="dxa"/>
            <w:left w:w="108" w:type="dxa"/>
            <w:bottom w:w="0" w:type="dxa"/>
            <w:right w:w="108" w:type="dxa"/>
          </w:tblCellMar>
        </w:tblPrEx>
        <w:trPr>
          <w:trHeight w:val="900" w:hRule="atLeast"/>
        </w:trPr>
        <w:tc>
          <w:tcPr>
            <w:tcW w:w="2010" w:type="dxa"/>
            <w:vMerge w:val="restart"/>
            <w:tcBorders>
              <w:top w:val="single" w:color="000000" w:sz="4" w:space="0"/>
              <w:left w:val="single" w:color="000000" w:sz="4" w:space="0"/>
              <w:right w:val="single" w:color="000000" w:sz="4" w:space="0"/>
            </w:tcBorders>
            <w:vAlign w:val="center"/>
          </w:tcPr>
          <w:p>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商务要求（含付款方式、维修、培训、售后服务要求、送货要求、交货期、质保期、维护保养、技术培训和其他要求）</w:t>
            </w: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商务项目（不超过30字）</w:t>
            </w:r>
          </w:p>
        </w:tc>
        <w:tc>
          <w:tcPr>
            <w:tcW w:w="612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商务要求（不超过1000字）</w:t>
            </w:r>
          </w:p>
        </w:tc>
        <w:tc>
          <w:tcPr>
            <w:tcW w:w="13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是否核心要求（是/否）</w:t>
            </w:r>
          </w:p>
        </w:tc>
      </w:tr>
      <w:tr>
        <w:tblPrEx>
          <w:tblCellMar>
            <w:top w:w="0" w:type="dxa"/>
            <w:left w:w="108" w:type="dxa"/>
            <w:bottom w:w="0" w:type="dxa"/>
            <w:right w:w="108" w:type="dxa"/>
          </w:tblCellMar>
        </w:tblPrEx>
        <w:trPr>
          <w:trHeight w:val="1020" w:hRule="atLeast"/>
        </w:trPr>
        <w:tc>
          <w:tcPr>
            <w:tcW w:w="2010" w:type="dxa"/>
            <w:vMerge w:val="continue"/>
            <w:tcBorders>
              <w:left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付款方式</w:t>
            </w:r>
          </w:p>
        </w:tc>
        <w:tc>
          <w:tcPr>
            <w:tcW w:w="6129"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最终验收合格、手续齐全后，由中标单位向采购单位开具全额正式发票，采购单位在验收合格后向中标单位支付95%的合同款，剩余5%作为质量保证金，验收合格一年后若完全满足合同要求，无息支付剩余的5%。</w:t>
            </w:r>
          </w:p>
        </w:tc>
        <w:tc>
          <w:tcPr>
            <w:tcW w:w="13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是</w:t>
            </w:r>
          </w:p>
        </w:tc>
      </w:tr>
      <w:tr>
        <w:tblPrEx>
          <w:tblCellMar>
            <w:top w:w="0" w:type="dxa"/>
            <w:left w:w="108" w:type="dxa"/>
            <w:bottom w:w="0" w:type="dxa"/>
            <w:right w:w="108" w:type="dxa"/>
          </w:tblCellMar>
        </w:tblPrEx>
        <w:trPr>
          <w:trHeight w:val="90" w:hRule="atLeast"/>
        </w:trPr>
        <w:tc>
          <w:tcPr>
            <w:tcW w:w="2010" w:type="dxa"/>
            <w:vMerge w:val="continue"/>
            <w:tcBorders>
              <w:left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基本要求</w:t>
            </w:r>
          </w:p>
        </w:tc>
        <w:tc>
          <w:tcPr>
            <w:tcW w:w="6129"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拟中标供应商必须在合同签订前提供完全满足功能要求的服务项目供采购人审核，如服务项目不能满足采购需求，提供虚假资料投标者，一律作无效投标处理，并上报采购主管部门。</w:t>
            </w:r>
          </w:p>
        </w:tc>
        <w:tc>
          <w:tcPr>
            <w:tcW w:w="13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是</w:t>
            </w:r>
          </w:p>
        </w:tc>
      </w:tr>
      <w:tr>
        <w:tblPrEx>
          <w:tblCellMar>
            <w:top w:w="0" w:type="dxa"/>
            <w:left w:w="108" w:type="dxa"/>
            <w:bottom w:w="0" w:type="dxa"/>
            <w:right w:w="108" w:type="dxa"/>
          </w:tblCellMar>
        </w:tblPrEx>
        <w:trPr>
          <w:trHeight w:val="207" w:hRule="atLeast"/>
        </w:trPr>
        <w:tc>
          <w:tcPr>
            <w:tcW w:w="2010" w:type="dxa"/>
            <w:vMerge w:val="continue"/>
            <w:tcBorders>
              <w:left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交货期</w:t>
            </w:r>
          </w:p>
        </w:tc>
        <w:tc>
          <w:tcPr>
            <w:tcW w:w="6129"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val="en-US" w:eastAsia="zh-CN" w:bidi="ar"/>
              </w:rPr>
              <w:t>合同签订后1天内。</w:t>
            </w:r>
          </w:p>
        </w:tc>
        <w:tc>
          <w:tcPr>
            <w:tcW w:w="13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是</w:t>
            </w:r>
          </w:p>
        </w:tc>
      </w:tr>
      <w:tr>
        <w:tblPrEx>
          <w:tblCellMar>
            <w:top w:w="0" w:type="dxa"/>
            <w:left w:w="108" w:type="dxa"/>
            <w:bottom w:w="0" w:type="dxa"/>
            <w:right w:w="108" w:type="dxa"/>
          </w:tblCellMar>
        </w:tblPrEx>
        <w:trPr>
          <w:trHeight w:val="702" w:hRule="atLeast"/>
        </w:trPr>
        <w:tc>
          <w:tcPr>
            <w:tcW w:w="2010" w:type="dxa"/>
            <w:vMerge w:val="continue"/>
            <w:tcBorders>
              <w:left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售后服务要求</w:t>
            </w:r>
          </w:p>
        </w:tc>
        <w:tc>
          <w:tcPr>
            <w:tcW w:w="6129"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 xml:space="preserve">1.质保期：自合同签订之日后1年内。 </w:t>
            </w:r>
          </w:p>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2.响应时效：7*</w:t>
            </w:r>
            <w:bookmarkStart w:id="8" w:name="_GoBack"/>
            <w:r>
              <w:rPr>
                <w:rFonts w:hint="eastAsia" w:ascii="宋体" w:hAnsi="宋体" w:cs="宋体"/>
                <w:color w:val="000000"/>
                <w:kern w:val="0"/>
                <w:sz w:val="22"/>
                <w:szCs w:val="22"/>
                <w:lang w:bidi="ar"/>
              </w:rPr>
              <w:t>24小时</w:t>
            </w:r>
            <w:bookmarkEnd w:id="8"/>
            <w:r>
              <w:rPr>
                <w:rFonts w:hint="eastAsia" w:ascii="宋体" w:hAnsi="宋体" w:cs="宋体"/>
                <w:color w:val="000000"/>
                <w:kern w:val="0"/>
                <w:sz w:val="22"/>
                <w:szCs w:val="22"/>
                <w:lang w:bidi="ar"/>
              </w:rPr>
              <w:t>。2小时内做出实质响应，4小时内到达现场，24小时内解决问题。</w:t>
            </w:r>
          </w:p>
        </w:tc>
        <w:tc>
          <w:tcPr>
            <w:tcW w:w="138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是</w:t>
            </w:r>
          </w:p>
        </w:tc>
      </w:tr>
      <w:tr>
        <w:tblPrEx>
          <w:tblCellMar>
            <w:top w:w="0" w:type="dxa"/>
            <w:left w:w="108" w:type="dxa"/>
            <w:bottom w:w="0" w:type="dxa"/>
            <w:right w:w="108" w:type="dxa"/>
          </w:tblCellMar>
        </w:tblPrEx>
        <w:trPr>
          <w:trHeight w:val="904" w:hRule="atLeast"/>
        </w:trPr>
        <w:tc>
          <w:tcPr>
            <w:tcW w:w="2010"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供应商要求（可依据项目特点根据电子卖场现有资质要求自行添加）</w:t>
            </w: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基本要求</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1、符合《中华人民共和国政府采购法》第22条的规定；2、符合《关于规范政府采购供应商资格设定及资格审查的通知》第6条规定；3、已入驻湖南省政府采购云平台，并且征信有效的商家。</w:t>
            </w:r>
          </w:p>
        </w:tc>
      </w:tr>
      <w:tr>
        <w:tblPrEx>
          <w:tblCellMar>
            <w:top w:w="0" w:type="dxa"/>
            <w:left w:w="108" w:type="dxa"/>
            <w:bottom w:w="0" w:type="dxa"/>
            <w:right w:w="108" w:type="dxa"/>
          </w:tblCellMar>
        </w:tblPrEx>
        <w:trPr>
          <w:trHeight w:val="606"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资质要求1</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具有有效的企业法人营业执照、税务登记证、组织机构代码证或具有有效的三证合一的营业执照</w:t>
            </w:r>
            <w:r>
              <w:rPr>
                <w:rFonts w:hint="eastAsia" w:ascii="宋体" w:hAnsi="宋体" w:cs="宋体"/>
                <w:color w:val="000000"/>
                <w:kern w:val="0"/>
                <w:sz w:val="22"/>
                <w:szCs w:val="22"/>
                <w:lang w:eastAsia="zh-CN" w:bidi="ar"/>
              </w:rPr>
              <w:t>，</w:t>
            </w:r>
            <w:r>
              <w:rPr>
                <w:rFonts w:hint="eastAsia" w:ascii="宋体" w:hAnsi="宋体" w:cs="宋体"/>
                <w:color w:val="000000"/>
                <w:kern w:val="0"/>
                <w:sz w:val="22"/>
                <w:szCs w:val="22"/>
                <w:lang w:bidi="ar"/>
              </w:rPr>
              <w:t>三年无违法犯罪证明。</w:t>
            </w:r>
          </w:p>
        </w:tc>
      </w:tr>
      <w:tr>
        <w:tblPrEx>
          <w:tblCellMar>
            <w:top w:w="0" w:type="dxa"/>
            <w:left w:w="108" w:type="dxa"/>
            <w:bottom w:w="0" w:type="dxa"/>
            <w:right w:w="108" w:type="dxa"/>
          </w:tblCellMar>
        </w:tblPrEx>
        <w:trPr>
          <w:trHeight w:val="698" w:hRule="atLeast"/>
        </w:trPr>
        <w:tc>
          <w:tcPr>
            <w:tcW w:w="2010"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bCs/>
                <w:color w:val="000000"/>
                <w:sz w:val="22"/>
                <w:szCs w:val="22"/>
              </w:rPr>
            </w:pPr>
            <w:r>
              <w:rPr>
                <w:rFonts w:hint="eastAsia" w:ascii="宋体" w:hAnsi="宋体" w:cs="宋体"/>
                <w:b/>
                <w:bCs/>
                <w:color w:val="000000"/>
                <w:kern w:val="0"/>
                <w:sz w:val="22"/>
                <w:szCs w:val="22"/>
                <w:lang w:bidi="ar"/>
              </w:rPr>
              <w:t>收货地址（送货期限说明：若需签订合同，则以合同生效之日起开始计算）</w:t>
            </w: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收货地址</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长沙市岳麓区含浦科技园湖南工业职业技术学院知行楼2314</w:t>
            </w:r>
          </w:p>
        </w:tc>
      </w:tr>
      <w:tr>
        <w:tblPrEx>
          <w:tblCellMar>
            <w:top w:w="0" w:type="dxa"/>
            <w:left w:w="108" w:type="dxa"/>
            <w:bottom w:w="0" w:type="dxa"/>
            <w:right w:w="108" w:type="dxa"/>
          </w:tblCellMar>
        </w:tblPrEx>
        <w:trPr>
          <w:trHeight w:val="698"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送货方式</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送货上门</w:t>
            </w:r>
          </w:p>
        </w:tc>
      </w:tr>
      <w:tr>
        <w:tblPrEx>
          <w:tblCellMar>
            <w:top w:w="0" w:type="dxa"/>
            <w:left w:w="108" w:type="dxa"/>
            <w:bottom w:w="0" w:type="dxa"/>
            <w:right w:w="108" w:type="dxa"/>
          </w:tblCellMar>
        </w:tblPrEx>
        <w:trPr>
          <w:trHeight w:val="698"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送货时间</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工作日09:00至17:00</w:t>
            </w:r>
          </w:p>
        </w:tc>
      </w:tr>
      <w:tr>
        <w:tblPrEx>
          <w:tblCellMar>
            <w:top w:w="0" w:type="dxa"/>
            <w:left w:w="108" w:type="dxa"/>
            <w:bottom w:w="0" w:type="dxa"/>
            <w:right w:w="108" w:type="dxa"/>
          </w:tblCellMar>
        </w:tblPrEx>
        <w:trPr>
          <w:trHeight w:val="698" w:hRule="atLeast"/>
        </w:trPr>
        <w:tc>
          <w:tcPr>
            <w:tcW w:w="201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b/>
                <w:bCs/>
                <w:color w:val="000000"/>
                <w:sz w:val="22"/>
                <w:szCs w:val="22"/>
              </w:rPr>
            </w:pPr>
          </w:p>
        </w:tc>
        <w:tc>
          <w:tcPr>
            <w:tcW w:w="15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2"/>
                <w:szCs w:val="22"/>
              </w:rPr>
            </w:pPr>
            <w:r>
              <w:rPr>
                <w:rFonts w:hint="eastAsia" w:ascii="宋体" w:hAnsi="宋体" w:cs="宋体"/>
                <w:color w:val="000000"/>
                <w:kern w:val="0"/>
                <w:sz w:val="22"/>
                <w:szCs w:val="22"/>
                <w:lang w:bidi="ar"/>
              </w:rPr>
              <w:t>送货期限</w:t>
            </w:r>
          </w:p>
        </w:tc>
        <w:tc>
          <w:tcPr>
            <w:tcW w:w="7515"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2"/>
                <w:szCs w:val="22"/>
              </w:rPr>
            </w:pPr>
            <w:r>
              <w:rPr>
                <w:rFonts w:hint="eastAsia" w:ascii="宋体" w:hAnsi="宋体" w:cs="宋体"/>
                <w:color w:val="000000"/>
                <w:kern w:val="0"/>
                <w:sz w:val="22"/>
                <w:szCs w:val="22"/>
                <w:lang w:bidi="ar"/>
              </w:rPr>
              <w:t>成交后（</w:t>
            </w:r>
            <w:r>
              <w:rPr>
                <w:rFonts w:hint="eastAsia" w:ascii="宋体" w:hAnsi="宋体" w:cs="宋体"/>
                <w:color w:val="000000"/>
                <w:kern w:val="0"/>
                <w:sz w:val="22"/>
                <w:szCs w:val="22"/>
                <w:lang w:val="en-US" w:eastAsia="zh-CN" w:bidi="ar"/>
              </w:rPr>
              <w:t>1</w:t>
            </w:r>
            <w:r>
              <w:rPr>
                <w:rFonts w:hint="eastAsia" w:ascii="宋体" w:hAnsi="宋体" w:cs="宋体"/>
                <w:color w:val="000000"/>
                <w:kern w:val="0"/>
                <w:sz w:val="22"/>
                <w:szCs w:val="22"/>
                <w:lang w:bidi="ar"/>
              </w:rPr>
              <w:t>）个工作日内必须交付使用</w:t>
            </w:r>
          </w:p>
        </w:tc>
      </w:tr>
      <w:tr>
        <w:tblPrEx>
          <w:tblCellMar>
            <w:top w:w="0" w:type="dxa"/>
            <w:left w:w="108" w:type="dxa"/>
            <w:bottom w:w="0" w:type="dxa"/>
            <w:right w:w="108" w:type="dxa"/>
          </w:tblCellMar>
        </w:tblPrEx>
        <w:trPr>
          <w:trHeight w:val="503" w:hRule="atLeast"/>
        </w:trPr>
        <w:tc>
          <w:tcPr>
            <w:tcW w:w="0" w:type="auto"/>
            <w:gridSpan w:val="4"/>
            <w:tcBorders>
              <w:top w:val="nil"/>
              <w:left w:val="nil"/>
              <w:bottom w:val="nil"/>
              <w:right w:val="nil"/>
            </w:tcBorders>
            <w:noWrap/>
            <w:vAlign w:val="bottom"/>
          </w:tcPr>
          <w:p>
            <w:pPr>
              <w:widowControl/>
              <w:jc w:val="left"/>
              <w:textAlignment w:val="bottom"/>
              <w:rPr>
                <w:rFonts w:ascii="宋体" w:hAnsi="宋体" w:cs="宋体"/>
                <w:color w:val="000000"/>
                <w:sz w:val="18"/>
                <w:szCs w:val="18"/>
              </w:rPr>
            </w:pPr>
            <w:r>
              <w:rPr>
                <w:rFonts w:hint="eastAsia" w:ascii="宋体" w:hAnsi="宋体" w:cs="宋体"/>
                <w:color w:val="000000"/>
                <w:kern w:val="0"/>
                <w:sz w:val="18"/>
                <w:szCs w:val="18"/>
                <w:lang w:bidi="ar"/>
              </w:rPr>
              <w:t>注:1、采购需求清单见附表；2、项目部门须对招标控制价进行充分的调研，并对价格的真实性和可靠性负责。</w:t>
            </w:r>
          </w:p>
        </w:tc>
      </w:tr>
    </w:tbl>
    <w:p/>
    <w:p/>
    <w:p>
      <w:pPr>
        <w:sectPr>
          <w:pgSz w:w="11906" w:h="16838"/>
          <w:pgMar w:top="567" w:right="567" w:bottom="567" w:left="567" w:header="851" w:footer="992" w:gutter="0"/>
          <w:cols w:space="720" w:num="1"/>
          <w:docGrid w:type="lines" w:linePitch="312" w:charSpace="0"/>
        </w:sectPr>
      </w:pPr>
    </w:p>
    <w:tbl>
      <w:tblPr>
        <w:tblStyle w:val="2"/>
        <w:tblW w:w="15540" w:type="dxa"/>
        <w:tblInd w:w="-15" w:type="dxa"/>
        <w:tblLayout w:type="fixed"/>
        <w:tblCellMar>
          <w:top w:w="0" w:type="dxa"/>
          <w:left w:w="108" w:type="dxa"/>
          <w:bottom w:w="0" w:type="dxa"/>
          <w:right w:w="108" w:type="dxa"/>
        </w:tblCellMar>
      </w:tblPr>
      <w:tblGrid>
        <w:gridCol w:w="1344"/>
        <w:gridCol w:w="1631"/>
        <w:gridCol w:w="1512"/>
        <w:gridCol w:w="5712"/>
        <w:gridCol w:w="924"/>
        <w:gridCol w:w="983"/>
        <w:gridCol w:w="1475"/>
        <w:gridCol w:w="1959"/>
      </w:tblGrid>
      <w:tr>
        <w:tblPrEx>
          <w:tblCellMar>
            <w:top w:w="0" w:type="dxa"/>
            <w:left w:w="108" w:type="dxa"/>
            <w:bottom w:w="0" w:type="dxa"/>
            <w:right w:w="108" w:type="dxa"/>
          </w:tblCellMar>
        </w:tblPrEx>
        <w:trPr>
          <w:trHeight w:val="4957" w:hRule="atLeast"/>
        </w:trPr>
        <w:tc>
          <w:tcPr>
            <w:tcW w:w="15540" w:type="dxa"/>
            <w:gridSpan w:val="8"/>
            <w:tcBorders>
              <w:top w:val="nil"/>
              <w:left w:val="nil"/>
              <w:bottom w:val="nil"/>
              <w:right w:val="nil"/>
            </w:tcBorders>
            <w:shd w:val="clear" w:color="000000" w:fill="FFFFFF"/>
            <w:vAlign w:val="center"/>
          </w:tcPr>
          <w:p>
            <w:pPr>
              <w:widowControl/>
              <w:jc w:val="left"/>
              <w:textAlignment w:val="center"/>
              <w:rPr>
                <w:rFonts w:ascii="微软雅黑" w:hAnsi="微软雅黑" w:eastAsia="微软雅黑" w:cs="微软雅黑"/>
                <w:color w:val="000000"/>
                <w:sz w:val="24"/>
              </w:rPr>
            </w:pPr>
            <w:r>
              <w:rPr>
                <w:rStyle w:val="4"/>
                <w:rFonts w:hint="default"/>
                <w:lang w:bidi="ar"/>
              </w:rPr>
              <w:t>填写说明：</w:t>
            </w:r>
            <w:r>
              <w:rPr>
                <w:rStyle w:val="4"/>
                <w:rFonts w:hint="default"/>
                <w:lang w:bidi="ar"/>
              </w:rPr>
              <w:br w:type="textWrapping"/>
            </w:r>
            <w:r>
              <w:rPr>
                <w:rStyle w:val="4"/>
                <w:rFonts w:hint="default"/>
                <w:lang w:bidi="ar"/>
              </w:rPr>
              <w:t>1、最多导入100行。</w:t>
            </w:r>
            <w:r>
              <w:rPr>
                <w:rStyle w:val="4"/>
                <w:rFonts w:hint="default"/>
                <w:lang w:bidi="ar"/>
              </w:rPr>
              <w:br w:type="textWrapping"/>
            </w:r>
            <w:r>
              <w:rPr>
                <w:rStyle w:val="4"/>
                <w:rFonts w:hint="default"/>
                <w:lang w:bidi="ar"/>
              </w:rPr>
              <w:t>2、请勿调整表格顺序结构，否则将可能导致更新失败。</w:t>
            </w:r>
            <w:r>
              <w:rPr>
                <w:rStyle w:val="4"/>
                <w:rFonts w:hint="default"/>
                <w:lang w:bidi="ar"/>
              </w:rPr>
              <w:br w:type="textWrapping"/>
            </w:r>
            <w:r>
              <w:rPr>
                <w:rStyle w:val="4"/>
                <w:rFonts w:hint="default"/>
                <w:lang w:bidi="ar"/>
              </w:rPr>
              <w:t>3、商品类目：请在表格中选择。</w:t>
            </w:r>
            <w:r>
              <w:rPr>
                <w:rStyle w:val="4"/>
                <w:rFonts w:hint="default"/>
                <w:lang w:bidi="ar"/>
              </w:rPr>
              <w:br w:type="textWrapping"/>
            </w:r>
            <w:r>
              <w:rPr>
                <w:rStyle w:val="4"/>
                <w:rFonts w:hint="default"/>
                <w:lang w:bidi="ar"/>
              </w:rPr>
              <w:t>4、参数要求：最多可输入5000字；若需标记核心参数要求，请在导入后在页面中进行调整。</w:t>
            </w:r>
            <w:r>
              <w:rPr>
                <w:rStyle w:val="4"/>
                <w:rFonts w:hint="default"/>
                <w:lang w:bidi="ar"/>
              </w:rPr>
              <w:br w:type="textWrapping"/>
            </w:r>
            <w:r>
              <w:rPr>
                <w:rStyle w:val="4"/>
                <w:rFonts w:hint="default"/>
                <w:lang w:bidi="ar"/>
              </w:rPr>
              <w:t>5、数      量：应填</w:t>
            </w:r>
            <w:r>
              <w:rPr>
                <w:rStyle w:val="5"/>
                <w:rFonts w:hint="default"/>
                <w:lang w:bidi="ar"/>
              </w:rPr>
              <w:t>正整数</w:t>
            </w:r>
            <w:r>
              <w:rPr>
                <w:rStyle w:val="4"/>
                <w:rFonts w:hint="default"/>
                <w:lang w:bidi="ar"/>
              </w:rPr>
              <w:t>。若填写内容包含小数，则系统将向上取整。如填写1.1，系统最终以2保存。</w:t>
            </w:r>
            <w:r>
              <w:rPr>
                <w:rStyle w:val="4"/>
                <w:rFonts w:hint="default"/>
                <w:lang w:bidi="ar"/>
              </w:rPr>
              <w:br w:type="textWrapping"/>
            </w:r>
            <w:r>
              <w:rPr>
                <w:rStyle w:val="4"/>
                <w:rFonts w:hint="default"/>
                <w:lang w:bidi="ar"/>
              </w:rPr>
              <w:t>6、期望总价：填写最多2位小数。若填写内容超过2位小数，则系统将四舍五入。如填写100.1234，系统最终以100.12保存。</w:t>
            </w:r>
            <w:r>
              <w:rPr>
                <w:rStyle w:val="4"/>
                <w:rFonts w:hint="default"/>
                <w:lang w:bidi="ar"/>
              </w:rPr>
              <w:br w:type="textWrapping"/>
            </w:r>
            <w:r>
              <w:rPr>
                <w:rStyle w:val="4"/>
                <w:rFonts w:hint="default"/>
                <w:lang w:bidi="ar"/>
              </w:rPr>
              <w:t>7、建议品牌：有多项时，请以英文“;”隔开。</w:t>
            </w:r>
          </w:p>
        </w:tc>
      </w:tr>
      <w:tr>
        <w:tblPrEx>
          <w:tblCellMar>
            <w:top w:w="0" w:type="dxa"/>
            <w:left w:w="108" w:type="dxa"/>
            <w:bottom w:w="0" w:type="dxa"/>
            <w:right w:w="108" w:type="dxa"/>
          </w:tblCellMar>
        </w:tblPrEx>
        <w:trPr>
          <w:trHeight w:val="844" w:hRule="atLeast"/>
        </w:trPr>
        <w:tc>
          <w:tcPr>
            <w:tcW w:w="15540" w:type="dxa"/>
            <w:gridSpan w:val="8"/>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宋体" w:hAnsi="宋体" w:cs="宋体"/>
                <w:b/>
                <w:bCs/>
                <w:color w:val="000000"/>
                <w:sz w:val="32"/>
                <w:szCs w:val="32"/>
              </w:rPr>
            </w:pPr>
            <w:r>
              <w:rPr>
                <w:rFonts w:hint="eastAsia" w:ascii="宋体" w:hAnsi="宋体" w:cs="宋体"/>
                <w:b/>
                <w:bCs/>
                <w:color w:val="000000"/>
                <w:kern w:val="0"/>
                <w:sz w:val="32"/>
                <w:szCs w:val="32"/>
                <w:lang w:val="en-US" w:eastAsia="zh-CN" w:bidi="ar"/>
              </w:rPr>
              <w:t>学校网站运行维护服务采购</w:t>
            </w:r>
            <w:r>
              <w:rPr>
                <w:rFonts w:hint="eastAsia" w:ascii="宋体" w:hAnsi="宋体" w:cs="宋体"/>
                <w:b/>
                <w:bCs/>
                <w:color w:val="000000"/>
                <w:kern w:val="0"/>
                <w:sz w:val="32"/>
                <w:szCs w:val="32"/>
                <w:lang w:bidi="ar"/>
              </w:rPr>
              <w:t>需求清单</w:t>
            </w:r>
          </w:p>
        </w:tc>
      </w:tr>
      <w:tr>
        <w:tblPrEx>
          <w:tblCellMar>
            <w:top w:w="0" w:type="dxa"/>
            <w:left w:w="108" w:type="dxa"/>
            <w:bottom w:w="0" w:type="dxa"/>
            <w:right w:w="108" w:type="dxa"/>
          </w:tblCellMar>
        </w:tblPrEx>
        <w:trPr>
          <w:trHeight w:val="1869" w:hRule="atLeast"/>
        </w:trPr>
        <w:tc>
          <w:tcPr>
            <w:tcW w:w="134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Style w:val="6"/>
                <w:rFonts w:hint="default"/>
                <w:lang w:bidi="ar"/>
              </w:rPr>
              <w:t>*</w:t>
            </w:r>
            <w:r>
              <w:rPr>
                <w:rStyle w:val="7"/>
                <w:rFonts w:hint="default"/>
                <w:lang w:bidi="ar"/>
              </w:rPr>
              <w:t>商品名称</w:t>
            </w:r>
          </w:p>
        </w:tc>
        <w:tc>
          <w:tcPr>
            <w:tcW w:w="163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Style w:val="6"/>
                <w:rFonts w:hint="default"/>
                <w:lang w:bidi="ar"/>
              </w:rPr>
              <w:t>*</w:t>
            </w:r>
            <w:r>
              <w:rPr>
                <w:rStyle w:val="7"/>
                <w:rFonts w:hint="default"/>
                <w:lang w:bidi="ar"/>
              </w:rPr>
              <w:t>商品类目</w:t>
            </w:r>
          </w:p>
        </w:tc>
        <w:tc>
          <w:tcPr>
            <w:tcW w:w="151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Style w:val="6"/>
                <w:rFonts w:hint="default"/>
                <w:lang w:bidi="ar"/>
              </w:rPr>
              <w:t>*</w:t>
            </w:r>
            <w:r>
              <w:rPr>
                <w:rStyle w:val="7"/>
                <w:rFonts w:hint="default"/>
                <w:lang w:bidi="ar"/>
              </w:rPr>
              <w:t>是否核心商品</w:t>
            </w:r>
            <w:r>
              <w:rPr>
                <w:rStyle w:val="6"/>
                <w:rFonts w:hint="default"/>
                <w:lang w:bidi="ar"/>
              </w:rPr>
              <w:t>（不少于1个核心商品）</w:t>
            </w:r>
          </w:p>
        </w:tc>
        <w:tc>
          <w:tcPr>
            <w:tcW w:w="571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Style w:val="6"/>
                <w:rFonts w:hint="default"/>
                <w:lang w:bidi="ar"/>
              </w:rPr>
              <w:t>*</w:t>
            </w:r>
            <w:r>
              <w:rPr>
                <w:rStyle w:val="7"/>
                <w:rFonts w:hint="default"/>
                <w:lang w:bidi="ar"/>
              </w:rPr>
              <w:t>参数要求</w:t>
            </w:r>
          </w:p>
        </w:tc>
        <w:tc>
          <w:tcPr>
            <w:tcW w:w="92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Style w:val="6"/>
                <w:rFonts w:hint="default"/>
                <w:lang w:bidi="ar"/>
              </w:rPr>
              <w:t>*</w:t>
            </w:r>
            <w:r>
              <w:rPr>
                <w:rStyle w:val="7"/>
                <w:rFonts w:hint="default"/>
                <w:lang w:bidi="ar"/>
              </w:rPr>
              <w:t>数量</w:t>
            </w:r>
          </w:p>
        </w:tc>
        <w:tc>
          <w:tcPr>
            <w:tcW w:w="983"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Style w:val="6"/>
                <w:rFonts w:hint="default"/>
                <w:lang w:bidi="ar"/>
              </w:rPr>
              <w:t>*</w:t>
            </w:r>
            <w:r>
              <w:rPr>
                <w:rStyle w:val="7"/>
                <w:rFonts w:hint="default"/>
                <w:lang w:bidi="ar"/>
              </w:rPr>
              <w:t>计量单位</w:t>
            </w:r>
          </w:p>
        </w:tc>
        <w:tc>
          <w:tcPr>
            <w:tcW w:w="147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Fonts w:hint="eastAsia" w:ascii="微软雅黑" w:hAnsi="微软雅黑" w:eastAsia="微软雅黑" w:cs="微软雅黑"/>
                <w:b/>
                <w:bCs/>
                <w:color w:val="000000"/>
                <w:kern w:val="0"/>
                <w:sz w:val="24"/>
                <w:lang w:bidi="ar"/>
              </w:rPr>
              <w:t>期望总价（元）</w:t>
            </w:r>
          </w:p>
        </w:tc>
        <w:tc>
          <w:tcPr>
            <w:tcW w:w="195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微软雅黑" w:hAnsi="微软雅黑" w:eastAsia="微软雅黑" w:cs="微软雅黑"/>
                <w:b/>
                <w:bCs/>
                <w:color w:val="000000"/>
                <w:sz w:val="24"/>
              </w:rPr>
            </w:pPr>
            <w:r>
              <w:rPr>
                <w:rStyle w:val="7"/>
                <w:rFonts w:hint="default"/>
                <w:lang w:bidi="ar"/>
              </w:rPr>
              <w:t>建议品牌</w:t>
            </w:r>
            <w:r>
              <w:rPr>
                <w:rStyle w:val="6"/>
                <w:rFonts w:hint="default"/>
                <w:lang w:bidi="ar"/>
              </w:rPr>
              <w:t>(如项目部门建议品牌，则应提供不少于2个建议品牌)</w:t>
            </w:r>
          </w:p>
        </w:tc>
      </w:tr>
      <w:tr>
        <w:tblPrEx>
          <w:tblCellMar>
            <w:top w:w="0" w:type="dxa"/>
            <w:left w:w="108" w:type="dxa"/>
            <w:bottom w:w="0" w:type="dxa"/>
            <w:right w:w="108" w:type="dxa"/>
          </w:tblCellMar>
        </w:tblPrEx>
        <w:trPr>
          <w:trHeight w:val="4036" w:hRule="atLeast"/>
        </w:trPr>
        <w:tc>
          <w:tcPr>
            <w:tcW w:w="1344"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numPr>
                <w:ilvl w:val="0"/>
                <w:numId w:val="0"/>
              </w:numPr>
              <w:jc w:val="both"/>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学校网站运行维护服务</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p>
        </w:tc>
        <w:tc>
          <w:tcPr>
            <w:tcW w:w="16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numPr>
                <w:ilvl w:val="0"/>
                <w:numId w:val="0"/>
              </w:numPr>
              <w:jc w:val="left"/>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软件运维服务</w:t>
            </w:r>
          </w:p>
        </w:tc>
        <w:tc>
          <w:tcPr>
            <w:tcW w:w="1512"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numPr>
                <w:ilvl w:val="0"/>
                <w:numId w:val="0"/>
              </w:numPr>
              <w:ind w:firstLine="420" w:firstLineChars="200"/>
              <w:jc w:val="both"/>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是</w:t>
            </w:r>
          </w:p>
        </w:tc>
        <w:tc>
          <w:tcPr>
            <w:tcW w:w="5712"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numPr>
                <w:ilvl w:val="0"/>
                <w:numId w:val="0"/>
              </w:numPr>
              <w:jc w:val="both"/>
              <w:rPr>
                <w:rFonts w:hint="eastAsia" w:ascii="宋体" w:hAnsi="宋体" w:eastAsia="宋体" w:cs="宋体"/>
                <w:b/>
                <w:bCs/>
                <w:i w:val="0"/>
                <w:iCs w:val="0"/>
                <w:color w:val="000000"/>
                <w:kern w:val="0"/>
                <w:sz w:val="24"/>
                <w:szCs w:val="24"/>
                <w:u w:val="none"/>
                <w:lang w:val="en-US" w:eastAsia="zh-CN" w:bidi="ar"/>
              </w:rPr>
            </w:pPr>
            <w:bookmarkStart w:id="1" w:name="OLE_LINK2"/>
            <w:bookmarkStart w:id="2" w:name="OLE_LINK1"/>
            <w:r>
              <w:rPr>
                <w:rFonts w:hint="eastAsia" w:ascii="宋体" w:hAnsi="宋体" w:eastAsia="宋体" w:cs="宋体"/>
                <w:b/>
                <w:bCs/>
                <w:i w:val="0"/>
                <w:iCs w:val="0"/>
                <w:color w:val="000000"/>
                <w:kern w:val="0"/>
                <w:sz w:val="24"/>
                <w:szCs w:val="24"/>
                <w:u w:val="none"/>
                <w:lang w:val="en-US" w:eastAsia="zh-CN" w:bidi="ar"/>
              </w:rPr>
              <w:t>一、维保服务总体要求</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服务厂商为学校提供站群系统一年维保服务，在不改变现有网站群系统体系架构和功能模块的情况下，提供技术支持及安全运维保障，进行24小时响应。</w:t>
            </w:r>
          </w:p>
          <w:bookmarkEnd w:id="1"/>
          <w:p>
            <w:pPr>
              <w:widowControl/>
              <w:numPr>
                <w:ilvl w:val="0"/>
                <w:numId w:val="0"/>
              </w:numPr>
              <w:ind w:firstLine="420" w:firstLineChars="200"/>
              <w:jc w:val="both"/>
              <w:rPr>
                <w:rFonts w:hint="eastAsia" w:ascii="宋体" w:hAnsi="宋体" w:eastAsia="宋体" w:cs="宋体"/>
                <w:i w:val="0"/>
                <w:iCs w:val="0"/>
                <w:color w:val="000000"/>
                <w:kern w:val="0"/>
                <w:sz w:val="21"/>
                <w:szCs w:val="21"/>
                <w:u w:val="none"/>
                <w:lang w:val="en-US" w:eastAsia="zh-CN" w:bidi="ar"/>
              </w:rPr>
            </w:pPr>
          </w:p>
          <w:p>
            <w:pPr>
              <w:widowControl/>
              <w:numPr>
                <w:ilvl w:val="0"/>
                <w:numId w:val="0"/>
              </w:numPr>
              <w:jc w:val="both"/>
              <w:rPr>
                <w:rFonts w:hint="eastAsia" w:ascii="宋体" w:hAnsi="宋体" w:eastAsia="宋体" w:cs="宋体"/>
                <w:b/>
                <w:bCs/>
                <w:i w:val="0"/>
                <w:iCs w:val="0"/>
                <w:color w:val="000000"/>
                <w:kern w:val="0"/>
                <w:sz w:val="24"/>
                <w:szCs w:val="24"/>
                <w:u w:val="none"/>
                <w:lang w:val="en-US" w:eastAsia="zh-CN" w:bidi="ar"/>
              </w:rPr>
            </w:pPr>
            <w:bookmarkStart w:id="3" w:name="OLE_LINK3"/>
            <w:r>
              <w:rPr>
                <w:rFonts w:hint="eastAsia" w:ascii="宋体" w:hAnsi="宋体" w:eastAsia="宋体" w:cs="宋体"/>
                <w:b/>
                <w:bCs/>
                <w:i w:val="0"/>
                <w:iCs w:val="0"/>
                <w:color w:val="000000"/>
                <w:kern w:val="0"/>
                <w:sz w:val="24"/>
                <w:szCs w:val="24"/>
                <w:u w:val="none"/>
                <w:lang w:val="en-US" w:eastAsia="zh-CN" w:bidi="ar"/>
              </w:rPr>
              <w:t>二、响应支持服务</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1.绿色通道</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按照服务标准，为我校提供绿色通道快速响应。</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2.7*24小时技术支持服务</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为学校提供7天×24小时电话支持服务，包括节假日，非工作时间均可通过电话进行各类常见问题疑难解答，问题咨询，产品使用指导等。</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3.线上公开学习资料专享服务</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为学校提供公开电子技术支持，如小程序上的站点维护电子资料，在线公开课培训等。</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4.产品bug修改</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支持对产品bug进行修复。</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5.远程操作支持服务</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要求包含当进行疑难问题解答，问题咨询等服务时，厂商通过线上远程软件进行辅助，对学校进行一对一操作解答服务。</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6.网站实施BUG修改</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要求对我校已交付上线使用的网站bug进行修复。</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7.平台故障诊断</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当系统出现故障无法使用时，由厂商工程师介入诊断问题点，并提出修复方案。</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8.平台故障修复</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厂商对我校平台在运行过程中出现的故障进行修复服务，确保平台稳定，正常运维。</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9.产品部署服务</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求厂商能够我校为正在运行的站群环境提供增加发布机、运行机、服务器迁移服务（不包含国产化适配）。</w:t>
            </w:r>
            <w:bookmarkEnd w:id="3"/>
          </w:p>
          <w:p>
            <w:pPr>
              <w:widowControl/>
              <w:numPr>
                <w:ilvl w:val="0"/>
                <w:numId w:val="0"/>
              </w:numPr>
              <w:ind w:firstLine="480" w:firstLineChars="200"/>
              <w:jc w:val="both"/>
              <w:rPr>
                <w:rFonts w:hint="default" w:ascii="宋体" w:hAnsi="宋体" w:eastAsia="宋体" w:cs="宋体"/>
                <w:i w:val="0"/>
                <w:iCs w:val="0"/>
                <w:color w:val="000000"/>
                <w:kern w:val="0"/>
                <w:sz w:val="24"/>
                <w:szCs w:val="24"/>
                <w:u w:val="none"/>
                <w:lang w:val="en-US" w:eastAsia="zh-CN" w:bidi="ar"/>
              </w:rPr>
            </w:pPr>
          </w:p>
          <w:p>
            <w:pPr>
              <w:widowControl/>
              <w:numPr>
                <w:ilvl w:val="0"/>
                <w:numId w:val="0"/>
              </w:numPr>
              <w:jc w:val="both"/>
              <w:rPr>
                <w:rFonts w:hint="eastAsia" w:ascii="宋体" w:hAnsi="宋体" w:eastAsia="宋体" w:cs="宋体"/>
                <w:b/>
                <w:bCs/>
                <w:i w:val="0"/>
                <w:iCs w:val="0"/>
                <w:color w:val="000000"/>
                <w:kern w:val="0"/>
                <w:sz w:val="24"/>
                <w:szCs w:val="24"/>
                <w:u w:val="none"/>
                <w:lang w:val="en-US" w:eastAsia="zh-CN" w:bidi="ar"/>
              </w:rPr>
            </w:pPr>
            <w:bookmarkStart w:id="4" w:name="OLE_LINK4"/>
            <w:r>
              <w:rPr>
                <w:rFonts w:hint="eastAsia" w:ascii="宋体" w:hAnsi="宋体" w:eastAsia="宋体" w:cs="宋体"/>
                <w:b/>
                <w:bCs/>
                <w:i w:val="0"/>
                <w:iCs w:val="0"/>
                <w:color w:val="000000"/>
                <w:kern w:val="0"/>
                <w:sz w:val="24"/>
                <w:szCs w:val="24"/>
                <w:u w:val="none"/>
                <w:lang w:val="en-US" w:eastAsia="zh-CN" w:bidi="ar"/>
              </w:rPr>
              <w:t>三、安全保障服务</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1.安全漏洞修复</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非学校环境因素的情况下，要求可以对安全厂商、上级部门的漏扫报告进行一对一资深技术分析、处理，并提供书面的正式处理回复报告。</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2.数据安全服务</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当数据意外损坏或丢失，厂商工程师可使用现存的数据备份进行技术恢复，保证损失最小化。</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3.站群等保整改</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非学校环境因素的情况下，要求可为我校提供技术支持，协助完成等保评测过程中涉及到站群功能整改、中间件及数据库配置等工作。</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4.攻防演练方案支持</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要求可以为我校在攻防演练中提供方案。</w:t>
            </w:r>
          </w:p>
          <w:bookmarkEnd w:id="4"/>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p>
          <w:p>
            <w:pPr>
              <w:widowControl/>
              <w:numPr>
                <w:ilvl w:val="0"/>
                <w:numId w:val="0"/>
              </w:numPr>
              <w:jc w:val="both"/>
              <w:rPr>
                <w:rFonts w:hint="eastAsia" w:ascii="宋体" w:hAnsi="宋体" w:eastAsia="宋体" w:cs="宋体"/>
                <w:b/>
                <w:bCs/>
                <w:i w:val="0"/>
                <w:iCs w:val="0"/>
                <w:color w:val="000000"/>
                <w:kern w:val="0"/>
                <w:sz w:val="24"/>
                <w:szCs w:val="24"/>
                <w:u w:val="none"/>
                <w:lang w:val="en-US" w:eastAsia="zh-CN" w:bidi="ar"/>
              </w:rPr>
            </w:pPr>
            <w:bookmarkStart w:id="5" w:name="OLE_LINK5"/>
            <w:r>
              <w:rPr>
                <w:rFonts w:hint="eastAsia" w:ascii="宋体" w:hAnsi="宋体" w:eastAsia="宋体" w:cs="宋体"/>
                <w:b/>
                <w:bCs/>
                <w:i w:val="0"/>
                <w:iCs w:val="0"/>
                <w:color w:val="000000"/>
                <w:kern w:val="0"/>
                <w:sz w:val="24"/>
                <w:szCs w:val="24"/>
                <w:u w:val="none"/>
                <w:lang w:val="en-US" w:eastAsia="zh-CN" w:bidi="ar"/>
              </w:rPr>
              <w:t>四、网站实施设计服务</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1.页面兼容性优化</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当页面出现变形等视觉差异问题时，能够确保页面在主流浏览器版本下正常显示。</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2.栏目调整服务</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根据我校要求对网站栏目框架进行微调。</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3.</w:t>
            </w:r>
            <w:r>
              <w:rPr>
                <w:rFonts w:hint="eastAsia" w:ascii="宋体" w:hAnsi="宋体" w:eastAsia="宋体" w:cs="宋体"/>
                <w:i w:val="0"/>
                <w:iCs w:val="0"/>
                <w:color w:val="000000"/>
                <w:kern w:val="0"/>
                <w:sz w:val="21"/>
                <w:szCs w:val="21"/>
                <w:u w:val="none"/>
                <w:lang w:val="en-US" w:eastAsia="zh-CN" w:bidi="ar"/>
              </w:rPr>
              <w:t>重要页面</w:t>
            </w:r>
            <w:r>
              <w:rPr>
                <w:rFonts w:hint="default" w:ascii="宋体" w:hAnsi="宋体" w:eastAsia="宋体" w:cs="宋体"/>
                <w:i w:val="0"/>
                <w:iCs w:val="0"/>
                <w:color w:val="000000"/>
                <w:kern w:val="0"/>
                <w:sz w:val="21"/>
                <w:szCs w:val="21"/>
                <w:u w:val="none"/>
                <w:lang w:val="en-US" w:eastAsia="zh-CN" w:bidi="ar"/>
              </w:rPr>
              <w:t>维护</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厂商对重要页面进行协助维护服务，包括文章格式调整等服务。</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4.模板调整</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厂商可在节假日，学校活动日等，对我校网站页面进行微调服务，在链接、备案信息发生变化时支持进行网站页面处理。</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default" w:ascii="宋体" w:hAnsi="宋体" w:eastAsia="宋体" w:cs="宋体"/>
                <w:i w:val="0"/>
                <w:iCs w:val="0"/>
                <w:color w:val="000000"/>
                <w:kern w:val="0"/>
                <w:sz w:val="21"/>
                <w:szCs w:val="21"/>
                <w:u w:val="none"/>
                <w:lang w:val="en-US" w:eastAsia="zh-CN" w:bidi="ar"/>
              </w:rPr>
              <w:t>5.装饰图片制作服务</w:t>
            </w:r>
            <w:r>
              <w:rPr>
                <w:rFonts w:hint="eastAsia" w:ascii="宋体" w:hAnsi="宋体" w:eastAsia="宋体" w:cs="宋体"/>
                <w:i w:val="0"/>
                <w:iCs w:val="0"/>
                <w:color w:val="000000"/>
                <w:kern w:val="0"/>
                <w:sz w:val="21"/>
                <w:szCs w:val="21"/>
                <w:u w:val="none"/>
                <w:lang w:val="en-US" w:eastAsia="zh-CN" w:bidi="ar"/>
              </w:rPr>
              <w:t>：</w:t>
            </w:r>
            <w:r>
              <w:rPr>
                <w:rFonts w:hint="default" w:ascii="宋体" w:hAnsi="宋体" w:eastAsia="宋体" w:cs="宋体"/>
                <w:i w:val="0"/>
                <w:iCs w:val="0"/>
                <w:color w:val="000000"/>
                <w:kern w:val="0"/>
                <w:sz w:val="21"/>
                <w:szCs w:val="21"/>
                <w:u w:val="none"/>
                <w:lang w:val="en-US" w:eastAsia="zh-CN" w:bidi="ar"/>
              </w:rPr>
              <w:t>支持为我校制作网站日常使用的装饰图片10张（不含banner的等设计类图片）。</w:t>
            </w:r>
            <w:bookmarkEnd w:id="5"/>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p>
          <w:p>
            <w:pPr>
              <w:widowControl/>
              <w:numPr>
                <w:ilvl w:val="0"/>
                <w:numId w:val="0"/>
              </w:numPr>
              <w:jc w:val="both"/>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五、例行检查服务</w:t>
            </w:r>
          </w:p>
          <w:p>
            <w:pPr>
              <w:widowControl/>
              <w:numPr>
                <w:ilvl w:val="0"/>
                <w:numId w:val="0"/>
              </w:numPr>
              <w:jc w:val="both"/>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b/>
                <w:bCs/>
                <w:i w:val="0"/>
                <w:iCs w:val="0"/>
                <w:color w:val="000000"/>
                <w:kern w:val="0"/>
                <w:sz w:val="21"/>
                <w:szCs w:val="21"/>
                <w:u w:val="none"/>
                <w:lang w:val="en-US" w:eastAsia="zh-CN" w:bidi="ar"/>
              </w:rPr>
              <w:t xml:space="preserve">   </w:t>
            </w:r>
            <w:r>
              <w:rPr>
                <w:rFonts w:hint="eastAsia" w:ascii="宋体" w:hAnsi="宋体" w:eastAsia="宋体" w:cs="宋体"/>
                <w:b w:val="0"/>
                <w:bCs w:val="0"/>
                <w:i w:val="0"/>
                <w:iCs w:val="0"/>
                <w:color w:val="000000"/>
                <w:kern w:val="0"/>
                <w:sz w:val="21"/>
                <w:szCs w:val="21"/>
                <w:u w:val="none"/>
                <w:lang w:val="en-US" w:eastAsia="zh-CN" w:bidi="ar"/>
              </w:rPr>
              <w:t>1.</w:t>
            </w:r>
            <w:r>
              <w:rPr>
                <w:rFonts w:hint="eastAsia" w:ascii="宋体" w:hAnsi="宋体" w:eastAsia="宋体" w:cs="宋体"/>
                <w:i w:val="0"/>
                <w:iCs w:val="0"/>
                <w:color w:val="000000"/>
                <w:kern w:val="0"/>
                <w:sz w:val="21"/>
                <w:szCs w:val="21"/>
                <w:highlight w:val="none"/>
                <w:u w:val="none"/>
                <w:lang w:val="en-US" w:eastAsia="zh-CN" w:bidi="ar"/>
              </w:rPr>
              <w:t>安全补丁更新服务：更新网站群相关的安全补丁，同时对平台基础软件Apache、tomcat及postgresql进行配置优化及版本内升级，检查历史安全补丁是否有遗漏，确保系统安全性</w:t>
            </w:r>
          </w:p>
          <w:p>
            <w:pPr>
              <w:widowControl/>
              <w:numPr>
                <w:ilvl w:val="0"/>
                <w:numId w:val="0"/>
              </w:numPr>
              <w:jc w:val="both"/>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 xml:space="preserve">   2.</w:t>
            </w:r>
            <w:r>
              <w:rPr>
                <w:rFonts w:hint="eastAsia" w:ascii="宋体" w:hAnsi="宋体" w:eastAsia="宋体" w:cs="宋体"/>
                <w:i w:val="0"/>
                <w:iCs w:val="0"/>
                <w:color w:val="auto"/>
                <w:kern w:val="0"/>
                <w:sz w:val="21"/>
                <w:szCs w:val="21"/>
                <w:highlight w:val="none"/>
                <w:u w:val="none"/>
                <w:lang w:val="en-US" w:eastAsia="zh-CN" w:bidi="ar"/>
              </w:rPr>
              <w:t>主站可用性监测：开通主站可用性监测功能，可通过服务小程序查看主站连通性</w:t>
            </w:r>
          </w:p>
          <w:p>
            <w:pPr>
              <w:widowControl/>
              <w:numPr>
                <w:ilvl w:val="0"/>
                <w:numId w:val="0"/>
              </w:numPr>
              <w:jc w:val="both"/>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 xml:space="preserve">   3.IPv6浓度监测服务：每日监测网站IPv6浓度，下降到固定阈值（可配置）后预警</w:t>
            </w:r>
          </w:p>
          <w:p>
            <w:pPr>
              <w:widowControl/>
              <w:numPr>
                <w:ilvl w:val="0"/>
                <w:numId w:val="0"/>
              </w:numPr>
              <w:jc w:val="both"/>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 xml:space="preserve">   4.网站SSL证书监测服务：网站SSL证书有效期监测，提前1个月预警</w:t>
            </w:r>
          </w:p>
          <w:p>
            <w:pPr>
              <w:widowControl/>
              <w:numPr>
                <w:ilvl w:val="0"/>
                <w:numId w:val="0"/>
              </w:numPr>
              <w:jc w:val="both"/>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 xml:space="preserve">   5.每周诊断：实时监控站群环境健康指数，每周由工程师进行多次诊断，并出具诊断报告</w:t>
            </w:r>
          </w:p>
          <w:p>
            <w:pPr>
              <w:widowControl/>
              <w:numPr>
                <w:ilvl w:val="0"/>
                <w:numId w:val="0"/>
              </w:numPr>
              <w:jc w:val="both"/>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auto"/>
                <w:kern w:val="0"/>
                <w:sz w:val="21"/>
                <w:szCs w:val="21"/>
                <w:highlight w:val="none"/>
                <w:u w:val="none"/>
                <w:lang w:val="en-US" w:eastAsia="zh-CN" w:bidi="ar"/>
              </w:rPr>
              <w:t xml:space="preserve">   6.</w:t>
            </w:r>
            <w:r>
              <w:rPr>
                <w:rFonts w:hint="eastAsia" w:ascii="宋体" w:hAnsi="宋体" w:eastAsia="宋体" w:cs="宋体"/>
                <w:i w:val="0"/>
                <w:iCs w:val="0"/>
                <w:color w:val="000000"/>
                <w:kern w:val="0"/>
                <w:sz w:val="21"/>
                <w:szCs w:val="21"/>
                <w:highlight w:val="none"/>
                <w:u w:val="none"/>
                <w:lang w:val="en-US" w:eastAsia="zh-CN" w:bidi="ar"/>
              </w:rPr>
              <w:t>人工巡检1次/年：远程对网站群应用环境，进行全面检查、对操作系统资源使用情况进行分析，及时发现各项隐患，并生成巡检记录报告。</w:t>
            </w:r>
          </w:p>
          <w:p>
            <w:pPr>
              <w:widowControl/>
              <w:numPr>
                <w:ilvl w:val="0"/>
                <w:numId w:val="0"/>
              </w:numPr>
              <w:jc w:val="both"/>
              <w:rPr>
                <w:rFonts w:hint="default" w:ascii="宋体" w:hAnsi="宋体" w:eastAsia="宋体" w:cs="宋体"/>
                <w:b/>
                <w:bCs/>
                <w:i w:val="0"/>
                <w:iCs w:val="0"/>
                <w:color w:val="000000"/>
                <w:kern w:val="0"/>
                <w:sz w:val="24"/>
                <w:szCs w:val="24"/>
                <w:highlight w:val="none"/>
                <w:u w:val="none"/>
                <w:lang w:val="en-US" w:eastAsia="zh-CN" w:bidi="ar"/>
              </w:rPr>
            </w:pPr>
            <w:bookmarkStart w:id="6" w:name="OLE_LINK6"/>
            <w:r>
              <w:rPr>
                <w:rFonts w:hint="eastAsia" w:ascii="宋体" w:hAnsi="宋体" w:eastAsia="宋体" w:cs="宋体"/>
                <w:b/>
                <w:bCs/>
                <w:i w:val="0"/>
                <w:iCs w:val="0"/>
                <w:color w:val="000000"/>
                <w:kern w:val="0"/>
                <w:sz w:val="24"/>
                <w:szCs w:val="24"/>
                <w:u w:val="none"/>
                <w:lang w:val="en-US" w:eastAsia="zh-CN" w:bidi="ar"/>
              </w:rPr>
              <w:t>六、专项运维服务</w:t>
            </w:r>
          </w:p>
          <w:p>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2"/>
                <w:szCs w:val="22"/>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t xml:space="preserve"> 1.网站群运维数据检测优化（一次）：远程进行用户账号安全性检查，检查并禁用长期未登录或简单密码的账号；远程对站群系统在长期运行后产生的垃圾文件、临时目录、临时文件进行清理</w:t>
            </w:r>
          </w:p>
          <w:p>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 xml:space="preserve">   2.网站群运行环境检测优化（一次）：检查备份包完整性并重新优化系统数据备份策略；检查站群系统日志运行情况，并验证日志有效性，对各项日志进行人工分析，及时发现各项隐患；检查网站群应用防火墙，并进行配置优化；检查并优化站群密码管理策略；检查站群授权文件有效性；远程对站群环境进行检查并优化，网站群登录失败管理功能、数据库连接池、站群各类访问日志</w:t>
            </w:r>
          </w:p>
          <w:p>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 xml:space="preserve">   3.操作系统安全加固（一次）：检查记录磁盘空间使用情况，并进行必要的清理；检查操作系统密码复杂度、系统时间、操作系统历史命令记录情况进行检查，看是否符合管理要求；远程进行安全性检查，对系统异常进程端口、防火墙、DNSserver设置、/etc/hosts、系统启动项、计划任务等配置进行相关检查；远程进行系统性能检查，检查CPU、磁盘读写情况、内存占用情况等进行检查并进行记录、优化</w:t>
            </w:r>
          </w:p>
          <w:p>
            <w:pPr>
              <w:keepNext w:val="0"/>
              <w:keepLines w:val="0"/>
              <w:widowControl/>
              <w:suppressLineNumbers w:val="0"/>
              <w:jc w:val="left"/>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 xml:space="preserve">   4.网站群应用安全加固（一次）：历史安全补丁全面检查，识别未及时更新的安全补丁并全面更新；系统安全规则检查并配置，账号登录失败锁定、组件代码开启状态、账号密码复杂度等；远程对网站群中间件、数据库版本检查并进行必要升级</w:t>
            </w:r>
            <w:bookmarkEnd w:id="6"/>
          </w:p>
          <w:p>
            <w:pPr>
              <w:widowControl/>
              <w:numPr>
                <w:ilvl w:val="0"/>
                <w:numId w:val="0"/>
              </w:numPr>
              <w:jc w:val="both"/>
              <w:rPr>
                <w:rFonts w:hint="eastAsia" w:ascii="宋体" w:hAnsi="宋体" w:eastAsia="宋体" w:cs="宋体"/>
                <w:b/>
                <w:bCs/>
                <w:i w:val="0"/>
                <w:iCs w:val="0"/>
                <w:color w:val="000000"/>
                <w:kern w:val="0"/>
                <w:sz w:val="24"/>
                <w:szCs w:val="24"/>
                <w:u w:val="none"/>
                <w:lang w:val="en-US" w:eastAsia="zh-CN" w:bidi="ar"/>
              </w:rPr>
            </w:pPr>
            <w:bookmarkStart w:id="7" w:name="OLE_LINK7"/>
            <w:r>
              <w:rPr>
                <w:rFonts w:hint="eastAsia" w:ascii="宋体" w:hAnsi="宋体" w:eastAsia="宋体" w:cs="宋体"/>
                <w:b/>
                <w:bCs/>
                <w:i w:val="0"/>
                <w:iCs w:val="0"/>
                <w:color w:val="000000"/>
                <w:kern w:val="0"/>
                <w:sz w:val="24"/>
                <w:szCs w:val="24"/>
                <w:u w:val="none"/>
                <w:lang w:val="en-US" w:eastAsia="zh-CN" w:bidi="ar"/>
              </w:rPr>
              <w:t>七、安全运维服务</w:t>
            </w:r>
          </w:p>
          <w:p>
            <w:pPr>
              <w:widowControl/>
              <w:numPr>
                <w:ilvl w:val="0"/>
                <w:numId w:val="0"/>
              </w:numPr>
              <w:ind w:firstLine="420" w:firstLineChars="200"/>
              <w:jc w:val="both"/>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1.重大活动保障服务: 在国家重大活动、学校重大活动、重大事件场景下要求为我校提供保障服务，并配备专业的运维团队随时响应。</w:t>
            </w:r>
          </w:p>
          <w:p>
            <w:pPr>
              <w:widowControl/>
              <w:numPr>
                <w:ilvl w:val="0"/>
                <w:numId w:val="0"/>
              </w:numPr>
              <w:ind w:firstLine="420" w:firstLineChars="200"/>
              <w:jc w:val="both"/>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2.HTTPS安全改造支持：平台HTTPS适配（证书需客户单独购买</w:t>
            </w:r>
          </w:p>
          <w:p>
            <w:pPr>
              <w:widowControl/>
              <w:numPr>
                <w:ilvl w:val="0"/>
                <w:numId w:val="0"/>
              </w:numPr>
              <w:ind w:firstLine="420" w:firstLineChars="200"/>
              <w:jc w:val="both"/>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3.等保支持：等级保护期间的技术支持服务包含：应用安全配置整改</w:t>
            </w:r>
          </w:p>
          <w:p>
            <w:pPr>
              <w:widowControl/>
              <w:numPr>
                <w:ilvl w:val="0"/>
                <w:numId w:val="0"/>
              </w:numPr>
              <w:ind w:firstLine="420" w:firstLineChars="200"/>
              <w:jc w:val="both"/>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4.攻防演练支持:攻防演练标准方案提供，配合客户进行演练前安全检查，当出现紧急情况时，由应急团队紧急支持</w:t>
            </w:r>
          </w:p>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5.敏感文章批量撤稿（不处理内容）:对指定包含敏感字的文章快速批量撤稿</w:t>
            </w:r>
            <w:bookmarkEnd w:id="7"/>
          </w:p>
          <w:p>
            <w:pPr>
              <w:widowControl/>
              <w:numPr>
                <w:ilvl w:val="0"/>
                <w:numId w:val="0"/>
              </w:numPr>
              <w:jc w:val="both"/>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八、报修服务</w:t>
            </w:r>
          </w:p>
          <w:p>
            <w:pPr>
              <w:widowControl/>
              <w:numPr>
                <w:ilvl w:val="0"/>
                <w:numId w:val="0"/>
              </w:numPr>
              <w:ind w:firstLine="420" w:firstLineChars="200"/>
              <w:jc w:val="both"/>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提供服务小程序，解决服务入口统一的问题，小程序需要具备报修/报修任务查看等功能，能够在服务小程序上实现问题快速报修，支持语音、文字、图片方式进行问题反馈。同时集成网站群运行与管理的知识体系，满足使用者日常维护服务的需求。</w:t>
            </w:r>
          </w:p>
          <w:p>
            <w:pPr>
              <w:widowControl/>
              <w:numPr>
                <w:ilvl w:val="0"/>
                <w:numId w:val="0"/>
              </w:numPr>
              <w:ind w:firstLine="420" w:firstLineChars="200"/>
              <w:jc w:val="both"/>
              <w:rPr>
                <w:rFonts w:hint="eastAsia" w:ascii="微软雅黑" w:hAnsi="微软雅黑" w:eastAsia="微软雅黑" w:cs="微软雅黑"/>
                <w:i w:val="0"/>
                <w:color w:val="000000"/>
                <w:kern w:val="0"/>
                <w:sz w:val="18"/>
                <w:szCs w:val="18"/>
                <w:u w:val="none"/>
                <w:lang w:val="en-US" w:eastAsia="zh-CN" w:bidi="ar"/>
              </w:rPr>
            </w:pPr>
            <w:r>
              <w:rPr>
                <w:rFonts w:hint="eastAsia" w:ascii="宋体" w:hAnsi="宋体" w:eastAsia="宋体" w:cs="宋体"/>
                <w:i w:val="0"/>
                <w:iCs w:val="0"/>
                <w:color w:val="000000"/>
                <w:kern w:val="0"/>
                <w:sz w:val="21"/>
                <w:szCs w:val="21"/>
                <w:u w:val="none"/>
                <w:lang w:val="en-US" w:eastAsia="zh-CN" w:bidi="ar"/>
              </w:rPr>
              <w:t>2.提供针对售后服务提供成熟的信息化客户服务系统，系统业务显示用户客户售后服务，实现客户问题处理的显性化跟踪处理。</w:t>
            </w:r>
            <w:bookmarkEnd w:id="2"/>
          </w:p>
        </w:tc>
        <w:tc>
          <w:tcPr>
            <w:tcW w:w="924"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w:t>
            </w:r>
          </w:p>
        </w:tc>
        <w:tc>
          <w:tcPr>
            <w:tcW w:w="983"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项</w:t>
            </w:r>
          </w:p>
        </w:tc>
        <w:tc>
          <w:tcPr>
            <w:tcW w:w="1475"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numPr>
                <w:ilvl w:val="0"/>
                <w:numId w:val="0"/>
              </w:numPr>
              <w:ind w:firstLine="420" w:firstLineChars="200"/>
              <w:jc w:val="both"/>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32000</w:t>
            </w:r>
          </w:p>
        </w:tc>
        <w:tc>
          <w:tcPr>
            <w:tcW w:w="1959" w:type="dxa"/>
            <w:tcBorders>
              <w:top w:val="single" w:color="000000" w:sz="4" w:space="0"/>
              <w:left w:val="single" w:color="000000" w:sz="4" w:space="0"/>
              <w:bottom w:val="single" w:color="000000" w:sz="4" w:space="0"/>
              <w:right w:val="single" w:color="000000" w:sz="4" w:space="0"/>
            </w:tcBorders>
            <w:shd w:val="clear" w:color="000000" w:fill="FFFFFF"/>
            <w:vAlign w:val="center"/>
          </w:tcPr>
          <w:p>
            <w:pPr>
              <w:widowControl/>
              <w:jc w:val="left"/>
              <w:textAlignment w:val="center"/>
              <w:rPr>
                <w:rFonts w:hint="eastAsia" w:ascii="微软雅黑" w:hAnsi="微软雅黑" w:eastAsia="微软雅黑" w:cs="微软雅黑"/>
                <w:i w:val="0"/>
                <w:color w:val="000000"/>
                <w:kern w:val="0"/>
                <w:sz w:val="18"/>
                <w:szCs w:val="18"/>
                <w:u w:val="none"/>
                <w:lang w:val="en-US" w:eastAsia="zh-CN" w:bidi="ar"/>
              </w:rPr>
            </w:pPr>
          </w:p>
        </w:tc>
      </w:tr>
    </w:tbl>
    <w:p/>
    <w:p/>
    <w:p/>
    <w:p/>
    <w:p/>
    <w:p>
      <w:pPr>
        <w:rPr>
          <w:sz w:val="24"/>
        </w:rPr>
      </w:pPr>
    </w:p>
    <w:sectPr>
      <w:pgSz w:w="16838" w:h="11906" w:orient="landscape"/>
      <w:pgMar w:top="567" w:right="567" w:bottom="567" w:left="567"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endnote>
  <w:endnote w:type="continuationSeparator" w:id="1">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footnote>
  <w:footnote w:type="continuationSeparator" w:id="1">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mRmZGZmZDVhZWM5NmJiZTZiY2FlOTVhNzEyNTdlNWMifQ=="/>
  </w:docVars>
  <w:rsids>
    <w:rsidRoot w:val="004115B5"/>
    <w:rsid w:val="0032783A"/>
    <w:rsid w:val="00391758"/>
    <w:rsid w:val="0039382A"/>
    <w:rsid w:val="004115B5"/>
    <w:rsid w:val="00665E71"/>
    <w:rsid w:val="008B2E8D"/>
    <w:rsid w:val="00D6707F"/>
    <w:rsid w:val="00E63A31"/>
    <w:rsid w:val="013636AB"/>
    <w:rsid w:val="032F04D8"/>
    <w:rsid w:val="041D47D5"/>
    <w:rsid w:val="05811095"/>
    <w:rsid w:val="067D155B"/>
    <w:rsid w:val="08163A15"/>
    <w:rsid w:val="08233634"/>
    <w:rsid w:val="09292D87"/>
    <w:rsid w:val="0CA737D5"/>
    <w:rsid w:val="11053F10"/>
    <w:rsid w:val="135267B9"/>
    <w:rsid w:val="13DE2927"/>
    <w:rsid w:val="14A70C5E"/>
    <w:rsid w:val="16414AC9"/>
    <w:rsid w:val="1704276F"/>
    <w:rsid w:val="17873285"/>
    <w:rsid w:val="19AC6E40"/>
    <w:rsid w:val="1AFE0275"/>
    <w:rsid w:val="1CD975BA"/>
    <w:rsid w:val="1F026649"/>
    <w:rsid w:val="1FF07BD3"/>
    <w:rsid w:val="1FF266BE"/>
    <w:rsid w:val="200F62BE"/>
    <w:rsid w:val="207B1880"/>
    <w:rsid w:val="2164183D"/>
    <w:rsid w:val="296A19BB"/>
    <w:rsid w:val="29A952B1"/>
    <w:rsid w:val="2A433268"/>
    <w:rsid w:val="2B26670B"/>
    <w:rsid w:val="2DA535EC"/>
    <w:rsid w:val="2DBD7508"/>
    <w:rsid w:val="2E0D266B"/>
    <w:rsid w:val="2E0F48DF"/>
    <w:rsid w:val="2E1B0DDD"/>
    <w:rsid w:val="2F7E7DE1"/>
    <w:rsid w:val="30D140CD"/>
    <w:rsid w:val="30E402A4"/>
    <w:rsid w:val="31FD5010"/>
    <w:rsid w:val="32621481"/>
    <w:rsid w:val="329F1418"/>
    <w:rsid w:val="32FA3302"/>
    <w:rsid w:val="341132E8"/>
    <w:rsid w:val="3444417A"/>
    <w:rsid w:val="34A83304"/>
    <w:rsid w:val="36121410"/>
    <w:rsid w:val="36480596"/>
    <w:rsid w:val="39C07F30"/>
    <w:rsid w:val="3C0B2B89"/>
    <w:rsid w:val="3DAD4382"/>
    <w:rsid w:val="40153FD6"/>
    <w:rsid w:val="40A040BE"/>
    <w:rsid w:val="40DE654A"/>
    <w:rsid w:val="425719E5"/>
    <w:rsid w:val="42DE2DA6"/>
    <w:rsid w:val="465F5FAB"/>
    <w:rsid w:val="466147D0"/>
    <w:rsid w:val="46E10135"/>
    <w:rsid w:val="47022DDB"/>
    <w:rsid w:val="479B538C"/>
    <w:rsid w:val="48E00EFA"/>
    <w:rsid w:val="4A9D3546"/>
    <w:rsid w:val="4ADA02F6"/>
    <w:rsid w:val="4B427C4A"/>
    <w:rsid w:val="4D16014B"/>
    <w:rsid w:val="4E4F4B57"/>
    <w:rsid w:val="4FE47521"/>
    <w:rsid w:val="513542C6"/>
    <w:rsid w:val="51FB05A4"/>
    <w:rsid w:val="534F2549"/>
    <w:rsid w:val="53CC09DE"/>
    <w:rsid w:val="548A400B"/>
    <w:rsid w:val="564F6F5E"/>
    <w:rsid w:val="571A7DBC"/>
    <w:rsid w:val="576C0528"/>
    <w:rsid w:val="5A015835"/>
    <w:rsid w:val="5A6C6FE1"/>
    <w:rsid w:val="5B52019F"/>
    <w:rsid w:val="5BC76333"/>
    <w:rsid w:val="5C451FBA"/>
    <w:rsid w:val="5D5D6FA4"/>
    <w:rsid w:val="5F233F07"/>
    <w:rsid w:val="62AE40EB"/>
    <w:rsid w:val="62FC3210"/>
    <w:rsid w:val="6328024F"/>
    <w:rsid w:val="63B329DD"/>
    <w:rsid w:val="677F6056"/>
    <w:rsid w:val="67D77C40"/>
    <w:rsid w:val="67EB7409"/>
    <w:rsid w:val="6B623CC4"/>
    <w:rsid w:val="6D7E290C"/>
    <w:rsid w:val="70173375"/>
    <w:rsid w:val="71D0571B"/>
    <w:rsid w:val="727F6A13"/>
    <w:rsid w:val="73104006"/>
    <w:rsid w:val="74351777"/>
    <w:rsid w:val="76017BE7"/>
    <w:rsid w:val="77FB7E5B"/>
    <w:rsid w:val="7C755727"/>
    <w:rsid w:val="7F032EEB"/>
    <w:rsid w:val="7FF76D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character" w:customStyle="1" w:styleId="4">
    <w:name w:val="font11"/>
    <w:basedOn w:val="3"/>
    <w:qFormat/>
    <w:uiPriority w:val="0"/>
    <w:rPr>
      <w:rFonts w:hint="eastAsia" w:ascii="微软雅黑" w:hAnsi="微软雅黑" w:eastAsia="微软雅黑" w:cs="微软雅黑"/>
      <w:color w:val="000000"/>
      <w:sz w:val="24"/>
      <w:szCs w:val="24"/>
      <w:u w:val="none"/>
    </w:rPr>
  </w:style>
  <w:style w:type="character" w:customStyle="1" w:styleId="5">
    <w:name w:val="font61"/>
    <w:basedOn w:val="3"/>
    <w:qFormat/>
    <w:uiPriority w:val="0"/>
    <w:rPr>
      <w:rFonts w:hint="eastAsia" w:ascii="微软雅黑" w:hAnsi="微软雅黑" w:eastAsia="微软雅黑" w:cs="微软雅黑"/>
      <w:color w:val="FF0000"/>
      <w:sz w:val="24"/>
      <w:szCs w:val="24"/>
      <w:u w:val="none"/>
    </w:rPr>
  </w:style>
  <w:style w:type="character" w:customStyle="1" w:styleId="6">
    <w:name w:val="font71"/>
    <w:basedOn w:val="3"/>
    <w:qFormat/>
    <w:uiPriority w:val="0"/>
    <w:rPr>
      <w:rFonts w:hint="eastAsia" w:ascii="微软雅黑" w:hAnsi="微软雅黑" w:eastAsia="微软雅黑" w:cs="微软雅黑"/>
      <w:b/>
      <w:bCs/>
      <w:color w:val="FF0000"/>
      <w:sz w:val="24"/>
      <w:szCs w:val="24"/>
      <w:u w:val="none"/>
    </w:rPr>
  </w:style>
  <w:style w:type="character" w:customStyle="1" w:styleId="7">
    <w:name w:val="font31"/>
    <w:basedOn w:val="3"/>
    <w:qFormat/>
    <w:uiPriority w:val="0"/>
    <w:rPr>
      <w:rFonts w:hint="eastAsia" w:ascii="微软雅黑" w:hAnsi="微软雅黑" w:eastAsia="微软雅黑" w:cs="微软雅黑"/>
      <w:b/>
      <w:bCs/>
      <w:color w:val="000000"/>
      <w:sz w:val="24"/>
      <w:szCs w:val="24"/>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3277</Words>
  <Characters>3463</Characters>
  <Lines>30</Lines>
  <Paragraphs>8</Paragraphs>
  <TotalTime>1</TotalTime>
  <ScaleCrop>false</ScaleCrop>
  <LinksUpToDate>false</LinksUpToDate>
  <CharactersWithSpaces>3506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2024-12-03T09:45:00Z</dcterms:created>
  <dc:creator>lenovo</dc:creator>
  <cp:lastModifiedBy>喂喂喂</cp:lastModifiedBy>
  <cp:lastPrinted>2024-12-04T06:38:00Z</cp:lastPrinted>
  <dcterms:modified xsi:type="dcterms:W3CDTF">2025-03-31T01:11:12Z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60C66146BEF44E958D5C831D5E6441DA_13</vt:lpwstr>
  </property>
</Properties>
</file>