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8CCB">
      <w:pPr>
        <w:spacing w:beforeAutospacing="0" w:afterAutospacing="0" w:line="80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衡阳市蒸湘区人民法院呆鹰岭人民法庭建设项目报建</w:t>
      </w:r>
      <w:r>
        <w:rPr>
          <w:rFonts w:hint="eastAsia" w:ascii="宋体" w:hAnsi="宋体"/>
          <w:b/>
          <w:kern w:val="0"/>
          <w:sz w:val="32"/>
          <w:szCs w:val="32"/>
        </w:rPr>
        <w:t>咨询办理服务内容、服务费</w:t>
      </w:r>
      <w:r>
        <w:rPr>
          <w:rFonts w:hint="eastAsia" w:ascii="宋体" w:hAnsi="宋体"/>
          <w:b/>
          <w:sz w:val="32"/>
          <w:szCs w:val="32"/>
        </w:rPr>
        <w:t>报价单</w:t>
      </w:r>
    </w:p>
    <w:p w14:paraId="3C0563A0">
      <w:pPr>
        <w:spacing w:beforeAutospacing="0" w:afterAutospacing="0" w:line="700" w:lineRule="exact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一、项目基本情况：</w:t>
      </w:r>
    </w:p>
    <w:p w14:paraId="0CC93065">
      <w:pPr>
        <w:spacing w:beforeAutospacing="0" w:afterAutospacing="0" w:line="700" w:lineRule="exact"/>
        <w:ind w:left="2517" w:leftChars="232" w:hanging="1960" w:hangingChars="7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1、项目名称：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衡阳市蒸湘区人民法院呆鹰岭人民法庭建设项目报建</w:t>
      </w:r>
      <w:r>
        <w:rPr>
          <w:rFonts w:hint="eastAsia" w:ascii="宋体" w:hAnsi="宋体"/>
          <w:bCs/>
          <w:kern w:val="0"/>
          <w:sz w:val="28"/>
          <w:szCs w:val="28"/>
        </w:rPr>
        <w:t>咨询办理服务项目</w:t>
      </w:r>
    </w:p>
    <w:p w14:paraId="6A8A547A">
      <w:pPr>
        <w:spacing w:beforeAutospacing="0" w:afterAutospacing="0" w:line="700" w:lineRule="exact"/>
        <w:ind w:firstLine="560" w:firstLineChars="200"/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2、建设单位：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衡阳市蒸湘区人民法院</w:t>
      </w:r>
    </w:p>
    <w:p w14:paraId="5E5D7319">
      <w:pPr>
        <w:spacing w:beforeAutospacing="0" w:afterAutospacing="0" w:line="70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3、项目地点：衡阳市蒸湘区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松亭村七组</w:t>
      </w:r>
    </w:p>
    <w:p w14:paraId="7C297489">
      <w:pPr>
        <w:spacing w:beforeAutospacing="0" w:afterAutospacing="0" w:line="70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4、项目概况：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衡阳市蒸湘区人民法院呆鹰岭人民法庭建设项目用地位于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蒸湘区呆鹰岭镇新阳村（336省道旁），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南临解放西路，用地面积3709平方米，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约合5.55亩</w:t>
      </w:r>
      <w:r>
        <w:rPr>
          <w:rFonts w:hint="eastAsia" w:ascii="宋体" w:hAnsi="宋体"/>
          <w:kern w:val="0"/>
          <w:sz w:val="28"/>
          <w:szCs w:val="28"/>
        </w:rPr>
        <w:t>，需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办理</w:t>
      </w:r>
      <w:r>
        <w:rPr>
          <w:rFonts w:hint="eastAsia" w:ascii="宋体" w:hAnsi="宋体"/>
          <w:kern w:val="0"/>
          <w:sz w:val="28"/>
          <w:szCs w:val="28"/>
        </w:rPr>
        <w:t>本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建设项目的建设工程规划许可证和建筑工程施工许可证</w:t>
      </w:r>
      <w:r>
        <w:rPr>
          <w:rFonts w:hint="eastAsia" w:ascii="宋体" w:hAnsi="宋体"/>
          <w:kern w:val="0"/>
          <w:sz w:val="28"/>
          <w:szCs w:val="28"/>
        </w:rPr>
        <w:t>，以满足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该项目建设</w:t>
      </w:r>
      <w:r>
        <w:rPr>
          <w:rFonts w:hint="eastAsia" w:ascii="宋体" w:hAnsi="宋体"/>
          <w:kern w:val="0"/>
          <w:sz w:val="28"/>
          <w:szCs w:val="28"/>
        </w:rPr>
        <w:t>需要。</w:t>
      </w:r>
    </w:p>
    <w:p w14:paraId="23A2EBD3">
      <w:pPr>
        <w:spacing w:beforeAutospacing="0" w:afterAutospacing="0" w:line="700" w:lineRule="exact"/>
        <w:ind w:firstLine="562" w:firstLineChars="200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 w:val="0"/>
          <w:sz w:val="28"/>
          <w:szCs w:val="28"/>
        </w:rPr>
        <w:t>、</w:t>
      </w: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衡阳市蒸湘区人民法院呆鹰岭人民法庭建设项目报建</w:t>
      </w:r>
      <w:r>
        <w:rPr>
          <w:rFonts w:hint="eastAsia" w:ascii="宋体" w:hAnsi="宋体"/>
          <w:b/>
          <w:bCs w:val="0"/>
          <w:kern w:val="0"/>
          <w:sz w:val="28"/>
          <w:szCs w:val="28"/>
        </w:rPr>
        <w:t>咨询办理服务项目</w:t>
      </w:r>
      <w:r>
        <w:rPr>
          <w:rFonts w:hint="eastAsia" w:ascii="宋体" w:hAnsi="宋体"/>
          <w:b/>
          <w:bCs w:val="0"/>
          <w:sz w:val="28"/>
          <w:szCs w:val="28"/>
        </w:rPr>
        <w:t>服务内容</w:t>
      </w:r>
      <w:r>
        <w:rPr>
          <w:rFonts w:hint="eastAsia" w:ascii="宋体" w:hAnsi="宋体"/>
          <w:b/>
          <w:bCs w:val="0"/>
          <w:kern w:val="0"/>
          <w:sz w:val="28"/>
          <w:szCs w:val="28"/>
        </w:rPr>
        <w:t>：</w:t>
      </w:r>
    </w:p>
    <w:p w14:paraId="583146EA">
      <w:pPr>
        <w:spacing w:beforeAutospacing="0" w:afterAutospacing="0" w:line="700" w:lineRule="exact"/>
        <w:rPr>
          <w:rFonts w:hint="eastAsia" w:ascii="宋体" w:hAnsi="宋体"/>
          <w:bCs/>
          <w:kern w:val="0"/>
          <w:sz w:val="28"/>
          <w:szCs w:val="28"/>
        </w:rPr>
      </w:pPr>
    </w:p>
    <w:p w14:paraId="31AFE891">
      <w:pPr>
        <w:spacing w:beforeAutospacing="0" w:afterAutospacing="0" w:line="700" w:lineRule="exact"/>
        <w:ind w:firstLine="280" w:firstLineChars="100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第一阶段工作：需完成的前置工作事项</w:t>
      </w:r>
    </w:p>
    <w:p w14:paraId="0B05F2FA">
      <w:pPr>
        <w:spacing w:beforeAutospacing="0" w:afterAutospacing="0" w:line="700" w:lineRule="exact"/>
        <w:ind w:firstLine="280" w:firstLineChars="100"/>
        <w:rPr>
          <w:rFonts w:hint="eastAsia" w:ascii="宋体" w:hAnsi="宋体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Cs/>
          <w:kern w:val="0"/>
          <w:sz w:val="28"/>
          <w:szCs w:val="28"/>
        </w:rPr>
        <w:t>（1）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工程规费的计缴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。</w:t>
      </w:r>
    </w:p>
    <w:p w14:paraId="664972EB">
      <w:pPr>
        <w:spacing w:beforeAutospacing="0" w:afterAutospacing="0" w:line="700" w:lineRule="exact"/>
        <w:ind w:firstLine="280" w:firstLineChars="100"/>
        <w:rPr>
          <w:rFonts w:hint="default" w:ascii="宋体" w:hAnsi="宋体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</w:rPr>
        <w:t>第二阶段工作：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工程规划许可证</w:t>
      </w:r>
      <w:r>
        <w:rPr>
          <w:rFonts w:hint="eastAsia" w:ascii="宋体" w:hAnsi="宋体"/>
          <w:bCs/>
          <w:kern w:val="0"/>
          <w:sz w:val="28"/>
          <w:szCs w:val="28"/>
        </w:rPr>
        <w:t>报批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及办理</w:t>
      </w:r>
    </w:p>
    <w:p w14:paraId="538A5D83">
      <w:pPr>
        <w:spacing w:beforeAutospacing="0" w:afterAutospacing="0" w:line="700" w:lineRule="exact"/>
        <w:ind w:left="800" w:leftChars="100" w:hanging="560" w:hangingChars="200"/>
        <w:rPr>
          <w:rFonts w:hint="eastAsia" w:ascii="宋体" w:hAnsi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（1）编制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工程规划许可证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>报批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资料；</w:t>
      </w:r>
    </w:p>
    <w:p w14:paraId="1F2CB08A">
      <w:pPr>
        <w:spacing w:beforeAutospacing="0" w:afterAutospacing="0" w:line="700" w:lineRule="exact"/>
        <w:ind w:left="800" w:leftChars="100" w:hanging="560" w:hangingChars="200"/>
        <w:rPr>
          <w:rFonts w:hint="eastAsia" w:ascii="宋体" w:hAnsi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（2）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>办理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工程规划许可证书；</w:t>
      </w:r>
    </w:p>
    <w:p w14:paraId="60A7C294">
      <w:pPr>
        <w:spacing w:beforeAutospacing="0" w:afterAutospacing="0" w:line="700" w:lineRule="exact"/>
        <w:ind w:left="800" w:leftChars="100" w:hanging="560" w:hangingChars="200"/>
        <w:rPr>
          <w:rFonts w:hint="eastAsia" w:ascii="宋体" w:hAnsi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bCs/>
          <w:kern w:val="0"/>
          <w:sz w:val="28"/>
          <w:szCs w:val="28"/>
        </w:rPr>
        <w:t>（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kern w:val="0"/>
          <w:sz w:val="28"/>
          <w:szCs w:val="28"/>
        </w:rPr>
        <w:t>）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工程规划许可批后公示</w:t>
      </w:r>
      <w:r>
        <w:rPr>
          <w:rFonts w:hint="eastAsia" w:ascii="宋体" w:hAnsi="宋体"/>
          <w:bCs/>
          <w:kern w:val="0"/>
          <w:sz w:val="28"/>
          <w:szCs w:val="28"/>
        </w:rPr>
        <w:t>（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工程规划许可公示牌设计、制作好后安装在项目地公示</w:t>
      </w:r>
      <w:r>
        <w:rPr>
          <w:rFonts w:hint="eastAsia" w:ascii="宋体" w:hAnsi="宋体"/>
          <w:bCs/>
          <w:kern w:val="0"/>
          <w:sz w:val="28"/>
          <w:szCs w:val="28"/>
        </w:rPr>
        <w:t>）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。</w:t>
      </w:r>
    </w:p>
    <w:p w14:paraId="2E35DFA1">
      <w:pPr>
        <w:spacing w:beforeAutospacing="0" w:afterAutospacing="0" w:line="700" w:lineRule="exact"/>
        <w:ind w:left="800" w:leftChars="100" w:hanging="560" w:hangingChars="200"/>
        <w:rPr>
          <w:rFonts w:hint="default" w:ascii="宋体" w:hAnsi="宋体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</w:rPr>
        <w:t>第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Cs/>
          <w:kern w:val="0"/>
          <w:sz w:val="28"/>
          <w:szCs w:val="28"/>
        </w:rPr>
        <w:t>阶段工作：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建筑工程施工许可证</w:t>
      </w:r>
      <w:r>
        <w:rPr>
          <w:rFonts w:hint="eastAsia" w:ascii="宋体" w:hAnsi="宋体"/>
          <w:bCs/>
          <w:kern w:val="0"/>
          <w:sz w:val="28"/>
          <w:szCs w:val="28"/>
        </w:rPr>
        <w:t>报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建及办理</w:t>
      </w:r>
    </w:p>
    <w:p w14:paraId="6988F555">
      <w:pPr>
        <w:spacing w:beforeAutospacing="0" w:afterAutospacing="0" w:line="700" w:lineRule="exact"/>
        <w:ind w:left="800" w:leftChars="100" w:hanging="560" w:hangingChars="200"/>
        <w:rPr>
          <w:rFonts w:hint="eastAsia" w:ascii="宋体" w:hAnsi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（1）编制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建筑工程施工许可证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>报建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资料；</w:t>
      </w:r>
    </w:p>
    <w:p w14:paraId="6FAFA3D2">
      <w:pPr>
        <w:spacing w:beforeAutospacing="0" w:afterAutospacing="0" w:line="700" w:lineRule="exact"/>
        <w:ind w:left="800" w:leftChars="100" w:hanging="560" w:hangingChars="200"/>
        <w:rPr>
          <w:rFonts w:hint="eastAsia" w:ascii="宋体" w:hAnsi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（2）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>办理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建筑工程施工许可证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。</w:t>
      </w:r>
    </w:p>
    <w:p w14:paraId="496F0C92">
      <w:pPr>
        <w:spacing w:beforeAutospacing="0" w:afterAutospacing="0" w:line="360" w:lineRule="auto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 w:val="0"/>
          <w:sz w:val="28"/>
          <w:szCs w:val="28"/>
        </w:rPr>
        <w:t>、</w:t>
      </w: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衡阳市蒸湘区人民法院呆鹰岭人民法庭建设项目报建</w:t>
      </w:r>
      <w:r>
        <w:rPr>
          <w:rFonts w:hint="eastAsia" w:ascii="宋体" w:hAnsi="宋体"/>
          <w:b/>
          <w:bCs w:val="0"/>
          <w:kern w:val="0"/>
          <w:sz w:val="28"/>
          <w:szCs w:val="28"/>
        </w:rPr>
        <w:t>咨询办理服务项目</w:t>
      </w:r>
      <w:r>
        <w:rPr>
          <w:rFonts w:hint="eastAsia" w:ascii="宋体" w:hAnsi="宋体"/>
          <w:b/>
          <w:bCs w:val="0"/>
          <w:sz w:val="28"/>
          <w:szCs w:val="28"/>
        </w:rPr>
        <w:t>报价单</w:t>
      </w:r>
    </w:p>
    <w:p w14:paraId="65310D9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财建</w:t>
      </w:r>
      <w:r>
        <w:rPr>
          <w:rFonts w:hint="eastAsia" w:ascii="宋体" w:hAnsi="宋体"/>
          <w:sz w:val="28"/>
          <w:szCs w:val="28"/>
          <w:lang w:eastAsia="zh-CN"/>
        </w:rPr>
        <w:t>【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16】504</w:t>
      </w:r>
      <w:r>
        <w:rPr>
          <w:rFonts w:hint="eastAsia" w:ascii="宋体" w:hAnsi="宋体"/>
          <w:sz w:val="28"/>
          <w:szCs w:val="28"/>
        </w:rPr>
        <w:t>号文件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建设项目报建咨询办理服务费可在建设项目管理费中列支，报建咨询办理服务费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属经营服务性收费，应坚持公开、公平、自愿有偿、委托人付费的原则。”结合本项目报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建并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取得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工程施工许可证和建筑工程施工许可证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所需耗费的总工时（约45个工作日）和其它相关费用成本，本项目的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报建咨询办理服务费</w:t>
      </w:r>
      <w:r>
        <w:rPr>
          <w:rFonts w:hint="eastAsia" w:ascii="宋体" w:hAnsi="宋体"/>
          <w:sz w:val="28"/>
          <w:szCs w:val="28"/>
        </w:rPr>
        <w:t>报价为</w:t>
      </w:r>
      <w:r>
        <w:rPr>
          <w:rFonts w:hint="eastAsia" w:ascii="宋体" w:hAnsi="宋体"/>
          <w:sz w:val="28"/>
          <w:szCs w:val="28"/>
          <w:lang w:val="en-US" w:eastAsia="zh-CN"/>
        </w:rPr>
        <w:t>人民币：</w:t>
      </w:r>
      <w:r>
        <w:rPr>
          <w:rFonts w:hint="eastAsia" w:ascii="宋体" w:hAnsi="宋体"/>
          <w:sz w:val="28"/>
          <w:szCs w:val="28"/>
        </w:rPr>
        <w:t>（大写）：</w:t>
      </w:r>
      <w:r>
        <w:rPr>
          <w:rFonts w:hint="eastAsia" w:ascii="宋体" w:hAnsi="宋体"/>
          <w:sz w:val="28"/>
          <w:szCs w:val="28"/>
          <w:lang w:val="en-US" w:eastAsia="zh-CN"/>
        </w:rPr>
        <w:t>肆</w:t>
      </w:r>
      <w:r>
        <w:rPr>
          <w:rFonts w:hint="eastAsia" w:ascii="宋体" w:hAnsi="宋体"/>
          <w:sz w:val="28"/>
          <w:szCs w:val="28"/>
        </w:rPr>
        <w:t>万元整（￥</w:t>
      </w:r>
      <w:r>
        <w:rPr>
          <w:rFonts w:hint="eastAsia" w:ascii="宋体" w:hAnsi="宋体"/>
          <w:sz w:val="28"/>
          <w:szCs w:val="28"/>
          <w:lang w:val="en-US" w:eastAsia="zh-CN"/>
        </w:rPr>
        <w:t>40000</w:t>
      </w:r>
      <w:r>
        <w:rPr>
          <w:rFonts w:hint="eastAsia" w:ascii="宋体" w:hAnsi="宋体"/>
          <w:sz w:val="28"/>
          <w:szCs w:val="28"/>
        </w:rPr>
        <w:t>.00)。</w:t>
      </w:r>
    </w:p>
    <w:p w14:paraId="195F56C5">
      <w:pPr>
        <w:pStyle w:val="14"/>
        <w:ind w:left="390" w:firstLine="0" w:firstLineChars="0"/>
        <w:rPr>
          <w:rFonts w:ascii="宋体" w:hAnsi="宋体"/>
          <w:sz w:val="28"/>
          <w:szCs w:val="28"/>
        </w:rPr>
      </w:pPr>
    </w:p>
    <w:p w14:paraId="6903F9E7">
      <w:pPr>
        <w:snapToGrid w:val="0"/>
        <w:spacing w:beforeAutospacing="0" w:afterAutospacing="0" w:line="700" w:lineRule="exact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衡阳市达亿程辉工程项目管理有限公司</w:t>
      </w:r>
      <w:bookmarkStart w:id="0" w:name="_GoBack"/>
      <w:bookmarkEnd w:id="0"/>
    </w:p>
    <w:p w14:paraId="1D6BA53D">
      <w:pPr>
        <w:snapToGrid w:val="0"/>
        <w:spacing w:beforeAutospacing="0" w:afterAutospacing="0" w:line="700" w:lineRule="exact"/>
        <w:rPr>
          <w:rFonts w:hint="default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                           2025月6月24日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13CB"/>
    <w:rsid w:val="047C774D"/>
    <w:rsid w:val="054D10EA"/>
    <w:rsid w:val="06C824BB"/>
    <w:rsid w:val="09957E08"/>
    <w:rsid w:val="0E601E8E"/>
    <w:rsid w:val="0FC91CB4"/>
    <w:rsid w:val="154C7B79"/>
    <w:rsid w:val="1AD5775F"/>
    <w:rsid w:val="1B8F5B60"/>
    <w:rsid w:val="1C0635F5"/>
    <w:rsid w:val="20BB11A5"/>
    <w:rsid w:val="22F358B0"/>
    <w:rsid w:val="22F847AA"/>
    <w:rsid w:val="231D7EF5"/>
    <w:rsid w:val="248875F1"/>
    <w:rsid w:val="276460F3"/>
    <w:rsid w:val="279F537D"/>
    <w:rsid w:val="28C3509B"/>
    <w:rsid w:val="293935AF"/>
    <w:rsid w:val="2E310CF9"/>
    <w:rsid w:val="2EAF5827"/>
    <w:rsid w:val="328C29A2"/>
    <w:rsid w:val="34F54DF5"/>
    <w:rsid w:val="37182A56"/>
    <w:rsid w:val="3B765F9D"/>
    <w:rsid w:val="41766CF7"/>
    <w:rsid w:val="41770999"/>
    <w:rsid w:val="41D35EF7"/>
    <w:rsid w:val="43C77503"/>
    <w:rsid w:val="441D78FE"/>
    <w:rsid w:val="44760244"/>
    <w:rsid w:val="47777325"/>
    <w:rsid w:val="481D16D1"/>
    <w:rsid w:val="49CD02D3"/>
    <w:rsid w:val="4B8B1EFA"/>
    <w:rsid w:val="4BD905AE"/>
    <w:rsid w:val="50713765"/>
    <w:rsid w:val="54C073C2"/>
    <w:rsid w:val="55EC35D4"/>
    <w:rsid w:val="569C0B56"/>
    <w:rsid w:val="579655A5"/>
    <w:rsid w:val="58F76517"/>
    <w:rsid w:val="5A847B2F"/>
    <w:rsid w:val="60341DFF"/>
    <w:rsid w:val="60E03D35"/>
    <w:rsid w:val="615D0EE2"/>
    <w:rsid w:val="667F08AC"/>
    <w:rsid w:val="6C1256EA"/>
    <w:rsid w:val="6FB940CF"/>
    <w:rsid w:val="719646C8"/>
    <w:rsid w:val="725D51E5"/>
    <w:rsid w:val="73044A07"/>
    <w:rsid w:val="760D0CD1"/>
    <w:rsid w:val="76393874"/>
    <w:rsid w:val="76F679B7"/>
    <w:rsid w:val="77C02FC6"/>
    <w:rsid w:val="79A731EA"/>
    <w:rsid w:val="7ABC7E02"/>
    <w:rsid w:val="7B537186"/>
    <w:rsid w:val="7B716095"/>
    <w:rsid w:val="7E3314F0"/>
    <w:rsid w:val="7F215792"/>
    <w:rsid w:val="7FD665D7"/>
    <w:rsid w:val="7FD9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Calibri" w:hAnsi="Calibri" w:eastAsia="宋体"/>
    </w:rPr>
  </w:style>
  <w:style w:type="table" w:customStyle="1" w:styleId="5">
    <w:name w:val="普通表格1"/>
    <w:qFormat/>
    <w:uiPriority w:val="0"/>
    <w:rPr>
      <w:rFonts w:ascii="Calibri" w:hAnsi="Calibri" w:eastAsia="宋体"/>
    </w:rPr>
  </w:style>
  <w:style w:type="paragraph" w:customStyle="1" w:styleId="6">
    <w:name w:val="批注文字1"/>
    <w:basedOn w:val="1"/>
    <w:qFormat/>
    <w:uiPriority w:val="0"/>
    <w:pPr>
      <w:jc w:val="left"/>
    </w:pPr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link w:val="9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 w:eastAsia="宋体"/>
    </w:rPr>
  </w:style>
  <w:style w:type="paragraph" w:customStyle="1" w:styleId="14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670</Words>
  <Characters>696</Characters>
  <Lines>0</Lines>
  <Paragraphs>0</Paragraphs>
  <TotalTime>19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2024-11-24T15:41:00Z</dcterms:created>
  <dc:creator>柠檬</dc:creator>
  <cp:lastModifiedBy>胡清文</cp:lastModifiedBy>
  <cp:lastPrinted>2024-11-27T06:57:00Z</cp:lastPrinted>
  <dcterms:modified xsi:type="dcterms:W3CDTF">2025-07-04T07:26:28Z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0B671B29DAFE4DFE841AAD9EB27385EF_13</vt:lpwstr>
  </property>
  <property fmtid="{D5CDD505-2E9C-101B-9397-08002B2CF9AE}" pid="4" name="KSOTemplateDocerSaveRecord">
    <vt:lpwstr>eyJoZGlkIjoiNmE4NmY4MTk2NzVjZjc1YThhOGUxYWVhZGQzYTFhZTciLCJ1c2VySWQiOiIyNjcxNjgxNTAifQ==</vt:lpwstr>
  </property>
</Properties>
</file>