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93BCE">
      <w:pPr>
        <w:jc w:val="center"/>
        <w:rPr>
          <w:rFonts w:hint="eastAsia" w:ascii="宋体" w:hAnsi="宋体" w:eastAsia="宋体" w:cs="宋体"/>
          <w:b/>
          <w:bCs/>
          <w:sz w:val="36"/>
          <w:szCs w:val="36"/>
        </w:rPr>
      </w:pPr>
      <w:r>
        <w:rPr>
          <w:rFonts w:hint="eastAsia" w:ascii="宋体" w:hAnsi="宋体" w:eastAsia="宋体" w:cs="宋体"/>
          <w:b/>
          <w:bCs/>
          <w:sz w:val="36"/>
          <w:szCs w:val="36"/>
        </w:rPr>
        <w:t>湖南铁道职业技术学院</w:t>
      </w:r>
    </w:p>
    <w:p w14:paraId="4AF0C1EB">
      <w:pPr>
        <w:spacing w:after="312" w:afterLines="100"/>
        <w:jc w:val="center"/>
        <w:rPr>
          <w:rFonts w:hint="eastAsia" w:ascii="宋体" w:hAnsi="宋体" w:eastAsia="宋体" w:cs="宋体"/>
          <w:b/>
          <w:bCs/>
          <w:sz w:val="30"/>
          <w:szCs w:val="30"/>
        </w:rPr>
      </w:pPr>
      <w:r>
        <w:rPr>
          <w:rFonts w:hint="eastAsia" w:ascii="宋体" w:hAnsi="宋体" w:eastAsia="宋体" w:cs="宋体"/>
          <w:b/>
          <w:bCs/>
          <w:sz w:val="30"/>
          <w:szCs w:val="30"/>
        </w:rPr>
        <w:t>信息发</w:t>
      </w:r>
      <w:r>
        <w:rPr>
          <w:rFonts w:hint="eastAsia" w:ascii="宋体" w:hAnsi="宋体" w:eastAsia="宋体" w:cs="宋体"/>
          <w:b/>
          <w:bCs/>
          <w:sz w:val="30"/>
          <w:szCs w:val="30"/>
          <w:lang w:val="en-US" w:eastAsia="zh-CN"/>
        </w:rPr>
        <w:t>布</w:t>
      </w:r>
      <w:r>
        <w:rPr>
          <w:rFonts w:hint="eastAsia" w:ascii="宋体" w:hAnsi="宋体" w:eastAsia="宋体" w:cs="宋体"/>
          <w:b/>
          <w:bCs/>
          <w:sz w:val="30"/>
          <w:szCs w:val="30"/>
        </w:rPr>
        <w:t>大屏及管理系统—电子显示屏建设子项目政府采购需求（货物类）</w:t>
      </w:r>
    </w:p>
    <w:p w14:paraId="2ED2004F">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一、项目概况</w:t>
      </w:r>
    </w:p>
    <w:p w14:paraId="2A768A70">
      <w:pPr>
        <w:spacing w:line="450" w:lineRule="exact"/>
        <w:ind w:firstLine="480" w:firstLineChars="200"/>
        <w:rPr>
          <w:rFonts w:hint="eastAsia" w:ascii="宋体" w:hAnsi="宋体" w:eastAsia="宋体" w:cs="宋体"/>
          <w:sz w:val="24"/>
        </w:rPr>
      </w:pPr>
      <w:r>
        <w:rPr>
          <w:rFonts w:hint="eastAsia" w:ascii="宋体" w:hAnsi="宋体" w:eastAsia="宋体" w:cs="宋体"/>
          <w:sz w:val="24"/>
        </w:rPr>
        <w:t>项目名称：信息发布大屏及管理系统—电子显示屏建设子项目</w:t>
      </w:r>
    </w:p>
    <w:p w14:paraId="4CFD6E41">
      <w:pPr>
        <w:spacing w:line="450" w:lineRule="exact"/>
        <w:ind w:firstLine="480" w:firstLineChars="200"/>
        <w:rPr>
          <w:rFonts w:hint="eastAsia" w:ascii="宋体" w:hAnsi="宋体" w:eastAsia="宋体" w:cs="宋体"/>
          <w:sz w:val="24"/>
        </w:rPr>
      </w:pPr>
      <w:r>
        <w:rPr>
          <w:rFonts w:hint="eastAsia" w:ascii="宋体" w:hAnsi="宋体" w:eastAsia="宋体" w:cs="宋体"/>
          <w:sz w:val="24"/>
        </w:rPr>
        <w:t>项目建设内容：J2多媒体教室LED显示屏采用P2小间距产品，设计LED屏含边尺寸高2.82米，宽5.54米，面积15.62平方米，其中显示尺寸高5.44米，宽2.72米，面积14.80平方米。J1教学楼门头显示屏采用P10户外单红显示屏，总面积9.5平方米。学生心理咨询室LED屏，面积2.15平方米。</w:t>
      </w:r>
    </w:p>
    <w:p w14:paraId="13791BAF">
      <w:pPr>
        <w:spacing w:line="450" w:lineRule="exact"/>
        <w:ind w:firstLine="480" w:firstLineChars="200"/>
        <w:rPr>
          <w:rFonts w:hint="eastAsia" w:ascii="宋体" w:hAnsi="宋体" w:eastAsia="宋体" w:cs="宋体"/>
          <w:sz w:val="24"/>
        </w:rPr>
      </w:pPr>
      <w:r>
        <w:rPr>
          <w:rFonts w:hint="eastAsia" w:ascii="宋体" w:hAnsi="宋体" w:eastAsia="宋体" w:cs="宋体"/>
          <w:sz w:val="24"/>
        </w:rPr>
        <w:t>项目预算金额：</w:t>
      </w:r>
      <w:r>
        <w:rPr>
          <w:rFonts w:hint="eastAsia" w:ascii="宋体" w:hAnsi="宋体" w:eastAsia="宋体" w:cs="宋体"/>
          <w:color w:val="000000"/>
          <w:spacing w:val="6"/>
          <w:kern w:val="0"/>
          <w:szCs w:val="21"/>
        </w:rPr>
        <w:t>144870.48</w:t>
      </w:r>
      <w:r>
        <w:rPr>
          <w:rFonts w:hint="eastAsia" w:ascii="宋体" w:hAnsi="宋体" w:eastAsia="宋体" w:cs="宋体"/>
          <w:sz w:val="24"/>
        </w:rPr>
        <w:t>元</w:t>
      </w:r>
    </w:p>
    <w:p w14:paraId="52B54D39">
      <w:pPr>
        <w:spacing w:line="450" w:lineRule="exact"/>
        <w:ind w:firstLine="480" w:firstLineChars="200"/>
        <w:rPr>
          <w:rFonts w:hint="eastAsia" w:ascii="宋体" w:hAnsi="宋体" w:eastAsia="宋体" w:cs="宋体"/>
          <w:sz w:val="24"/>
        </w:rPr>
      </w:pPr>
      <w:r>
        <w:rPr>
          <w:rFonts w:hint="eastAsia" w:ascii="宋体" w:hAnsi="宋体" w:eastAsia="宋体" w:cs="宋体"/>
          <w:sz w:val="24"/>
        </w:rPr>
        <w:t>合同履行期限：建设周期为20天</w:t>
      </w:r>
    </w:p>
    <w:p w14:paraId="59C3EFD8">
      <w:pPr>
        <w:spacing w:line="450" w:lineRule="exact"/>
        <w:ind w:firstLine="482" w:firstLineChars="200"/>
        <w:rPr>
          <w:rFonts w:hint="eastAsia" w:ascii="宋体" w:hAnsi="宋体" w:eastAsia="宋体" w:cs="宋体"/>
          <w:b/>
          <w:bCs/>
          <w:sz w:val="24"/>
        </w:rPr>
      </w:pPr>
      <w:r>
        <w:rPr>
          <w:rFonts w:hint="eastAsia" w:ascii="宋体" w:hAnsi="宋体" w:eastAsia="宋体" w:cs="宋体"/>
          <w:b/>
          <w:bCs/>
          <w:sz w:val="24"/>
        </w:rPr>
        <w:t>二、对供应商的资质要求</w:t>
      </w:r>
    </w:p>
    <w:p w14:paraId="63F692D8">
      <w:pPr>
        <w:spacing w:line="360" w:lineRule="auto"/>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1.供应商的基本资格条件：</w:t>
      </w:r>
    </w:p>
    <w:p w14:paraId="77DD8EF6">
      <w:pPr>
        <w:spacing w:line="360" w:lineRule="auto"/>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（1）具有独立承担民事责任的能力；</w:t>
      </w:r>
    </w:p>
    <w:p w14:paraId="2419E28F">
      <w:pPr>
        <w:spacing w:line="360" w:lineRule="auto"/>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（2）具有良好的商业信誉和健全的财务会计制度；</w:t>
      </w:r>
    </w:p>
    <w:p w14:paraId="7319EE2B">
      <w:pPr>
        <w:spacing w:line="360" w:lineRule="auto"/>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（3）具有履行合同所必需的设备和专业技术能力；</w:t>
      </w:r>
    </w:p>
    <w:p w14:paraId="112BE46A">
      <w:pPr>
        <w:spacing w:line="360" w:lineRule="auto"/>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（4）有依法缴纳税收和社会保障资金的良好记录；</w:t>
      </w:r>
    </w:p>
    <w:p w14:paraId="6E13729D">
      <w:pPr>
        <w:spacing w:line="360" w:lineRule="auto"/>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（5）参加采购活动前三年内，在经营活动中没有重大违法记录；</w:t>
      </w:r>
    </w:p>
    <w:p w14:paraId="2BBEFA2E">
      <w:pPr>
        <w:ind w:firstLine="444" w:firstLineChars="200"/>
        <w:jc w:val="left"/>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（6）法律、行政法规规定的其他条件。</w:t>
      </w:r>
    </w:p>
    <w:p w14:paraId="76D2B2F6">
      <w:pPr>
        <w:spacing w:line="360" w:lineRule="auto"/>
        <w:ind w:firstLine="444" w:firstLineChars="200"/>
        <w:jc w:val="left"/>
        <w:rPr>
          <w:rFonts w:hint="eastAsia" w:ascii="宋体" w:hAnsi="宋体" w:eastAsia="宋体" w:cs="宋体"/>
          <w:color w:val="000000"/>
          <w:spacing w:val="6"/>
          <w:kern w:val="0"/>
          <w:szCs w:val="21"/>
          <w:lang w:val="en-US" w:eastAsia="zh-CN"/>
        </w:rPr>
      </w:pPr>
      <w:r>
        <w:rPr>
          <w:rFonts w:hint="eastAsia" w:ascii="宋体" w:hAnsi="宋体" w:eastAsia="宋体" w:cs="宋体"/>
          <w:color w:val="000000"/>
          <w:spacing w:val="6"/>
          <w:kern w:val="0"/>
          <w:szCs w:val="21"/>
          <w:lang w:val="en-US" w:eastAsia="zh-CN"/>
        </w:rPr>
        <w:t>2</w:t>
      </w:r>
      <w:r>
        <w:rPr>
          <w:rFonts w:hint="eastAsia" w:ascii="宋体" w:hAnsi="宋体" w:eastAsia="宋体" w:cs="宋体"/>
          <w:color w:val="000000"/>
          <w:spacing w:val="6"/>
          <w:kern w:val="0"/>
          <w:szCs w:val="21"/>
        </w:rPr>
        <w:t>.</w:t>
      </w:r>
      <w:r>
        <w:rPr>
          <w:rFonts w:hint="eastAsia" w:ascii="宋体" w:hAnsi="宋体" w:eastAsia="宋体" w:cs="宋体"/>
          <w:color w:val="000000"/>
          <w:spacing w:val="6"/>
          <w:kern w:val="0"/>
          <w:szCs w:val="21"/>
          <w:lang w:val="en-US" w:eastAsia="zh-CN"/>
        </w:rPr>
        <w:t>特定</w:t>
      </w:r>
      <w:r>
        <w:rPr>
          <w:rFonts w:hint="eastAsia" w:ascii="宋体" w:hAnsi="宋体" w:eastAsia="宋体" w:cs="宋体"/>
          <w:color w:val="000000"/>
          <w:spacing w:val="6"/>
          <w:kern w:val="0"/>
          <w:szCs w:val="21"/>
        </w:rPr>
        <w:t>资格条件：</w:t>
      </w:r>
      <w:r>
        <w:rPr>
          <w:rFonts w:hint="eastAsia" w:ascii="宋体" w:hAnsi="宋体" w:eastAsia="宋体" w:cs="宋体"/>
          <w:color w:val="000000"/>
          <w:spacing w:val="6"/>
          <w:kern w:val="0"/>
          <w:szCs w:val="21"/>
          <w:lang w:val="en-US" w:eastAsia="zh-CN"/>
        </w:rPr>
        <w:t>无</w:t>
      </w:r>
    </w:p>
    <w:p w14:paraId="36D7C122">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三、采购货物清单</w:t>
      </w:r>
    </w:p>
    <w:tbl>
      <w:tblPr>
        <w:tblStyle w:val="10"/>
        <w:tblW w:w="900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488"/>
        <w:gridCol w:w="885"/>
        <w:gridCol w:w="1470"/>
        <w:gridCol w:w="2415"/>
      </w:tblGrid>
      <w:tr w14:paraId="7577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47" w:type="dxa"/>
            <w:vAlign w:val="center"/>
          </w:tcPr>
          <w:p w14:paraId="449B1078">
            <w:r>
              <w:rPr>
                <w:rFonts w:hint="eastAsia"/>
              </w:rPr>
              <w:t>序号</w:t>
            </w:r>
          </w:p>
        </w:tc>
        <w:tc>
          <w:tcPr>
            <w:tcW w:w="3488" w:type="dxa"/>
            <w:vAlign w:val="center"/>
          </w:tcPr>
          <w:p w14:paraId="62C7FBF9">
            <w:r>
              <w:rPr>
                <w:rFonts w:hint="eastAsia"/>
              </w:rPr>
              <w:t>货物名称</w:t>
            </w:r>
          </w:p>
        </w:tc>
        <w:tc>
          <w:tcPr>
            <w:tcW w:w="885" w:type="dxa"/>
            <w:vAlign w:val="center"/>
          </w:tcPr>
          <w:p w14:paraId="28F23FA6">
            <w:r>
              <w:rPr>
                <w:rFonts w:hint="eastAsia"/>
              </w:rPr>
              <w:t>数量</w:t>
            </w:r>
          </w:p>
        </w:tc>
        <w:tc>
          <w:tcPr>
            <w:tcW w:w="1470" w:type="dxa"/>
            <w:vAlign w:val="center"/>
          </w:tcPr>
          <w:p w14:paraId="16F11C86">
            <w:r>
              <w:rPr>
                <w:rFonts w:hint="eastAsia"/>
              </w:rPr>
              <w:t>单位</w:t>
            </w:r>
          </w:p>
        </w:tc>
        <w:tc>
          <w:tcPr>
            <w:tcW w:w="2415" w:type="dxa"/>
            <w:vAlign w:val="center"/>
          </w:tcPr>
          <w:p w14:paraId="386F9432">
            <w:r>
              <w:rPr>
                <w:rFonts w:hint="eastAsia"/>
              </w:rPr>
              <w:t>备注</w:t>
            </w:r>
          </w:p>
        </w:tc>
      </w:tr>
      <w:tr w14:paraId="1F02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0752D42F">
            <w:r>
              <w:rPr>
                <w:rFonts w:hint="eastAsia"/>
              </w:rPr>
              <w:t>1</w:t>
            </w:r>
          </w:p>
        </w:tc>
        <w:tc>
          <w:tcPr>
            <w:tcW w:w="3488" w:type="dxa"/>
            <w:vAlign w:val="center"/>
          </w:tcPr>
          <w:p w14:paraId="5C6F5312">
            <w:r>
              <w:rPr>
                <w:rFonts w:hint="eastAsia"/>
              </w:rPr>
              <w:t>P2 LED全彩显示屏</w:t>
            </w:r>
          </w:p>
        </w:tc>
        <w:tc>
          <w:tcPr>
            <w:tcW w:w="885" w:type="dxa"/>
            <w:vAlign w:val="center"/>
          </w:tcPr>
          <w:p w14:paraId="3200BB4C">
            <w:r>
              <w:rPr>
                <w:rFonts w:hint="eastAsia"/>
              </w:rPr>
              <w:t>14.80</w:t>
            </w:r>
          </w:p>
        </w:tc>
        <w:tc>
          <w:tcPr>
            <w:tcW w:w="1470" w:type="dxa"/>
            <w:vAlign w:val="center"/>
          </w:tcPr>
          <w:p w14:paraId="719DD1F7">
            <w:r>
              <w:rPr>
                <w:rFonts w:hint="eastAsia"/>
              </w:rPr>
              <w:t>㎡</w:t>
            </w:r>
          </w:p>
        </w:tc>
        <w:tc>
          <w:tcPr>
            <w:tcW w:w="2415" w:type="dxa"/>
            <w:vMerge w:val="restart"/>
            <w:vAlign w:val="center"/>
          </w:tcPr>
          <w:p w14:paraId="1B15512E">
            <w:pPr>
              <w:jc w:val="center"/>
              <w:rPr>
                <w:rFonts w:hint="eastAsia" w:eastAsia="宋体"/>
                <w:b/>
                <w:bCs/>
                <w:sz w:val="24"/>
                <w:szCs w:val="24"/>
                <w:lang w:val="en-US" w:eastAsia="zh-CN"/>
              </w:rPr>
            </w:pPr>
            <w:r>
              <w:rPr>
                <w:rFonts w:hint="eastAsia" w:eastAsia="宋体"/>
                <w:b/>
                <w:bCs/>
                <w:sz w:val="24"/>
                <w:szCs w:val="24"/>
              </w:rPr>
              <w:t>J2多媒体</w:t>
            </w:r>
            <w:r>
              <w:rPr>
                <w:rFonts w:hint="eastAsia" w:eastAsia="宋体"/>
                <w:b/>
                <w:bCs/>
                <w:sz w:val="24"/>
                <w:szCs w:val="24"/>
                <w:lang w:val="en-US" w:eastAsia="zh-CN"/>
              </w:rPr>
              <w:t>LED屏</w:t>
            </w:r>
          </w:p>
          <w:p w14:paraId="2CFD7FB1">
            <w:pPr>
              <w:jc w:val="center"/>
              <w:rPr>
                <w:rFonts w:hint="default" w:eastAsia="宋体"/>
                <w:b/>
                <w:bCs/>
                <w:sz w:val="24"/>
                <w:szCs w:val="24"/>
                <w:lang w:val="en-US" w:eastAsia="zh-CN"/>
              </w:rPr>
            </w:pPr>
            <w:r>
              <w:rPr>
                <w:rFonts w:hint="eastAsia" w:eastAsia="宋体"/>
                <w:b/>
                <w:bCs/>
                <w:sz w:val="24"/>
                <w:szCs w:val="24"/>
                <w:lang w:val="en-US" w:eastAsia="zh-CN"/>
              </w:rPr>
              <w:t>（海康威视、利亚德、洲明）</w:t>
            </w:r>
          </w:p>
        </w:tc>
      </w:tr>
      <w:tr w14:paraId="3A5B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19AD0233">
            <w:pPr>
              <w:rPr>
                <w:rFonts w:hint="eastAsia" w:eastAsia="宋体"/>
                <w:lang w:val="en-US" w:eastAsia="zh-CN"/>
              </w:rPr>
            </w:pPr>
            <w:r>
              <w:rPr>
                <w:rFonts w:hint="eastAsia" w:eastAsia="宋体"/>
                <w:lang w:val="en-US" w:eastAsia="zh-CN"/>
              </w:rPr>
              <w:t>2</w:t>
            </w:r>
          </w:p>
        </w:tc>
        <w:tc>
          <w:tcPr>
            <w:tcW w:w="3488" w:type="dxa"/>
            <w:shd w:val="clear" w:color="auto" w:fill="auto"/>
            <w:vAlign w:val="center"/>
          </w:tcPr>
          <w:p w14:paraId="7F6EC637">
            <w:pPr>
              <w:rPr>
                <w:rFonts w:hint="eastAsia" w:ascii="Times New Roman" w:hAnsi="Times New Roman" w:eastAsia="宋?" w:cs="Times New Roman"/>
                <w:kern w:val="2"/>
                <w:sz w:val="21"/>
                <w:szCs w:val="24"/>
                <w:lang w:val="en-US" w:eastAsia="zh-CN" w:bidi="ar-SA"/>
              </w:rPr>
            </w:pPr>
            <w:r>
              <w:rPr>
                <w:rFonts w:hint="eastAsia"/>
              </w:rPr>
              <w:t>二合一拼控器</w:t>
            </w:r>
          </w:p>
        </w:tc>
        <w:tc>
          <w:tcPr>
            <w:tcW w:w="885" w:type="dxa"/>
            <w:shd w:val="clear" w:color="auto" w:fill="auto"/>
            <w:vAlign w:val="center"/>
          </w:tcPr>
          <w:p w14:paraId="12168696">
            <w:pPr>
              <w:rPr>
                <w:rFonts w:hint="eastAsia" w:ascii="Times New Roman" w:hAnsi="Times New Roman" w:eastAsia="宋?" w:cs="Times New Roman"/>
                <w:kern w:val="2"/>
                <w:sz w:val="21"/>
                <w:szCs w:val="24"/>
                <w:lang w:val="en-US" w:eastAsia="zh-CN" w:bidi="ar-SA"/>
              </w:rPr>
            </w:pPr>
            <w:r>
              <w:t>1</w:t>
            </w:r>
          </w:p>
        </w:tc>
        <w:tc>
          <w:tcPr>
            <w:tcW w:w="1470" w:type="dxa"/>
            <w:shd w:val="clear" w:color="auto" w:fill="auto"/>
            <w:vAlign w:val="center"/>
          </w:tcPr>
          <w:p w14:paraId="2F7EF04D">
            <w:pPr>
              <w:rPr>
                <w:rFonts w:hint="eastAsia" w:ascii="Times New Roman" w:hAnsi="Times New Roman" w:eastAsia="宋?" w:cs="Times New Roman"/>
                <w:kern w:val="2"/>
                <w:sz w:val="21"/>
                <w:szCs w:val="24"/>
                <w:lang w:val="en-US" w:eastAsia="zh-CN" w:bidi="ar-SA"/>
              </w:rPr>
            </w:pPr>
            <w:r>
              <w:rPr>
                <w:rFonts w:hint="eastAsia"/>
              </w:rPr>
              <w:t>台</w:t>
            </w:r>
          </w:p>
        </w:tc>
        <w:tc>
          <w:tcPr>
            <w:tcW w:w="2415" w:type="dxa"/>
            <w:vMerge w:val="continue"/>
            <w:vAlign w:val="center"/>
          </w:tcPr>
          <w:p w14:paraId="753A1E34">
            <w:pPr>
              <w:rPr>
                <w:rFonts w:hint="eastAsia" w:eastAsia="宋体"/>
              </w:rPr>
            </w:pPr>
          </w:p>
        </w:tc>
      </w:tr>
      <w:tr w14:paraId="6404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461E73A9">
            <w:pPr>
              <w:rPr>
                <w:rFonts w:hint="eastAsia" w:eastAsia="宋体"/>
                <w:lang w:val="en-US" w:eastAsia="zh-CN"/>
              </w:rPr>
            </w:pPr>
            <w:r>
              <w:rPr>
                <w:rFonts w:hint="eastAsia" w:eastAsia="宋体"/>
                <w:lang w:val="en-US" w:eastAsia="zh-CN"/>
              </w:rPr>
              <w:t>3</w:t>
            </w:r>
          </w:p>
        </w:tc>
        <w:tc>
          <w:tcPr>
            <w:tcW w:w="3488" w:type="dxa"/>
            <w:shd w:val="clear" w:color="auto" w:fill="auto"/>
            <w:vAlign w:val="center"/>
          </w:tcPr>
          <w:p w14:paraId="0D1B9733">
            <w:pPr>
              <w:rPr>
                <w:rFonts w:hint="eastAsia" w:ascii="Times New Roman" w:hAnsi="Times New Roman" w:eastAsia="宋?" w:cs="Times New Roman"/>
                <w:kern w:val="2"/>
                <w:sz w:val="21"/>
                <w:szCs w:val="24"/>
                <w:lang w:val="en-US" w:eastAsia="zh-CN" w:bidi="ar-SA"/>
              </w:rPr>
            </w:pPr>
            <w:r>
              <w:rPr>
                <w:rFonts w:hint="eastAsia"/>
              </w:rPr>
              <w:t>信息发布盒</w:t>
            </w:r>
          </w:p>
        </w:tc>
        <w:tc>
          <w:tcPr>
            <w:tcW w:w="885" w:type="dxa"/>
            <w:shd w:val="clear" w:color="auto" w:fill="auto"/>
            <w:vAlign w:val="center"/>
          </w:tcPr>
          <w:p w14:paraId="4B9FFE01">
            <w:pPr>
              <w:rPr>
                <w:rFonts w:ascii="Times New Roman" w:hAnsi="Times New Roman" w:eastAsia="宋?" w:cs="Times New Roman"/>
                <w:kern w:val="2"/>
                <w:sz w:val="21"/>
                <w:szCs w:val="24"/>
                <w:lang w:val="en-US" w:eastAsia="zh-CN" w:bidi="ar-SA"/>
              </w:rPr>
            </w:pPr>
            <w:r>
              <w:rPr>
                <w:rFonts w:hint="eastAsia"/>
              </w:rPr>
              <w:t>1</w:t>
            </w:r>
          </w:p>
        </w:tc>
        <w:tc>
          <w:tcPr>
            <w:tcW w:w="1470" w:type="dxa"/>
            <w:shd w:val="clear" w:color="auto" w:fill="auto"/>
            <w:vAlign w:val="center"/>
          </w:tcPr>
          <w:p w14:paraId="555B1C70">
            <w:pPr>
              <w:rPr>
                <w:rFonts w:hint="eastAsia" w:ascii="Times New Roman" w:hAnsi="Times New Roman" w:eastAsia="宋?" w:cs="Times New Roman"/>
                <w:kern w:val="2"/>
                <w:sz w:val="21"/>
                <w:szCs w:val="24"/>
                <w:lang w:val="en-US" w:eastAsia="zh-CN" w:bidi="ar-SA"/>
              </w:rPr>
            </w:pPr>
            <w:r>
              <w:rPr>
                <w:rFonts w:hint="eastAsia"/>
              </w:rPr>
              <w:t>套</w:t>
            </w:r>
          </w:p>
        </w:tc>
        <w:tc>
          <w:tcPr>
            <w:tcW w:w="2415" w:type="dxa"/>
            <w:vMerge w:val="continue"/>
            <w:vAlign w:val="center"/>
          </w:tcPr>
          <w:p w14:paraId="05957AA6">
            <w:pPr>
              <w:rPr>
                <w:rFonts w:hint="eastAsia" w:eastAsia="宋体"/>
              </w:rPr>
            </w:pPr>
          </w:p>
        </w:tc>
      </w:tr>
      <w:tr w14:paraId="2A4F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511ECE48">
            <w:pPr>
              <w:rPr>
                <w:rFonts w:hint="eastAsia" w:eastAsia="宋体"/>
                <w:lang w:val="en-US" w:eastAsia="zh-CN"/>
              </w:rPr>
            </w:pPr>
            <w:r>
              <w:rPr>
                <w:rFonts w:hint="eastAsia" w:eastAsia="宋体"/>
                <w:lang w:val="en-US" w:eastAsia="zh-CN"/>
              </w:rPr>
              <w:t>4</w:t>
            </w:r>
          </w:p>
        </w:tc>
        <w:tc>
          <w:tcPr>
            <w:tcW w:w="3488" w:type="dxa"/>
            <w:shd w:val="clear" w:color="auto" w:fill="auto"/>
            <w:vAlign w:val="center"/>
          </w:tcPr>
          <w:p w14:paraId="64D04E6A">
            <w:pPr>
              <w:rPr>
                <w:rFonts w:hint="eastAsia" w:ascii="Times New Roman" w:hAnsi="Times New Roman" w:eastAsia="宋?" w:cs="Times New Roman"/>
                <w:kern w:val="2"/>
                <w:sz w:val="21"/>
                <w:szCs w:val="24"/>
                <w:lang w:val="en-US" w:eastAsia="zh-CN" w:bidi="ar-SA"/>
              </w:rPr>
            </w:pPr>
            <w:r>
              <w:rPr>
                <w:rFonts w:hint="eastAsia"/>
              </w:rPr>
              <w:t>配电柜</w:t>
            </w:r>
          </w:p>
        </w:tc>
        <w:tc>
          <w:tcPr>
            <w:tcW w:w="885" w:type="dxa"/>
            <w:shd w:val="clear" w:color="auto" w:fill="auto"/>
            <w:vAlign w:val="center"/>
          </w:tcPr>
          <w:p w14:paraId="4498A51C">
            <w:pPr>
              <w:rPr>
                <w:rFonts w:hint="eastAsia" w:ascii="Times New Roman" w:hAnsi="Times New Roman" w:eastAsia="宋?" w:cs="Times New Roman"/>
                <w:kern w:val="2"/>
                <w:sz w:val="21"/>
                <w:szCs w:val="24"/>
                <w:lang w:val="en-US" w:eastAsia="zh-CN" w:bidi="ar-SA"/>
              </w:rPr>
            </w:pPr>
            <w:r>
              <w:t>1</w:t>
            </w:r>
          </w:p>
        </w:tc>
        <w:tc>
          <w:tcPr>
            <w:tcW w:w="1470" w:type="dxa"/>
            <w:shd w:val="clear" w:color="auto" w:fill="auto"/>
            <w:vAlign w:val="center"/>
          </w:tcPr>
          <w:p w14:paraId="20FBE165">
            <w:pPr>
              <w:rPr>
                <w:rFonts w:hint="eastAsia" w:ascii="Times New Roman" w:hAnsi="Times New Roman" w:eastAsia="宋?" w:cs="Times New Roman"/>
                <w:kern w:val="2"/>
                <w:sz w:val="21"/>
                <w:szCs w:val="24"/>
                <w:lang w:val="en-US" w:eastAsia="zh-CN" w:bidi="ar-SA"/>
              </w:rPr>
            </w:pPr>
            <w:r>
              <w:rPr>
                <w:rFonts w:hint="eastAsia"/>
              </w:rPr>
              <w:t>个</w:t>
            </w:r>
          </w:p>
        </w:tc>
        <w:tc>
          <w:tcPr>
            <w:tcW w:w="2415" w:type="dxa"/>
            <w:vMerge w:val="continue"/>
            <w:vAlign w:val="center"/>
          </w:tcPr>
          <w:p w14:paraId="590096E3">
            <w:pPr>
              <w:rPr>
                <w:rFonts w:hint="eastAsia" w:eastAsia="宋体"/>
              </w:rPr>
            </w:pPr>
          </w:p>
        </w:tc>
      </w:tr>
      <w:tr w14:paraId="3A08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15CE76E9">
            <w:pPr>
              <w:rPr>
                <w:rFonts w:hint="eastAsia" w:eastAsia="宋体"/>
                <w:lang w:val="en-US" w:eastAsia="zh-CN"/>
              </w:rPr>
            </w:pPr>
            <w:r>
              <w:rPr>
                <w:rFonts w:hint="eastAsia" w:eastAsia="宋体"/>
                <w:lang w:val="en-US" w:eastAsia="zh-CN"/>
              </w:rPr>
              <w:t>5</w:t>
            </w:r>
          </w:p>
        </w:tc>
        <w:tc>
          <w:tcPr>
            <w:tcW w:w="3488" w:type="dxa"/>
            <w:shd w:val="clear" w:color="auto" w:fill="auto"/>
            <w:vAlign w:val="center"/>
          </w:tcPr>
          <w:p w14:paraId="267FB3C6">
            <w:pPr>
              <w:rPr>
                <w:rFonts w:hint="eastAsia" w:ascii="Times New Roman" w:hAnsi="Times New Roman" w:eastAsia="宋?" w:cs="Times New Roman"/>
                <w:kern w:val="2"/>
                <w:sz w:val="21"/>
                <w:szCs w:val="24"/>
                <w:lang w:val="en-US" w:eastAsia="zh-CN" w:bidi="ar-SA"/>
              </w:rPr>
            </w:pPr>
            <w:r>
              <w:rPr>
                <w:rFonts w:hint="eastAsia" w:eastAsia="宋体"/>
              </w:rPr>
              <w:t>不锈钢</w:t>
            </w:r>
            <w:r>
              <w:rPr>
                <w:rFonts w:hint="eastAsia"/>
              </w:rPr>
              <w:t>包边饰面</w:t>
            </w:r>
          </w:p>
        </w:tc>
        <w:tc>
          <w:tcPr>
            <w:tcW w:w="885" w:type="dxa"/>
            <w:shd w:val="clear" w:color="auto" w:fill="auto"/>
            <w:vAlign w:val="center"/>
          </w:tcPr>
          <w:p w14:paraId="13A7C6CB">
            <w:pPr>
              <w:rPr>
                <w:rFonts w:ascii="Times New Roman" w:hAnsi="Times New Roman" w:eastAsia="宋?" w:cs="Times New Roman"/>
                <w:kern w:val="2"/>
                <w:sz w:val="21"/>
                <w:szCs w:val="24"/>
                <w:lang w:val="en-US" w:eastAsia="zh-CN" w:bidi="ar-SA"/>
              </w:rPr>
            </w:pPr>
            <w:r>
              <w:rPr>
                <w:rFonts w:hint="eastAsia"/>
              </w:rPr>
              <w:t>15.62</w:t>
            </w:r>
          </w:p>
        </w:tc>
        <w:tc>
          <w:tcPr>
            <w:tcW w:w="1470" w:type="dxa"/>
            <w:shd w:val="clear" w:color="auto" w:fill="auto"/>
            <w:vAlign w:val="center"/>
          </w:tcPr>
          <w:p w14:paraId="2747E831">
            <w:pPr>
              <w:rPr>
                <w:rFonts w:hint="eastAsia" w:ascii="Times New Roman" w:hAnsi="Times New Roman" w:eastAsia="宋?" w:cs="Times New Roman"/>
                <w:kern w:val="2"/>
                <w:sz w:val="21"/>
                <w:szCs w:val="24"/>
                <w:lang w:val="en-US" w:eastAsia="zh-CN" w:bidi="ar-SA"/>
              </w:rPr>
            </w:pPr>
            <w:r>
              <w:rPr>
                <w:rFonts w:hint="eastAsia"/>
              </w:rPr>
              <w:t>㎡</w:t>
            </w:r>
          </w:p>
        </w:tc>
        <w:tc>
          <w:tcPr>
            <w:tcW w:w="2415" w:type="dxa"/>
            <w:vMerge w:val="continue"/>
            <w:vAlign w:val="center"/>
          </w:tcPr>
          <w:p w14:paraId="36C7B46C">
            <w:pPr>
              <w:rPr>
                <w:rFonts w:hint="eastAsia" w:eastAsia="宋体"/>
              </w:rPr>
            </w:pPr>
          </w:p>
        </w:tc>
      </w:tr>
      <w:tr w14:paraId="6E72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6A306225">
            <w:pPr>
              <w:rPr>
                <w:rFonts w:hint="eastAsia" w:eastAsia="宋体"/>
                <w:lang w:val="en-US" w:eastAsia="zh-CN"/>
              </w:rPr>
            </w:pPr>
            <w:r>
              <w:rPr>
                <w:rFonts w:hint="eastAsia" w:eastAsia="宋体"/>
                <w:lang w:val="en-US" w:eastAsia="zh-CN"/>
              </w:rPr>
              <w:t>6</w:t>
            </w:r>
          </w:p>
        </w:tc>
        <w:tc>
          <w:tcPr>
            <w:tcW w:w="3488" w:type="dxa"/>
            <w:shd w:val="clear" w:color="auto" w:fill="auto"/>
            <w:vAlign w:val="center"/>
          </w:tcPr>
          <w:p w14:paraId="0382832C">
            <w:pPr>
              <w:rPr>
                <w:rFonts w:hint="eastAsia" w:ascii="Times New Roman" w:hAnsi="Times New Roman" w:eastAsia="宋?" w:cs="Times New Roman"/>
                <w:kern w:val="2"/>
                <w:sz w:val="21"/>
                <w:szCs w:val="24"/>
                <w:lang w:val="en-US" w:eastAsia="zh-CN" w:bidi="ar-SA"/>
              </w:rPr>
            </w:pPr>
            <w:r>
              <w:rPr>
                <w:rFonts w:hint="eastAsia"/>
              </w:rPr>
              <w:t>显示屏钢结构</w:t>
            </w:r>
          </w:p>
        </w:tc>
        <w:tc>
          <w:tcPr>
            <w:tcW w:w="885" w:type="dxa"/>
            <w:shd w:val="clear" w:color="auto" w:fill="auto"/>
            <w:vAlign w:val="center"/>
          </w:tcPr>
          <w:p w14:paraId="4D171B37">
            <w:pPr>
              <w:rPr>
                <w:rFonts w:hint="eastAsia" w:ascii="Times New Roman" w:hAnsi="Times New Roman" w:eastAsia="宋?" w:cs="Times New Roman"/>
                <w:kern w:val="2"/>
                <w:sz w:val="21"/>
                <w:szCs w:val="24"/>
                <w:lang w:val="en-US" w:eastAsia="zh-CN" w:bidi="ar-SA"/>
              </w:rPr>
            </w:pPr>
            <w:r>
              <w:rPr>
                <w:rFonts w:hint="eastAsia"/>
              </w:rPr>
              <w:t>15.62</w:t>
            </w:r>
          </w:p>
        </w:tc>
        <w:tc>
          <w:tcPr>
            <w:tcW w:w="1470" w:type="dxa"/>
            <w:shd w:val="clear" w:color="auto" w:fill="auto"/>
            <w:vAlign w:val="center"/>
          </w:tcPr>
          <w:p w14:paraId="4A2E9534">
            <w:pPr>
              <w:rPr>
                <w:rFonts w:hint="eastAsia" w:ascii="Times New Roman" w:hAnsi="Times New Roman" w:eastAsia="宋?" w:cs="Times New Roman"/>
                <w:kern w:val="2"/>
                <w:sz w:val="21"/>
                <w:szCs w:val="24"/>
                <w:lang w:val="en-US" w:eastAsia="zh-CN" w:bidi="ar-SA"/>
              </w:rPr>
            </w:pPr>
            <w:r>
              <w:rPr>
                <w:rFonts w:hint="eastAsia"/>
              </w:rPr>
              <w:t>㎡</w:t>
            </w:r>
          </w:p>
        </w:tc>
        <w:tc>
          <w:tcPr>
            <w:tcW w:w="2415" w:type="dxa"/>
            <w:vMerge w:val="continue"/>
            <w:vAlign w:val="center"/>
          </w:tcPr>
          <w:p w14:paraId="6F7BD958">
            <w:pPr>
              <w:rPr>
                <w:rFonts w:hint="eastAsia" w:eastAsia="宋体"/>
              </w:rPr>
            </w:pPr>
          </w:p>
        </w:tc>
      </w:tr>
      <w:tr w14:paraId="0D11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206C95AE">
            <w:pPr>
              <w:rPr>
                <w:rFonts w:hint="eastAsia" w:eastAsia="宋体"/>
                <w:lang w:val="en-US" w:eastAsia="zh-CN"/>
              </w:rPr>
            </w:pPr>
            <w:r>
              <w:rPr>
                <w:rFonts w:hint="eastAsia" w:eastAsia="宋体"/>
                <w:lang w:val="en-US" w:eastAsia="zh-CN"/>
              </w:rPr>
              <w:t>7</w:t>
            </w:r>
          </w:p>
        </w:tc>
        <w:tc>
          <w:tcPr>
            <w:tcW w:w="3488" w:type="dxa"/>
            <w:shd w:val="clear" w:color="auto" w:fill="auto"/>
            <w:vAlign w:val="center"/>
          </w:tcPr>
          <w:p w14:paraId="0782CC29">
            <w:pPr>
              <w:rPr>
                <w:rFonts w:hint="eastAsia" w:ascii="Times New Roman" w:hAnsi="Times New Roman" w:eastAsia="宋?" w:cs="Times New Roman"/>
                <w:kern w:val="2"/>
                <w:sz w:val="21"/>
                <w:szCs w:val="24"/>
                <w:lang w:val="en-US" w:eastAsia="zh-CN" w:bidi="ar-SA"/>
              </w:rPr>
            </w:pPr>
            <w:r>
              <w:rPr>
                <w:rFonts w:hint="eastAsia"/>
              </w:rPr>
              <w:t>辅材</w:t>
            </w:r>
          </w:p>
        </w:tc>
        <w:tc>
          <w:tcPr>
            <w:tcW w:w="885" w:type="dxa"/>
            <w:shd w:val="clear" w:color="auto" w:fill="auto"/>
            <w:vAlign w:val="center"/>
          </w:tcPr>
          <w:p w14:paraId="7125DA60">
            <w:pPr>
              <w:rPr>
                <w:rFonts w:hint="eastAsia" w:ascii="Times New Roman" w:hAnsi="Times New Roman" w:eastAsia="宋?" w:cs="Times New Roman"/>
                <w:kern w:val="2"/>
                <w:sz w:val="21"/>
                <w:szCs w:val="24"/>
                <w:lang w:val="en-US" w:eastAsia="zh-CN" w:bidi="ar-SA"/>
              </w:rPr>
            </w:pPr>
            <w:r>
              <w:rPr>
                <w:rFonts w:hint="eastAsia"/>
              </w:rPr>
              <w:t>14.8</w:t>
            </w:r>
          </w:p>
        </w:tc>
        <w:tc>
          <w:tcPr>
            <w:tcW w:w="1470" w:type="dxa"/>
            <w:shd w:val="clear" w:color="auto" w:fill="auto"/>
            <w:vAlign w:val="center"/>
          </w:tcPr>
          <w:p w14:paraId="22B33203">
            <w:pPr>
              <w:rPr>
                <w:rFonts w:hint="eastAsia" w:ascii="Times New Roman" w:hAnsi="Times New Roman" w:eastAsia="宋?" w:cs="Times New Roman"/>
                <w:kern w:val="2"/>
                <w:sz w:val="21"/>
                <w:szCs w:val="24"/>
                <w:lang w:val="en-US" w:eastAsia="zh-CN" w:bidi="ar-SA"/>
              </w:rPr>
            </w:pPr>
            <w:r>
              <w:rPr>
                <w:rFonts w:hint="eastAsia"/>
              </w:rPr>
              <w:t>㎡</w:t>
            </w:r>
          </w:p>
        </w:tc>
        <w:tc>
          <w:tcPr>
            <w:tcW w:w="2415" w:type="dxa"/>
            <w:vMerge w:val="continue"/>
            <w:vAlign w:val="center"/>
          </w:tcPr>
          <w:p w14:paraId="1618ED2F">
            <w:pPr>
              <w:rPr>
                <w:rFonts w:hint="eastAsia" w:eastAsia="宋体"/>
              </w:rPr>
            </w:pPr>
          </w:p>
        </w:tc>
      </w:tr>
      <w:tr w14:paraId="5A52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47" w:type="dxa"/>
            <w:vAlign w:val="center"/>
          </w:tcPr>
          <w:p w14:paraId="512C1D32">
            <w:pPr>
              <w:rPr>
                <w:rFonts w:hint="eastAsia" w:eastAsia="宋体"/>
                <w:lang w:val="en-US" w:eastAsia="zh-CN"/>
              </w:rPr>
            </w:pPr>
            <w:r>
              <w:rPr>
                <w:rFonts w:hint="eastAsia" w:eastAsia="宋体"/>
                <w:lang w:val="en-US" w:eastAsia="zh-CN"/>
              </w:rPr>
              <w:t>8</w:t>
            </w:r>
          </w:p>
        </w:tc>
        <w:tc>
          <w:tcPr>
            <w:tcW w:w="3488" w:type="dxa"/>
            <w:shd w:val="clear" w:color="auto" w:fill="auto"/>
            <w:vAlign w:val="center"/>
          </w:tcPr>
          <w:p w14:paraId="6EEF643A">
            <w:pPr>
              <w:rPr>
                <w:rFonts w:hint="eastAsia" w:ascii="Times New Roman" w:hAnsi="Times New Roman" w:eastAsia="宋?" w:cs="Times New Roman"/>
                <w:kern w:val="2"/>
                <w:sz w:val="21"/>
                <w:szCs w:val="24"/>
                <w:lang w:val="en-US" w:eastAsia="zh-CN" w:bidi="ar-SA"/>
              </w:rPr>
            </w:pPr>
            <w:r>
              <w:rPr>
                <w:rFonts w:hint="eastAsia"/>
              </w:rPr>
              <w:t>设备安装</w:t>
            </w:r>
          </w:p>
        </w:tc>
        <w:tc>
          <w:tcPr>
            <w:tcW w:w="885" w:type="dxa"/>
            <w:shd w:val="clear" w:color="auto" w:fill="auto"/>
            <w:vAlign w:val="center"/>
          </w:tcPr>
          <w:p w14:paraId="51FFDF31">
            <w:pPr>
              <w:rPr>
                <w:rFonts w:hint="eastAsia" w:ascii="Times New Roman" w:hAnsi="Times New Roman" w:eastAsia="宋?" w:cs="Times New Roman"/>
                <w:kern w:val="2"/>
                <w:sz w:val="21"/>
                <w:szCs w:val="24"/>
                <w:lang w:val="en-US" w:eastAsia="zh-CN" w:bidi="ar-SA"/>
              </w:rPr>
            </w:pPr>
            <w:r>
              <w:rPr>
                <w:rFonts w:hint="eastAsia"/>
              </w:rPr>
              <w:t>15.62</w:t>
            </w:r>
          </w:p>
        </w:tc>
        <w:tc>
          <w:tcPr>
            <w:tcW w:w="1470" w:type="dxa"/>
            <w:shd w:val="clear" w:color="auto" w:fill="auto"/>
            <w:vAlign w:val="center"/>
          </w:tcPr>
          <w:p w14:paraId="172E29CF">
            <w:pPr>
              <w:rPr>
                <w:rFonts w:hint="eastAsia" w:ascii="Times New Roman" w:hAnsi="Times New Roman" w:eastAsia="宋?" w:cs="Times New Roman"/>
                <w:kern w:val="2"/>
                <w:sz w:val="21"/>
                <w:szCs w:val="24"/>
                <w:lang w:val="en-US" w:eastAsia="zh-CN" w:bidi="ar-SA"/>
              </w:rPr>
            </w:pPr>
            <w:r>
              <w:rPr>
                <w:rFonts w:hint="eastAsia"/>
              </w:rPr>
              <w:t>㎡</w:t>
            </w:r>
          </w:p>
        </w:tc>
        <w:tc>
          <w:tcPr>
            <w:tcW w:w="2415" w:type="dxa"/>
            <w:vMerge w:val="continue"/>
            <w:vAlign w:val="center"/>
          </w:tcPr>
          <w:p w14:paraId="280325E2">
            <w:pPr>
              <w:rPr>
                <w:rFonts w:hint="eastAsia" w:eastAsia="宋体"/>
              </w:rPr>
            </w:pPr>
          </w:p>
        </w:tc>
      </w:tr>
      <w:tr w14:paraId="121A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4DAB0FBE">
            <w:pPr>
              <w:rPr>
                <w:rFonts w:hint="eastAsia" w:eastAsia="宋体"/>
                <w:lang w:val="en-US" w:eastAsia="zh-CN"/>
              </w:rPr>
            </w:pPr>
            <w:r>
              <w:rPr>
                <w:rFonts w:hint="eastAsia" w:eastAsia="宋体"/>
                <w:lang w:val="en-US" w:eastAsia="zh-CN"/>
              </w:rPr>
              <w:t>9</w:t>
            </w:r>
          </w:p>
        </w:tc>
        <w:tc>
          <w:tcPr>
            <w:tcW w:w="3488" w:type="dxa"/>
            <w:shd w:val="clear" w:color="auto" w:fill="auto"/>
            <w:vAlign w:val="center"/>
          </w:tcPr>
          <w:p w14:paraId="33765520">
            <w:pPr>
              <w:rPr>
                <w:rFonts w:hint="eastAsia" w:ascii="Times New Roman" w:hAnsi="Times New Roman" w:eastAsia="宋?" w:cs="Times New Roman"/>
                <w:kern w:val="2"/>
                <w:sz w:val="21"/>
                <w:szCs w:val="24"/>
                <w:lang w:val="en-US" w:eastAsia="zh-CN" w:bidi="ar-SA"/>
              </w:rPr>
            </w:pPr>
            <w:r>
              <w:rPr>
                <w:rFonts w:hint="eastAsia"/>
              </w:rPr>
              <w:t xml:space="preserve">信号线及工程布线 </w:t>
            </w:r>
          </w:p>
        </w:tc>
        <w:tc>
          <w:tcPr>
            <w:tcW w:w="885" w:type="dxa"/>
            <w:shd w:val="clear" w:color="auto" w:fill="auto"/>
            <w:vAlign w:val="center"/>
          </w:tcPr>
          <w:p w14:paraId="376A14A9">
            <w:pPr>
              <w:rPr>
                <w:rFonts w:hint="eastAsia" w:ascii="Times New Roman" w:hAnsi="Times New Roman" w:eastAsia="宋?" w:cs="Times New Roman"/>
                <w:kern w:val="2"/>
                <w:sz w:val="21"/>
                <w:szCs w:val="24"/>
                <w:lang w:val="en-US" w:eastAsia="zh-CN" w:bidi="ar-SA"/>
              </w:rPr>
            </w:pPr>
            <w:r>
              <w:t>1</w:t>
            </w:r>
          </w:p>
        </w:tc>
        <w:tc>
          <w:tcPr>
            <w:tcW w:w="1470" w:type="dxa"/>
            <w:shd w:val="clear" w:color="auto" w:fill="auto"/>
            <w:vAlign w:val="center"/>
          </w:tcPr>
          <w:p w14:paraId="55AE8066">
            <w:pPr>
              <w:rPr>
                <w:rFonts w:hint="eastAsia" w:ascii="Times New Roman" w:hAnsi="Times New Roman" w:eastAsia="宋?" w:cs="Times New Roman"/>
                <w:kern w:val="2"/>
                <w:sz w:val="21"/>
                <w:szCs w:val="24"/>
                <w:lang w:val="en-US" w:eastAsia="zh-CN" w:bidi="ar-SA"/>
              </w:rPr>
            </w:pPr>
            <w:r>
              <w:rPr>
                <w:rFonts w:hint="eastAsia"/>
              </w:rPr>
              <w:t>项</w:t>
            </w:r>
          </w:p>
        </w:tc>
        <w:tc>
          <w:tcPr>
            <w:tcW w:w="2415" w:type="dxa"/>
            <w:vMerge w:val="continue"/>
            <w:vAlign w:val="center"/>
          </w:tcPr>
          <w:p w14:paraId="35E1B72B">
            <w:pPr>
              <w:rPr>
                <w:rFonts w:hint="eastAsia" w:eastAsia="宋体"/>
              </w:rPr>
            </w:pPr>
          </w:p>
        </w:tc>
      </w:tr>
      <w:tr w14:paraId="2BEC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7" w:type="dxa"/>
            <w:vAlign w:val="center"/>
          </w:tcPr>
          <w:p w14:paraId="2AC7AA2B">
            <w:pPr>
              <w:rPr>
                <w:rFonts w:hint="default" w:eastAsia="宋体"/>
                <w:lang w:val="en-US" w:eastAsia="zh-CN"/>
              </w:rPr>
            </w:pPr>
            <w:r>
              <w:rPr>
                <w:rFonts w:hint="eastAsia" w:eastAsia="宋体"/>
                <w:lang w:val="en-US" w:eastAsia="zh-CN"/>
              </w:rPr>
              <w:t>10</w:t>
            </w:r>
          </w:p>
        </w:tc>
        <w:tc>
          <w:tcPr>
            <w:tcW w:w="3488" w:type="dxa"/>
            <w:shd w:val="clear" w:color="auto" w:fill="auto"/>
            <w:vAlign w:val="center"/>
          </w:tcPr>
          <w:p w14:paraId="05826356">
            <w:pPr>
              <w:rPr>
                <w:rFonts w:hint="eastAsia" w:ascii="Times New Roman" w:hAnsi="Times New Roman" w:eastAsia="宋?" w:cs="Times New Roman"/>
                <w:kern w:val="2"/>
                <w:sz w:val="21"/>
                <w:szCs w:val="24"/>
                <w:lang w:val="en-US" w:eastAsia="zh-CN" w:bidi="ar-SA"/>
              </w:rPr>
            </w:pPr>
            <w:r>
              <w:rPr>
                <w:rFonts w:hint="eastAsia"/>
              </w:rPr>
              <w:t>电源线及工程布线</w:t>
            </w:r>
          </w:p>
        </w:tc>
        <w:tc>
          <w:tcPr>
            <w:tcW w:w="885" w:type="dxa"/>
            <w:shd w:val="clear" w:color="auto" w:fill="auto"/>
            <w:vAlign w:val="center"/>
          </w:tcPr>
          <w:p w14:paraId="37580C76">
            <w:pPr>
              <w:rPr>
                <w:rFonts w:hint="eastAsia" w:ascii="Times New Roman" w:hAnsi="Times New Roman" w:eastAsia="宋?" w:cs="Times New Roman"/>
                <w:kern w:val="2"/>
                <w:sz w:val="21"/>
                <w:szCs w:val="24"/>
                <w:lang w:val="en-US" w:eastAsia="zh-CN" w:bidi="ar-SA"/>
              </w:rPr>
            </w:pPr>
            <w:r>
              <w:t>1</w:t>
            </w:r>
          </w:p>
        </w:tc>
        <w:tc>
          <w:tcPr>
            <w:tcW w:w="1470" w:type="dxa"/>
            <w:shd w:val="clear" w:color="auto" w:fill="auto"/>
            <w:vAlign w:val="center"/>
          </w:tcPr>
          <w:p w14:paraId="6AC66329">
            <w:pPr>
              <w:rPr>
                <w:rFonts w:hint="eastAsia" w:ascii="Times New Roman" w:hAnsi="Times New Roman" w:eastAsia="宋?" w:cs="Times New Roman"/>
                <w:kern w:val="2"/>
                <w:sz w:val="21"/>
                <w:szCs w:val="24"/>
                <w:lang w:val="en-US" w:eastAsia="zh-CN" w:bidi="ar-SA"/>
              </w:rPr>
            </w:pPr>
            <w:r>
              <w:rPr>
                <w:rFonts w:hint="eastAsia"/>
              </w:rPr>
              <w:t>项</w:t>
            </w:r>
          </w:p>
        </w:tc>
        <w:tc>
          <w:tcPr>
            <w:tcW w:w="2415" w:type="dxa"/>
            <w:vMerge w:val="continue"/>
            <w:vAlign w:val="center"/>
          </w:tcPr>
          <w:p w14:paraId="3657F2EA">
            <w:pPr>
              <w:rPr>
                <w:rFonts w:hint="eastAsia" w:eastAsia="宋体"/>
              </w:rPr>
            </w:pPr>
          </w:p>
        </w:tc>
      </w:tr>
      <w:tr w14:paraId="6FF7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1587BEB0">
            <w:pPr>
              <w:rPr>
                <w:rFonts w:hint="default" w:eastAsia="宋体"/>
                <w:lang w:val="en-US" w:eastAsia="zh-CN"/>
              </w:rPr>
            </w:pPr>
            <w:r>
              <w:rPr>
                <w:rFonts w:hint="eastAsia" w:eastAsia="宋体"/>
                <w:lang w:val="en-US" w:eastAsia="zh-CN"/>
              </w:rPr>
              <w:t>11</w:t>
            </w:r>
          </w:p>
        </w:tc>
        <w:tc>
          <w:tcPr>
            <w:tcW w:w="3488" w:type="dxa"/>
            <w:shd w:val="clear" w:color="auto" w:fill="auto"/>
            <w:vAlign w:val="center"/>
          </w:tcPr>
          <w:p w14:paraId="2F374799">
            <w:pPr>
              <w:rPr>
                <w:rFonts w:hint="eastAsia" w:ascii="Times New Roman" w:hAnsi="Times New Roman" w:eastAsia="宋?" w:cs="Times New Roman"/>
                <w:kern w:val="2"/>
                <w:sz w:val="21"/>
                <w:szCs w:val="24"/>
                <w:lang w:val="en-US" w:eastAsia="zh-CN" w:bidi="ar-SA"/>
              </w:rPr>
            </w:pPr>
            <w:r>
              <w:rPr>
                <w:rFonts w:hint="eastAsia"/>
              </w:rPr>
              <w:t>备品备件</w:t>
            </w:r>
          </w:p>
        </w:tc>
        <w:tc>
          <w:tcPr>
            <w:tcW w:w="885" w:type="dxa"/>
            <w:shd w:val="clear" w:color="auto" w:fill="auto"/>
            <w:vAlign w:val="center"/>
          </w:tcPr>
          <w:p w14:paraId="6CD8327C">
            <w:pPr>
              <w:rPr>
                <w:rFonts w:ascii="Times New Roman" w:hAnsi="Times New Roman" w:eastAsia="宋?" w:cs="Times New Roman"/>
                <w:kern w:val="2"/>
                <w:sz w:val="21"/>
                <w:szCs w:val="24"/>
                <w:lang w:val="en-US" w:eastAsia="zh-CN" w:bidi="ar-SA"/>
              </w:rPr>
            </w:pPr>
            <w:r>
              <w:t>1</w:t>
            </w:r>
          </w:p>
        </w:tc>
        <w:tc>
          <w:tcPr>
            <w:tcW w:w="1470" w:type="dxa"/>
            <w:shd w:val="clear" w:color="auto" w:fill="auto"/>
            <w:vAlign w:val="center"/>
          </w:tcPr>
          <w:p w14:paraId="14D2DBF6">
            <w:pPr>
              <w:rPr>
                <w:rFonts w:hint="eastAsia" w:ascii="Times New Roman" w:hAnsi="Times New Roman" w:eastAsia="宋?" w:cs="Times New Roman"/>
                <w:kern w:val="2"/>
                <w:sz w:val="21"/>
                <w:szCs w:val="24"/>
                <w:lang w:val="en-US" w:eastAsia="zh-CN" w:bidi="ar-SA"/>
              </w:rPr>
            </w:pPr>
            <w:r>
              <w:rPr>
                <w:rFonts w:hint="eastAsia"/>
              </w:rPr>
              <w:t>套</w:t>
            </w:r>
          </w:p>
        </w:tc>
        <w:tc>
          <w:tcPr>
            <w:tcW w:w="2415" w:type="dxa"/>
            <w:vMerge w:val="continue"/>
            <w:vAlign w:val="center"/>
          </w:tcPr>
          <w:p w14:paraId="2ED4476C">
            <w:pPr>
              <w:rPr>
                <w:rFonts w:hint="eastAsia" w:eastAsia="宋体"/>
              </w:rPr>
            </w:pPr>
          </w:p>
        </w:tc>
      </w:tr>
      <w:tr w14:paraId="1768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5F4C6FBA">
            <w:pPr>
              <w:rPr>
                <w:rFonts w:hint="default"/>
                <w:lang w:val="en-US"/>
              </w:rPr>
            </w:pPr>
            <w:r>
              <w:rPr>
                <w:rFonts w:hint="eastAsia" w:eastAsia="宋体"/>
                <w:lang w:val="en-US" w:eastAsia="zh-CN"/>
              </w:rPr>
              <w:t>1</w:t>
            </w:r>
          </w:p>
        </w:tc>
        <w:tc>
          <w:tcPr>
            <w:tcW w:w="3488" w:type="dxa"/>
            <w:vAlign w:val="center"/>
          </w:tcPr>
          <w:p w14:paraId="51502F87">
            <w:r>
              <w:rPr>
                <w:rFonts w:hint="eastAsia"/>
              </w:rPr>
              <w:t>P10单红户外显示屏</w:t>
            </w:r>
          </w:p>
        </w:tc>
        <w:tc>
          <w:tcPr>
            <w:tcW w:w="885" w:type="dxa"/>
            <w:vAlign w:val="center"/>
          </w:tcPr>
          <w:p w14:paraId="3308FEE6">
            <w:r>
              <w:rPr>
                <w:rFonts w:hint="eastAsia"/>
              </w:rPr>
              <w:t>9.5</w:t>
            </w:r>
          </w:p>
        </w:tc>
        <w:tc>
          <w:tcPr>
            <w:tcW w:w="1470" w:type="dxa"/>
            <w:vAlign w:val="center"/>
          </w:tcPr>
          <w:p w14:paraId="4805AB43">
            <w:bookmarkStart w:id="0" w:name="OLE_LINK1"/>
            <w:r>
              <w:rPr>
                <w:rFonts w:hint="eastAsia"/>
              </w:rPr>
              <w:t>㎡</w:t>
            </w:r>
            <w:bookmarkEnd w:id="0"/>
          </w:p>
        </w:tc>
        <w:tc>
          <w:tcPr>
            <w:tcW w:w="2415" w:type="dxa"/>
            <w:vMerge w:val="restart"/>
            <w:vAlign w:val="center"/>
          </w:tcPr>
          <w:p w14:paraId="717A0ACD">
            <w:pPr>
              <w:jc w:val="center"/>
              <w:rPr>
                <w:rFonts w:hint="default" w:eastAsia="宋体"/>
                <w:lang w:val="en-US" w:eastAsia="zh-CN"/>
              </w:rPr>
            </w:pPr>
            <w:r>
              <w:rPr>
                <w:rFonts w:hint="eastAsia" w:eastAsia="宋体"/>
                <w:b/>
                <w:bCs/>
                <w:sz w:val="24"/>
                <w:szCs w:val="24"/>
                <w:lang w:val="en-US" w:eastAsia="zh-CN"/>
              </w:rPr>
              <w:t>J1教学楼单红户外横屏（强力、彩虹、洲明）</w:t>
            </w:r>
          </w:p>
        </w:tc>
      </w:tr>
      <w:tr w14:paraId="7223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3B650D24">
            <w:pPr>
              <w:rPr>
                <w:rFonts w:hint="default" w:eastAsia="宋体"/>
                <w:lang w:val="en-US" w:eastAsia="zh-CN"/>
              </w:rPr>
            </w:pPr>
            <w:r>
              <w:rPr>
                <w:rFonts w:hint="eastAsia" w:eastAsia="宋体"/>
                <w:lang w:val="en-US" w:eastAsia="zh-CN"/>
              </w:rPr>
              <w:t>2</w:t>
            </w:r>
          </w:p>
        </w:tc>
        <w:tc>
          <w:tcPr>
            <w:tcW w:w="3488" w:type="dxa"/>
            <w:shd w:val="clear" w:color="auto" w:fill="auto"/>
            <w:vAlign w:val="center"/>
          </w:tcPr>
          <w:p w14:paraId="4BC791FA">
            <w:pPr>
              <w:rPr>
                <w:rFonts w:hint="eastAsia" w:ascii="Times New Roman" w:hAnsi="Times New Roman" w:eastAsia="宋?" w:cs="Times New Roman"/>
                <w:kern w:val="2"/>
                <w:sz w:val="21"/>
                <w:szCs w:val="24"/>
                <w:lang w:val="en-US" w:eastAsia="zh-CN" w:bidi="ar-SA"/>
              </w:rPr>
            </w:pPr>
            <w:r>
              <w:rPr>
                <w:rFonts w:hint="eastAsia"/>
              </w:rPr>
              <w:t>远程信息发布终端</w:t>
            </w:r>
          </w:p>
        </w:tc>
        <w:tc>
          <w:tcPr>
            <w:tcW w:w="885" w:type="dxa"/>
            <w:shd w:val="clear" w:color="auto" w:fill="auto"/>
            <w:vAlign w:val="center"/>
          </w:tcPr>
          <w:p w14:paraId="2A538C94">
            <w:pPr>
              <w:rPr>
                <w:rFonts w:hint="eastAsia" w:ascii="Times New Roman" w:hAnsi="Times New Roman" w:eastAsia="宋?" w:cs="Times New Roman"/>
                <w:kern w:val="2"/>
                <w:sz w:val="21"/>
                <w:szCs w:val="24"/>
                <w:lang w:val="en-US" w:eastAsia="zh-CN" w:bidi="ar-SA"/>
              </w:rPr>
            </w:pPr>
            <w:r>
              <w:rPr>
                <w:rFonts w:hint="eastAsia"/>
              </w:rPr>
              <w:t>1</w:t>
            </w:r>
          </w:p>
        </w:tc>
        <w:tc>
          <w:tcPr>
            <w:tcW w:w="1470" w:type="dxa"/>
            <w:shd w:val="clear" w:color="auto" w:fill="auto"/>
            <w:vAlign w:val="center"/>
          </w:tcPr>
          <w:p w14:paraId="3C22F04C">
            <w:pPr>
              <w:rPr>
                <w:rFonts w:hint="eastAsia" w:ascii="Times New Roman" w:hAnsi="Times New Roman" w:eastAsia="宋体" w:cs="Times New Roman"/>
                <w:kern w:val="2"/>
                <w:sz w:val="21"/>
                <w:szCs w:val="24"/>
                <w:lang w:val="en-US" w:eastAsia="zh-CN" w:bidi="ar-SA"/>
              </w:rPr>
            </w:pPr>
            <w:r>
              <w:rPr>
                <w:rFonts w:hint="eastAsia" w:eastAsia="宋体"/>
              </w:rPr>
              <w:t>个</w:t>
            </w:r>
          </w:p>
        </w:tc>
        <w:tc>
          <w:tcPr>
            <w:tcW w:w="2415" w:type="dxa"/>
            <w:vMerge w:val="continue"/>
            <w:vAlign w:val="center"/>
          </w:tcPr>
          <w:p w14:paraId="17E2FDA7">
            <w:pPr>
              <w:rPr>
                <w:rFonts w:hint="eastAsia" w:eastAsia="宋体"/>
              </w:rPr>
            </w:pPr>
          </w:p>
        </w:tc>
      </w:tr>
      <w:tr w14:paraId="66F9E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58FB3126">
            <w:pPr>
              <w:rPr>
                <w:rFonts w:hint="default" w:eastAsia="宋体"/>
                <w:lang w:val="en-US" w:eastAsia="zh-CN"/>
              </w:rPr>
            </w:pPr>
            <w:r>
              <w:rPr>
                <w:rFonts w:hint="eastAsia" w:eastAsia="宋体"/>
                <w:lang w:val="en-US" w:eastAsia="zh-CN"/>
              </w:rPr>
              <w:t>3</w:t>
            </w:r>
          </w:p>
        </w:tc>
        <w:tc>
          <w:tcPr>
            <w:tcW w:w="3488" w:type="dxa"/>
            <w:shd w:val="clear" w:color="auto" w:fill="auto"/>
            <w:vAlign w:val="center"/>
          </w:tcPr>
          <w:p w14:paraId="786A85E7">
            <w:pPr>
              <w:rPr>
                <w:rFonts w:hint="eastAsia" w:ascii="Times New Roman" w:hAnsi="Times New Roman" w:eastAsia="宋?" w:cs="Times New Roman"/>
                <w:kern w:val="2"/>
                <w:sz w:val="21"/>
                <w:szCs w:val="24"/>
                <w:lang w:val="en-US" w:eastAsia="zh-CN" w:bidi="ar-SA"/>
              </w:rPr>
            </w:pPr>
            <w:r>
              <w:rPr>
                <w:rFonts w:hint="eastAsia"/>
              </w:rPr>
              <w:t>远程继电器开关</w:t>
            </w:r>
          </w:p>
        </w:tc>
        <w:tc>
          <w:tcPr>
            <w:tcW w:w="885" w:type="dxa"/>
            <w:shd w:val="clear" w:color="auto" w:fill="auto"/>
            <w:vAlign w:val="center"/>
          </w:tcPr>
          <w:p w14:paraId="6C1C5E38">
            <w:pPr>
              <w:rPr>
                <w:rFonts w:hint="eastAsia" w:ascii="Times New Roman" w:hAnsi="Times New Roman" w:eastAsia="宋?" w:cs="Times New Roman"/>
                <w:kern w:val="2"/>
                <w:sz w:val="21"/>
                <w:szCs w:val="24"/>
                <w:lang w:val="en-US" w:eastAsia="zh-CN" w:bidi="ar-SA"/>
              </w:rPr>
            </w:pPr>
            <w:r>
              <w:rPr>
                <w:rFonts w:hint="eastAsia"/>
              </w:rPr>
              <w:t>1</w:t>
            </w:r>
          </w:p>
        </w:tc>
        <w:tc>
          <w:tcPr>
            <w:tcW w:w="1470" w:type="dxa"/>
            <w:shd w:val="clear" w:color="auto" w:fill="auto"/>
            <w:vAlign w:val="center"/>
          </w:tcPr>
          <w:p w14:paraId="49407131">
            <w:pPr>
              <w:rPr>
                <w:rFonts w:hint="eastAsia" w:ascii="Times New Roman" w:hAnsi="Times New Roman" w:eastAsia="宋体" w:cs="Times New Roman"/>
                <w:kern w:val="2"/>
                <w:sz w:val="21"/>
                <w:szCs w:val="24"/>
                <w:lang w:val="en-US" w:eastAsia="zh-CN" w:bidi="ar-SA"/>
              </w:rPr>
            </w:pPr>
            <w:r>
              <w:rPr>
                <w:rFonts w:hint="eastAsia" w:eastAsia="宋体"/>
              </w:rPr>
              <w:t>个</w:t>
            </w:r>
          </w:p>
        </w:tc>
        <w:tc>
          <w:tcPr>
            <w:tcW w:w="2415" w:type="dxa"/>
            <w:vMerge w:val="continue"/>
            <w:vAlign w:val="center"/>
          </w:tcPr>
          <w:p w14:paraId="2ADBDA2F">
            <w:pPr>
              <w:rPr>
                <w:rFonts w:hint="eastAsia" w:eastAsia="宋体"/>
              </w:rPr>
            </w:pPr>
          </w:p>
        </w:tc>
      </w:tr>
      <w:tr w14:paraId="47DA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5CD30327">
            <w:pPr>
              <w:rPr>
                <w:rFonts w:hint="default" w:eastAsia="宋体"/>
                <w:lang w:val="en-US" w:eastAsia="zh-CN"/>
              </w:rPr>
            </w:pPr>
            <w:r>
              <w:rPr>
                <w:rFonts w:hint="eastAsia" w:eastAsia="宋体"/>
                <w:lang w:val="en-US" w:eastAsia="zh-CN"/>
              </w:rPr>
              <w:t>4</w:t>
            </w:r>
          </w:p>
        </w:tc>
        <w:tc>
          <w:tcPr>
            <w:tcW w:w="3488" w:type="dxa"/>
            <w:shd w:val="clear" w:color="auto" w:fill="auto"/>
            <w:vAlign w:val="center"/>
          </w:tcPr>
          <w:p w14:paraId="67CDD2D4">
            <w:pPr>
              <w:rPr>
                <w:rFonts w:hint="eastAsia" w:ascii="宋体" w:hAnsi="宋体" w:eastAsia="宋体" w:cs="宋体"/>
                <w:color w:val="000000"/>
                <w:kern w:val="2"/>
                <w:sz w:val="24"/>
                <w:szCs w:val="24"/>
                <w:lang w:val="en-US" w:eastAsia="zh-CN" w:bidi="ar-SA"/>
              </w:rPr>
            </w:pPr>
            <w:r>
              <w:rPr>
                <w:rFonts w:hint="eastAsia"/>
              </w:rPr>
              <w:t>异步接收控制卡</w:t>
            </w:r>
          </w:p>
        </w:tc>
        <w:tc>
          <w:tcPr>
            <w:tcW w:w="885" w:type="dxa"/>
            <w:shd w:val="clear" w:color="auto" w:fill="auto"/>
            <w:vAlign w:val="center"/>
          </w:tcPr>
          <w:p w14:paraId="66D610D6">
            <w:pPr>
              <w:rPr>
                <w:rFonts w:hint="eastAsia" w:ascii="Times New Roman" w:hAnsi="Times New Roman" w:eastAsia="宋?" w:cs="Times New Roman"/>
                <w:kern w:val="2"/>
                <w:sz w:val="21"/>
                <w:szCs w:val="24"/>
                <w:lang w:val="en-US" w:eastAsia="zh-CN" w:bidi="ar-SA"/>
              </w:rPr>
            </w:pPr>
            <w:r>
              <w:rPr>
                <w:rFonts w:hint="eastAsia"/>
              </w:rPr>
              <w:t>2</w:t>
            </w:r>
          </w:p>
        </w:tc>
        <w:tc>
          <w:tcPr>
            <w:tcW w:w="1470" w:type="dxa"/>
            <w:shd w:val="clear" w:color="auto" w:fill="auto"/>
            <w:vAlign w:val="center"/>
          </w:tcPr>
          <w:p w14:paraId="5EFCA851">
            <w:pPr>
              <w:rPr>
                <w:rFonts w:hint="eastAsia" w:ascii="Times New Roman" w:hAnsi="Times New Roman" w:eastAsia="宋体" w:cs="Times New Roman"/>
                <w:kern w:val="2"/>
                <w:sz w:val="21"/>
                <w:szCs w:val="24"/>
                <w:lang w:val="en-US" w:eastAsia="zh-CN" w:bidi="ar-SA"/>
              </w:rPr>
            </w:pPr>
            <w:r>
              <w:rPr>
                <w:rFonts w:hint="eastAsia" w:eastAsia="宋体"/>
              </w:rPr>
              <w:t>块</w:t>
            </w:r>
          </w:p>
        </w:tc>
        <w:tc>
          <w:tcPr>
            <w:tcW w:w="2415" w:type="dxa"/>
            <w:vMerge w:val="continue"/>
            <w:vAlign w:val="center"/>
          </w:tcPr>
          <w:p w14:paraId="5F5E56D9">
            <w:pPr>
              <w:rPr>
                <w:rFonts w:hint="eastAsia" w:eastAsia="宋体"/>
              </w:rPr>
            </w:pPr>
          </w:p>
        </w:tc>
      </w:tr>
      <w:tr w14:paraId="6EA3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1B24A40F">
            <w:pPr>
              <w:rPr>
                <w:rFonts w:hint="default" w:eastAsia="宋体"/>
                <w:lang w:val="en-US" w:eastAsia="zh-CN"/>
              </w:rPr>
            </w:pPr>
            <w:r>
              <w:rPr>
                <w:rFonts w:hint="eastAsia" w:eastAsia="宋体"/>
                <w:lang w:val="en-US" w:eastAsia="zh-CN"/>
              </w:rPr>
              <w:t>5</w:t>
            </w:r>
          </w:p>
        </w:tc>
        <w:tc>
          <w:tcPr>
            <w:tcW w:w="3488" w:type="dxa"/>
            <w:shd w:val="clear" w:color="auto" w:fill="auto"/>
            <w:vAlign w:val="center"/>
          </w:tcPr>
          <w:p w14:paraId="087B308D">
            <w:pPr>
              <w:rPr>
                <w:rFonts w:hint="eastAsia" w:ascii="Times New Roman" w:hAnsi="Times New Roman" w:eastAsia="宋体" w:cs="Times New Roman"/>
                <w:kern w:val="2"/>
                <w:sz w:val="21"/>
                <w:szCs w:val="24"/>
                <w:lang w:val="en-US" w:eastAsia="zh-CN" w:bidi="ar-SA"/>
              </w:rPr>
            </w:pPr>
            <w:r>
              <w:rPr>
                <w:rFonts w:hint="eastAsia" w:eastAsia="宋体"/>
              </w:rPr>
              <w:t>设备安装</w:t>
            </w:r>
          </w:p>
        </w:tc>
        <w:tc>
          <w:tcPr>
            <w:tcW w:w="885" w:type="dxa"/>
            <w:shd w:val="clear" w:color="auto" w:fill="auto"/>
            <w:vAlign w:val="center"/>
          </w:tcPr>
          <w:p w14:paraId="0857EA48">
            <w:pPr>
              <w:rPr>
                <w:rFonts w:hint="eastAsia" w:ascii="Times New Roman" w:hAnsi="Times New Roman" w:eastAsia="宋?" w:cs="Times New Roman"/>
                <w:kern w:val="2"/>
                <w:sz w:val="21"/>
                <w:szCs w:val="24"/>
                <w:lang w:val="en-US" w:eastAsia="zh-CN" w:bidi="ar-SA"/>
              </w:rPr>
            </w:pPr>
            <w:r>
              <w:rPr>
                <w:rFonts w:hint="eastAsia"/>
              </w:rPr>
              <w:t>9.5</w:t>
            </w:r>
          </w:p>
        </w:tc>
        <w:tc>
          <w:tcPr>
            <w:tcW w:w="1470" w:type="dxa"/>
            <w:shd w:val="clear" w:color="auto" w:fill="auto"/>
            <w:vAlign w:val="center"/>
          </w:tcPr>
          <w:p w14:paraId="67327921">
            <w:pPr>
              <w:rPr>
                <w:rFonts w:hint="eastAsia" w:ascii="Times New Roman" w:hAnsi="Times New Roman" w:eastAsia="宋?" w:cs="Times New Roman"/>
                <w:kern w:val="2"/>
                <w:sz w:val="21"/>
                <w:szCs w:val="24"/>
                <w:lang w:val="en-US" w:eastAsia="zh-CN" w:bidi="ar-SA"/>
              </w:rPr>
            </w:pPr>
            <w:r>
              <w:rPr>
                <w:rFonts w:hint="eastAsia"/>
              </w:rPr>
              <w:t>㎡</w:t>
            </w:r>
          </w:p>
        </w:tc>
        <w:tc>
          <w:tcPr>
            <w:tcW w:w="2415" w:type="dxa"/>
            <w:vMerge w:val="continue"/>
            <w:shd w:val="clear" w:color="auto" w:fill="auto"/>
            <w:vAlign w:val="center"/>
          </w:tcPr>
          <w:p w14:paraId="429AB732">
            <w:pPr>
              <w:rPr>
                <w:rFonts w:hint="eastAsia" w:ascii="Times New Roman" w:hAnsi="Times New Roman" w:eastAsia="宋体" w:cs="Times New Roman"/>
                <w:kern w:val="2"/>
                <w:sz w:val="21"/>
                <w:szCs w:val="24"/>
                <w:lang w:val="en-US" w:eastAsia="zh-CN" w:bidi="ar-SA"/>
              </w:rPr>
            </w:pPr>
          </w:p>
        </w:tc>
      </w:tr>
      <w:tr w14:paraId="0E9F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47" w:type="dxa"/>
            <w:vAlign w:val="center"/>
          </w:tcPr>
          <w:p w14:paraId="71C6113E">
            <w:pPr>
              <w:rPr>
                <w:rFonts w:hint="default" w:eastAsia="宋体"/>
                <w:lang w:val="en-US" w:eastAsia="zh-CN"/>
              </w:rPr>
            </w:pPr>
            <w:r>
              <w:rPr>
                <w:rFonts w:hint="eastAsia" w:eastAsia="宋体"/>
                <w:lang w:val="en-US" w:eastAsia="zh-CN"/>
              </w:rPr>
              <w:t>1</w:t>
            </w:r>
          </w:p>
        </w:tc>
        <w:tc>
          <w:tcPr>
            <w:tcW w:w="3488" w:type="dxa"/>
            <w:vAlign w:val="center"/>
          </w:tcPr>
          <w:p w14:paraId="4095A199">
            <w:r>
              <w:rPr>
                <w:rFonts w:hint="eastAsia"/>
              </w:rPr>
              <w:t>P2 LED全彩显示屏</w:t>
            </w:r>
          </w:p>
        </w:tc>
        <w:tc>
          <w:tcPr>
            <w:tcW w:w="885" w:type="dxa"/>
            <w:vAlign w:val="center"/>
          </w:tcPr>
          <w:p w14:paraId="4CD4D31A">
            <w:r>
              <w:rPr>
                <w:rFonts w:hint="eastAsia"/>
              </w:rPr>
              <w:t>2.15</w:t>
            </w:r>
          </w:p>
        </w:tc>
        <w:tc>
          <w:tcPr>
            <w:tcW w:w="1470" w:type="dxa"/>
            <w:vAlign w:val="center"/>
          </w:tcPr>
          <w:p w14:paraId="1A9CCE69">
            <w:r>
              <w:rPr>
                <w:rFonts w:hint="eastAsia"/>
              </w:rPr>
              <w:t>㎡</w:t>
            </w:r>
          </w:p>
        </w:tc>
        <w:tc>
          <w:tcPr>
            <w:tcW w:w="2415" w:type="dxa"/>
            <w:vMerge w:val="restart"/>
            <w:vAlign w:val="center"/>
          </w:tcPr>
          <w:p w14:paraId="4B4BC55D">
            <w:pPr>
              <w:rPr>
                <w:rFonts w:hint="eastAsia" w:eastAsia="宋体"/>
              </w:rPr>
            </w:pPr>
          </w:p>
          <w:p w14:paraId="2A32359D">
            <w:pPr>
              <w:jc w:val="center"/>
              <w:rPr>
                <w:rFonts w:hint="eastAsia" w:eastAsia="宋体"/>
                <w:b/>
                <w:bCs/>
                <w:sz w:val="24"/>
                <w:szCs w:val="24"/>
                <w:lang w:val="en-US" w:eastAsia="zh-CN"/>
              </w:rPr>
            </w:pPr>
          </w:p>
          <w:p w14:paraId="47292ECB">
            <w:pPr>
              <w:jc w:val="both"/>
              <w:rPr>
                <w:rFonts w:hint="default" w:eastAsia="宋体"/>
                <w:lang w:val="en-US"/>
              </w:rPr>
            </w:pPr>
            <w:r>
              <w:rPr>
                <w:rFonts w:hint="eastAsia" w:eastAsia="宋体"/>
                <w:b/>
                <w:bCs/>
                <w:sz w:val="24"/>
                <w:szCs w:val="24"/>
                <w:lang w:val="en-US" w:eastAsia="zh-CN"/>
              </w:rPr>
              <w:t>学生心理咨询室LED屏（海康威视、利亚德、洲明））</w:t>
            </w:r>
          </w:p>
        </w:tc>
      </w:tr>
      <w:tr w14:paraId="4BF2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7" w:type="dxa"/>
            <w:vAlign w:val="center"/>
          </w:tcPr>
          <w:p w14:paraId="66643F18">
            <w:pPr>
              <w:rPr>
                <w:rFonts w:hint="default" w:eastAsia="宋体"/>
                <w:lang w:val="en-US" w:eastAsia="zh-CN"/>
              </w:rPr>
            </w:pPr>
            <w:r>
              <w:rPr>
                <w:rFonts w:hint="eastAsia" w:eastAsia="宋体"/>
                <w:lang w:val="en-US" w:eastAsia="zh-CN"/>
              </w:rPr>
              <w:t>2</w:t>
            </w:r>
          </w:p>
        </w:tc>
        <w:tc>
          <w:tcPr>
            <w:tcW w:w="3488" w:type="dxa"/>
            <w:vAlign w:val="center"/>
          </w:tcPr>
          <w:p w14:paraId="6C24606A">
            <w:pPr>
              <w:rPr>
                <w:rFonts w:eastAsia="宋体"/>
              </w:rPr>
            </w:pPr>
            <w:r>
              <w:rPr>
                <w:rFonts w:hint="eastAsia"/>
              </w:rPr>
              <w:t>二合一拼控器</w:t>
            </w:r>
          </w:p>
        </w:tc>
        <w:tc>
          <w:tcPr>
            <w:tcW w:w="885" w:type="dxa"/>
            <w:vAlign w:val="center"/>
          </w:tcPr>
          <w:p w14:paraId="472EF141">
            <w:r>
              <w:t>1</w:t>
            </w:r>
          </w:p>
        </w:tc>
        <w:tc>
          <w:tcPr>
            <w:tcW w:w="1470" w:type="dxa"/>
            <w:vAlign w:val="center"/>
          </w:tcPr>
          <w:p w14:paraId="19FDBC88">
            <w:pPr>
              <w:rPr>
                <w:rFonts w:eastAsia="宋体"/>
              </w:rPr>
            </w:pPr>
            <w:r>
              <w:rPr>
                <w:rFonts w:hint="eastAsia"/>
              </w:rPr>
              <w:t>台</w:t>
            </w:r>
          </w:p>
        </w:tc>
        <w:tc>
          <w:tcPr>
            <w:tcW w:w="2415" w:type="dxa"/>
            <w:vMerge w:val="continue"/>
            <w:vAlign w:val="center"/>
          </w:tcPr>
          <w:p w14:paraId="5FA3DDC0"/>
        </w:tc>
      </w:tr>
      <w:tr w14:paraId="3EA8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7" w:type="dxa"/>
            <w:vAlign w:val="center"/>
          </w:tcPr>
          <w:p w14:paraId="04919ADC">
            <w:pPr>
              <w:rPr>
                <w:rFonts w:hint="default" w:eastAsia="宋体"/>
                <w:lang w:val="en-US" w:eastAsia="zh-CN"/>
              </w:rPr>
            </w:pPr>
            <w:r>
              <w:rPr>
                <w:rFonts w:hint="eastAsia" w:eastAsia="宋体"/>
                <w:lang w:val="en-US" w:eastAsia="zh-CN"/>
              </w:rPr>
              <w:t>3</w:t>
            </w:r>
          </w:p>
        </w:tc>
        <w:tc>
          <w:tcPr>
            <w:tcW w:w="3488" w:type="dxa"/>
            <w:vAlign w:val="center"/>
          </w:tcPr>
          <w:p w14:paraId="371BD4A4">
            <w:pPr>
              <w:widowControl/>
              <w:jc w:val="left"/>
              <w:textAlignment w:val="center"/>
              <w:rPr>
                <w:rFonts w:eastAsia="宋体"/>
              </w:rPr>
            </w:pPr>
            <w:r>
              <w:rPr>
                <w:rFonts w:hint="eastAsia" w:eastAsia="宋体"/>
              </w:rPr>
              <w:t>钢结构支架</w:t>
            </w:r>
          </w:p>
        </w:tc>
        <w:tc>
          <w:tcPr>
            <w:tcW w:w="885" w:type="dxa"/>
            <w:vAlign w:val="center"/>
          </w:tcPr>
          <w:p w14:paraId="0F3DCFB2">
            <w:r>
              <w:rPr>
                <w:rFonts w:hint="eastAsia"/>
              </w:rPr>
              <w:t>2.15</w:t>
            </w:r>
          </w:p>
        </w:tc>
        <w:tc>
          <w:tcPr>
            <w:tcW w:w="1470" w:type="dxa"/>
            <w:vAlign w:val="center"/>
          </w:tcPr>
          <w:p w14:paraId="23E4C8E7">
            <w:r>
              <w:rPr>
                <w:rFonts w:hint="eastAsia"/>
              </w:rPr>
              <w:t>㎡</w:t>
            </w:r>
          </w:p>
        </w:tc>
        <w:tc>
          <w:tcPr>
            <w:tcW w:w="2415" w:type="dxa"/>
            <w:vMerge w:val="continue"/>
            <w:vAlign w:val="center"/>
          </w:tcPr>
          <w:p w14:paraId="77A0AF10">
            <w:pPr>
              <w:rPr>
                <w:rFonts w:eastAsia="宋体"/>
              </w:rPr>
            </w:pPr>
          </w:p>
        </w:tc>
      </w:tr>
      <w:tr w14:paraId="15DA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7" w:type="dxa"/>
            <w:vAlign w:val="center"/>
          </w:tcPr>
          <w:p w14:paraId="05F8FD28">
            <w:pPr>
              <w:rPr>
                <w:rFonts w:hint="default" w:eastAsia="宋体"/>
                <w:lang w:val="en-US" w:eastAsia="zh-CN"/>
              </w:rPr>
            </w:pPr>
            <w:r>
              <w:rPr>
                <w:rFonts w:hint="eastAsia" w:eastAsia="宋体"/>
                <w:lang w:val="en-US" w:eastAsia="zh-CN"/>
              </w:rPr>
              <w:t>4</w:t>
            </w:r>
          </w:p>
        </w:tc>
        <w:tc>
          <w:tcPr>
            <w:tcW w:w="3488" w:type="dxa"/>
            <w:vAlign w:val="center"/>
          </w:tcPr>
          <w:p w14:paraId="25EE0FD0">
            <w:pPr>
              <w:widowControl/>
              <w:jc w:val="left"/>
              <w:textAlignment w:val="center"/>
              <w:rPr>
                <w:rFonts w:eastAsia="宋体"/>
              </w:rPr>
            </w:pPr>
            <w:r>
              <w:rPr>
                <w:rFonts w:hint="eastAsia" w:eastAsia="宋体"/>
              </w:rPr>
              <w:t>LED配电柜</w:t>
            </w:r>
          </w:p>
        </w:tc>
        <w:tc>
          <w:tcPr>
            <w:tcW w:w="885" w:type="dxa"/>
            <w:vAlign w:val="center"/>
          </w:tcPr>
          <w:p w14:paraId="124F52BD">
            <w:r>
              <w:rPr>
                <w:rFonts w:hint="eastAsia"/>
              </w:rPr>
              <w:t>1</w:t>
            </w:r>
          </w:p>
        </w:tc>
        <w:tc>
          <w:tcPr>
            <w:tcW w:w="1470" w:type="dxa"/>
            <w:vAlign w:val="center"/>
          </w:tcPr>
          <w:p w14:paraId="54665B7B">
            <w:pPr>
              <w:rPr>
                <w:rFonts w:eastAsia="宋体"/>
              </w:rPr>
            </w:pPr>
            <w:r>
              <w:rPr>
                <w:rFonts w:hint="eastAsia" w:eastAsia="宋体"/>
              </w:rPr>
              <w:t>台</w:t>
            </w:r>
          </w:p>
        </w:tc>
        <w:tc>
          <w:tcPr>
            <w:tcW w:w="2415" w:type="dxa"/>
            <w:vMerge w:val="continue"/>
            <w:vAlign w:val="center"/>
          </w:tcPr>
          <w:p w14:paraId="0A20613E">
            <w:pPr>
              <w:rPr>
                <w:rFonts w:eastAsia="宋体"/>
              </w:rPr>
            </w:pPr>
          </w:p>
        </w:tc>
      </w:tr>
      <w:tr w14:paraId="1CBA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7" w:type="dxa"/>
            <w:vAlign w:val="center"/>
          </w:tcPr>
          <w:p w14:paraId="12143062">
            <w:pPr>
              <w:rPr>
                <w:rFonts w:hint="default" w:eastAsia="宋体"/>
                <w:lang w:val="en-US" w:eastAsia="zh-CN"/>
              </w:rPr>
            </w:pPr>
            <w:r>
              <w:rPr>
                <w:rFonts w:hint="eastAsia" w:eastAsia="宋体"/>
                <w:lang w:val="en-US" w:eastAsia="zh-CN"/>
              </w:rPr>
              <w:t>5</w:t>
            </w:r>
          </w:p>
        </w:tc>
        <w:tc>
          <w:tcPr>
            <w:tcW w:w="3488" w:type="dxa"/>
            <w:vAlign w:val="center"/>
          </w:tcPr>
          <w:p w14:paraId="1786722E">
            <w:pPr>
              <w:widowControl/>
              <w:jc w:val="left"/>
              <w:textAlignment w:val="center"/>
              <w:rPr>
                <w:rFonts w:eastAsia="宋体"/>
              </w:rPr>
            </w:pPr>
            <w:r>
              <w:rPr>
                <w:rFonts w:hint="eastAsia" w:eastAsia="宋体"/>
              </w:rPr>
              <w:t>辅材</w:t>
            </w:r>
          </w:p>
        </w:tc>
        <w:tc>
          <w:tcPr>
            <w:tcW w:w="885" w:type="dxa"/>
            <w:vAlign w:val="center"/>
          </w:tcPr>
          <w:p w14:paraId="38A8F690">
            <w:r>
              <w:rPr>
                <w:rFonts w:hint="eastAsia"/>
              </w:rPr>
              <w:t>1</w:t>
            </w:r>
          </w:p>
        </w:tc>
        <w:tc>
          <w:tcPr>
            <w:tcW w:w="1470" w:type="dxa"/>
            <w:vAlign w:val="center"/>
          </w:tcPr>
          <w:p w14:paraId="7D685821">
            <w:pPr>
              <w:rPr>
                <w:rFonts w:eastAsia="宋体"/>
              </w:rPr>
            </w:pPr>
            <w:r>
              <w:rPr>
                <w:rFonts w:hint="eastAsia" w:eastAsia="宋体"/>
              </w:rPr>
              <w:t>批</w:t>
            </w:r>
          </w:p>
        </w:tc>
        <w:tc>
          <w:tcPr>
            <w:tcW w:w="2415" w:type="dxa"/>
            <w:vMerge w:val="continue"/>
            <w:vAlign w:val="center"/>
          </w:tcPr>
          <w:p w14:paraId="1B655E97">
            <w:pPr>
              <w:rPr>
                <w:rFonts w:eastAsia="宋体"/>
              </w:rPr>
            </w:pPr>
          </w:p>
        </w:tc>
      </w:tr>
      <w:tr w14:paraId="72DE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7" w:type="dxa"/>
            <w:vAlign w:val="center"/>
          </w:tcPr>
          <w:p w14:paraId="100DC0B1">
            <w:pPr>
              <w:rPr>
                <w:rFonts w:hint="default" w:eastAsia="宋体"/>
                <w:lang w:val="en-US" w:eastAsia="zh-CN"/>
              </w:rPr>
            </w:pPr>
            <w:r>
              <w:rPr>
                <w:rFonts w:hint="eastAsia" w:eastAsia="宋体"/>
                <w:lang w:val="en-US" w:eastAsia="zh-CN"/>
              </w:rPr>
              <w:t>6</w:t>
            </w:r>
          </w:p>
        </w:tc>
        <w:tc>
          <w:tcPr>
            <w:tcW w:w="3488" w:type="dxa"/>
            <w:vAlign w:val="center"/>
          </w:tcPr>
          <w:p w14:paraId="37664CFA">
            <w:pPr>
              <w:widowControl/>
              <w:jc w:val="left"/>
              <w:textAlignment w:val="center"/>
              <w:rPr>
                <w:rFonts w:eastAsia="宋体"/>
              </w:rPr>
            </w:pPr>
            <w:r>
              <w:rPr>
                <w:rFonts w:hint="eastAsia" w:eastAsia="宋体"/>
              </w:rPr>
              <w:t>安装调试</w:t>
            </w:r>
          </w:p>
        </w:tc>
        <w:tc>
          <w:tcPr>
            <w:tcW w:w="885" w:type="dxa"/>
            <w:vAlign w:val="center"/>
          </w:tcPr>
          <w:p w14:paraId="4ADF695B">
            <w:r>
              <w:rPr>
                <w:rFonts w:hint="eastAsia"/>
              </w:rPr>
              <w:t>3</w:t>
            </w:r>
          </w:p>
        </w:tc>
        <w:tc>
          <w:tcPr>
            <w:tcW w:w="1470" w:type="dxa"/>
            <w:vAlign w:val="center"/>
          </w:tcPr>
          <w:p w14:paraId="706995CF">
            <w:pPr>
              <w:rPr>
                <w:rFonts w:eastAsia="宋体"/>
              </w:rPr>
            </w:pPr>
            <w:r>
              <w:rPr>
                <w:rFonts w:hint="eastAsia"/>
              </w:rPr>
              <w:t>㎡</w:t>
            </w:r>
          </w:p>
        </w:tc>
        <w:tc>
          <w:tcPr>
            <w:tcW w:w="2415" w:type="dxa"/>
            <w:vMerge w:val="continue"/>
            <w:vAlign w:val="center"/>
          </w:tcPr>
          <w:p w14:paraId="7406DDD0">
            <w:pPr>
              <w:rPr>
                <w:rFonts w:eastAsia="宋体"/>
              </w:rPr>
            </w:pPr>
          </w:p>
        </w:tc>
      </w:tr>
    </w:tbl>
    <w:p w14:paraId="60033DF6">
      <w:pPr>
        <w:numPr>
          <w:ilvl w:val="0"/>
          <w:numId w:val="1"/>
        </w:numPr>
        <w:spacing w:before="156" w:beforeLines="50" w:line="360" w:lineRule="auto"/>
        <w:rPr>
          <w:rFonts w:hint="eastAsia" w:ascii="宋体" w:hAnsi="宋体" w:eastAsia="宋体" w:cs="宋体"/>
          <w:b/>
          <w:bCs/>
          <w:sz w:val="24"/>
        </w:rPr>
      </w:pPr>
      <w:r>
        <w:rPr>
          <w:rFonts w:hint="eastAsia" w:ascii="宋体" w:hAnsi="宋体" w:eastAsia="宋体" w:cs="宋体"/>
          <w:b/>
          <w:bCs/>
          <w:sz w:val="24"/>
        </w:rPr>
        <w:t>对所需采购的货物的功能、用途简要说明：</w:t>
      </w:r>
    </w:p>
    <w:p w14:paraId="49384D3F">
      <w:pPr>
        <w:spacing w:line="450" w:lineRule="exact"/>
        <w:ind w:firstLine="480" w:firstLineChars="200"/>
        <w:rPr>
          <w:rFonts w:hint="eastAsia" w:ascii="宋体" w:hAnsi="宋体" w:eastAsia="宋体" w:cs="宋体"/>
          <w:sz w:val="24"/>
        </w:rPr>
      </w:pPr>
      <w:r>
        <w:rPr>
          <w:rFonts w:hint="eastAsia" w:ascii="宋体" w:hAnsi="宋体" w:eastAsia="宋体" w:cs="宋体"/>
          <w:sz w:val="24"/>
        </w:rPr>
        <w:t>1、信息发布效率高：可以实现信息发布的即时化和多样化，可以快速、方便地发布各种重要信息，比如政策法规、会议通知、重要通告等。同时，LED大屏也可以实现信息的定时定点发布，大大提高了信息发布的效率和准确性。</w:t>
      </w:r>
    </w:p>
    <w:p w14:paraId="62838FED">
      <w:pPr>
        <w:spacing w:line="450" w:lineRule="exact"/>
        <w:ind w:firstLine="480" w:firstLineChars="200"/>
        <w:rPr>
          <w:rFonts w:hint="eastAsia" w:ascii="宋体" w:hAnsi="宋体" w:eastAsia="宋体" w:cs="宋体"/>
          <w:sz w:val="24"/>
        </w:rPr>
      </w:pPr>
      <w:r>
        <w:rPr>
          <w:rFonts w:hint="eastAsia" w:ascii="宋体" w:hAnsi="宋体" w:eastAsia="宋体" w:cs="宋体"/>
          <w:sz w:val="24"/>
        </w:rPr>
        <w:t>2、显示效果好：大屏具有高亮度、高清晰度和高对比度的特点，可以呈现出更加清晰、鲜艳的图像和视频，以及更加生动、具有冲击力的文字和动画效果。这些特点可以更好地展示重要信息，吸引观众的眼球，同时也可以提高信息的传递效果和影响力。</w:t>
      </w:r>
    </w:p>
    <w:p w14:paraId="5BF9A781">
      <w:pPr>
        <w:spacing w:line="450" w:lineRule="exact"/>
        <w:ind w:firstLine="480" w:firstLineChars="200"/>
        <w:rPr>
          <w:rFonts w:hint="eastAsia" w:ascii="宋体" w:hAnsi="宋体" w:eastAsia="宋体" w:cs="宋体"/>
          <w:sz w:val="24"/>
        </w:rPr>
      </w:pPr>
      <w:r>
        <w:rPr>
          <w:rFonts w:hint="eastAsia" w:ascii="宋体" w:hAnsi="宋体" w:eastAsia="宋体" w:cs="宋体"/>
          <w:sz w:val="24"/>
        </w:rPr>
        <w:t>3、显示内容多样性：不仅可以展示文字和图片等静态信息，还可以展示各种动态视频、多媒体广告和特效字幕等，可以更加生动、直观地展现形象和政策内容，吸引观众的关注度和参与度。</w:t>
      </w:r>
    </w:p>
    <w:p w14:paraId="1C7FA5BC">
      <w:pPr>
        <w:spacing w:line="450" w:lineRule="exact"/>
        <w:ind w:firstLine="480" w:firstLineChars="200"/>
        <w:rPr>
          <w:rFonts w:hint="eastAsia" w:ascii="宋体" w:hAnsi="宋体" w:eastAsia="宋体" w:cs="宋体"/>
          <w:b/>
          <w:bCs/>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管理人员在田心校区或云龙校区通过网络成功登录后能方便、快捷系统控制后台，可以实现对信息发布大屏的控制，及时编辑、发布重要信息。为了保证信息发布大屏的兼容性、扩展性、集成性要求。本次采购的显示屏、信息发布盒必须与学校已有的信息发布平台兼容。</w:t>
      </w:r>
    </w:p>
    <w:p w14:paraId="7DF24D95">
      <w:pPr>
        <w:spacing w:line="450" w:lineRule="exact"/>
        <w:rPr>
          <w:rFonts w:hint="eastAsia" w:ascii="宋体" w:hAnsi="宋体" w:eastAsia="宋体" w:cs="宋体"/>
          <w:sz w:val="24"/>
        </w:rPr>
      </w:pPr>
    </w:p>
    <w:p w14:paraId="2CB118CA">
      <w:pPr>
        <w:spacing w:line="450" w:lineRule="exact"/>
        <w:ind w:firstLine="482" w:firstLineChars="200"/>
        <w:rPr>
          <w:rFonts w:hint="eastAsia" w:ascii="宋体" w:hAnsi="宋体" w:eastAsia="宋体" w:cs="宋体"/>
          <w:b/>
          <w:bCs/>
          <w:sz w:val="24"/>
        </w:rPr>
      </w:pPr>
      <w:r>
        <w:rPr>
          <w:rFonts w:hint="eastAsia" w:ascii="宋体" w:hAnsi="宋体" w:eastAsia="宋体" w:cs="宋体"/>
          <w:b/>
          <w:bCs/>
          <w:sz w:val="24"/>
        </w:rPr>
        <w:t>五、所需采购货物的技术规格、参数、工作条件、环境要求（必要时可提供技术文件、图纸、标准）</w:t>
      </w:r>
    </w:p>
    <w:p w14:paraId="7218E133">
      <w:pPr>
        <w:spacing w:before="156" w:beforeLines="50"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LED电子显示屏技术参数</w:t>
      </w:r>
    </w:p>
    <w:tbl>
      <w:tblPr>
        <w:tblStyle w:val="10"/>
        <w:tblW w:w="933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45"/>
        <w:gridCol w:w="7863"/>
      </w:tblGrid>
      <w:tr w14:paraId="5B49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shd w:val="clear" w:color="000000" w:fill="FFFFFF"/>
            <w:vAlign w:val="center"/>
          </w:tcPr>
          <w:p w14:paraId="6EAEEE7D">
            <w:pPr>
              <w:jc w:val="center"/>
            </w:pPr>
            <w:r>
              <w:rPr>
                <w:rFonts w:hint="eastAsia"/>
              </w:rPr>
              <w:t>序号</w:t>
            </w:r>
          </w:p>
        </w:tc>
        <w:tc>
          <w:tcPr>
            <w:tcW w:w="745" w:type="dxa"/>
            <w:shd w:val="clear" w:color="000000" w:fill="FFFFFF"/>
            <w:vAlign w:val="center"/>
          </w:tcPr>
          <w:p w14:paraId="693CD048">
            <w:r>
              <w:rPr>
                <w:rFonts w:hint="eastAsia"/>
              </w:rPr>
              <w:t>设备名称</w:t>
            </w:r>
          </w:p>
        </w:tc>
        <w:tc>
          <w:tcPr>
            <w:tcW w:w="7863" w:type="dxa"/>
            <w:shd w:val="clear" w:color="000000" w:fill="FFFFFF"/>
            <w:vAlign w:val="center"/>
          </w:tcPr>
          <w:p w14:paraId="38B3FD6F">
            <w:r>
              <w:rPr>
                <w:rFonts w:hint="eastAsia"/>
              </w:rPr>
              <w:t>详细技术参数</w:t>
            </w:r>
          </w:p>
        </w:tc>
      </w:tr>
      <w:tr w14:paraId="490C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724" w:type="dxa"/>
            <w:vAlign w:val="center"/>
          </w:tcPr>
          <w:p w14:paraId="2CA8195C">
            <w:pPr>
              <w:jc w:val="center"/>
            </w:pPr>
            <w:r>
              <w:rPr>
                <w:rFonts w:hint="eastAsia"/>
              </w:rPr>
              <w:t>1</w:t>
            </w:r>
          </w:p>
        </w:tc>
        <w:tc>
          <w:tcPr>
            <w:tcW w:w="745" w:type="dxa"/>
            <w:vAlign w:val="center"/>
          </w:tcPr>
          <w:p w14:paraId="0799233E">
            <w:r>
              <w:rPr>
                <w:rFonts w:hint="eastAsia"/>
              </w:rPr>
              <w:t>P2 LED全彩显示屏</w:t>
            </w:r>
          </w:p>
        </w:tc>
        <w:tc>
          <w:tcPr>
            <w:tcW w:w="7863" w:type="dxa"/>
            <w:shd w:val="clear" w:color="auto" w:fill="auto"/>
            <w:vAlign w:val="center"/>
          </w:tcPr>
          <w:p w14:paraId="63A4E587">
            <w:pPr>
              <w:rPr>
                <w:rFonts w:hint="eastAsia"/>
              </w:rPr>
            </w:pPr>
            <w:r>
              <w:rPr>
                <w:rFonts w:hint="eastAsia"/>
              </w:rPr>
              <w:t>1、1R1G1B三合一像素结构，像素点间距≤2.0mm，像素密度≥250000点/㎡；</w:t>
            </w:r>
            <w:r>
              <w:rPr>
                <w:rFonts w:hint="eastAsia"/>
              </w:rPr>
              <w:br w:type="textWrapping"/>
            </w:r>
            <w:r>
              <w:rPr>
                <w:rFonts w:hint="eastAsia"/>
              </w:rPr>
              <w:t>2、显示屏幕峰值亮度≥600cd/㎡,峰值功耗≤420W/㎡ ，平均功耗≤140W/㎡</w:t>
            </w:r>
            <w:r>
              <w:rPr>
                <w:rFonts w:hint="eastAsia"/>
              </w:rPr>
              <w:br w:type="textWrapping"/>
            </w:r>
            <w:r>
              <w:rPr>
                <w:rFonts w:hint="eastAsia"/>
              </w:rPr>
              <w:t>3、视网膜蓝光危害:符合 GB/T 20145-2006 标准要求,对样品发光器件(灯珠)蓝色光的波长进行测试。为保证产品屏幕光看起来柔和不刺眼,产品需要具备蓝光护眼多重过渡保护系统显示屏调到蓝光最亮状态下测试,蓝光危害加权辐亮度值(LB)应优于国标限量值≤100W·m-2·sr-1，并在2.8h内不造成对视网膜蓝光伤害(LB)，蓝光视网膜危害应属无危害类。</w:t>
            </w:r>
            <w:r>
              <w:rPr>
                <w:rFonts w:hint="eastAsia"/>
              </w:rPr>
              <w:br w:type="textWrapping"/>
            </w:r>
            <w:r>
              <w:rPr>
                <w:rFonts w:hint="eastAsia"/>
              </w:rPr>
              <w:t>4、依据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w:t>
            </w:r>
          </w:p>
          <w:p w14:paraId="5DDA5AFC">
            <w:pPr>
              <w:rPr>
                <w:rFonts w:hint="eastAsia"/>
              </w:rPr>
            </w:pPr>
            <w:r>
              <w:rPr>
                <w:rFonts w:hint="eastAsia"/>
                <w:color w:val="000000" w:themeColor="text1"/>
                <w:highlight w:val="none"/>
                <w:lang w:val="en-US" w:eastAsia="zh-CN"/>
                <w14:textFill>
                  <w14:solidFill>
                    <w14:schemeClr w14:val="tx1"/>
                  </w14:solidFill>
                </w14:textFill>
              </w:rPr>
              <w:t>5、依据“ SJ/T11590-2016”标准从显示屏正面分别观察支持信源接入状态显示,可通过物理按键、客户端、遥控器、设备自带Web 浏览器进行信源切换。</w:t>
            </w:r>
            <w:r>
              <w:rPr>
                <w:rFonts w:hint="eastAsia"/>
                <w:color w:val="000000" w:themeColor="text1"/>
                <w:highlight w:val="none"/>
                <w:lang w:val="en-US" w:eastAsia="zh-CN"/>
                <w14:textFill>
                  <w14:solidFill>
                    <w14:schemeClr w14:val="tx1"/>
                  </w14:solidFill>
                </w14:textFill>
              </w:rPr>
              <w:br w:type="textWrapping"/>
            </w:r>
            <w:r>
              <w:rPr>
                <w:rFonts w:hint="eastAsia"/>
                <w:color w:val="000000" w:themeColor="text1"/>
                <w:highlight w:val="none"/>
                <w:lang w:val="en-US" w:eastAsia="zh-CN"/>
                <w14:textFill>
                  <w14:solidFill>
                    <w14:schemeClr w14:val="tx1"/>
                  </w14:solidFill>
                </w14:textFill>
              </w:rPr>
              <w:t>6、支持通过 Web 浏览器查看 LED 整墙的概览信息和 LED 屏连线状态;支持查看行列网格展示屏幕接收卡规模,在Web 端鼠标移到网格上时,可展示该网格所属网口的所有接收卡单元并高亮展示,可展示网线连线顺序、网口号、工作状态。</w:t>
            </w:r>
            <w:r>
              <w:rPr>
                <w:rFonts w:hint="eastAsia"/>
                <w:color w:val="000000" w:themeColor="text1"/>
                <w:highlight w:val="none"/>
                <w:lang w:val="en-US" w:eastAsia="zh-CN"/>
                <w14:textFill>
                  <w14:solidFill>
                    <w14:schemeClr w14:val="tx1"/>
                  </w14:solidFill>
                </w14:textFill>
              </w:rPr>
              <w:br w:type="textWrapping"/>
            </w:r>
            <w:r>
              <w:rPr>
                <w:rFonts w:hint="eastAsia"/>
                <w:color w:val="000000" w:themeColor="text1"/>
                <w:highlight w:val="none"/>
                <w:lang w:val="en-US" w:eastAsia="zh-CN"/>
                <w14:textFill>
                  <w14:solidFill>
                    <w14:schemeClr w14:val="tx1"/>
                  </w14:solidFill>
                </w14:textFill>
              </w:rPr>
              <w:t>7、支持从客户端、设备自带 Web 浏览器查看绑定的接收卡序号、接收卡型号、接收卡软件版本、网口 link 状态、接收卡电压、接收卡温度。</w:t>
            </w:r>
            <w:r>
              <w:rPr>
                <w:rFonts w:hint="eastAsia"/>
              </w:rPr>
              <w:br w:type="textWrapping"/>
            </w:r>
            <w:r>
              <w:rPr>
                <w:rFonts w:hint="eastAsia" w:eastAsia="宋体"/>
                <w:lang w:val="en-US" w:eastAsia="zh-CN"/>
              </w:rPr>
              <w:t>8</w:t>
            </w:r>
            <w:r>
              <w:rPr>
                <w:rFonts w:hint="eastAsia"/>
              </w:rPr>
              <w:t>、画面均匀一致，无黑线，实现真正无缝拼接，高刷新频率，高灰度处理，显示画面细腻流畅</w:t>
            </w:r>
            <w:r>
              <w:rPr>
                <w:rFonts w:hint="eastAsia"/>
              </w:rPr>
              <w:br w:type="textWrapping"/>
            </w:r>
            <w:r>
              <w:rPr>
                <w:rFonts w:hint="eastAsia" w:eastAsia="宋体"/>
                <w:lang w:val="en-US" w:eastAsia="zh-CN"/>
              </w:rPr>
              <w:t>9</w:t>
            </w:r>
            <w:r>
              <w:rPr>
                <w:rFonts w:hint="eastAsia"/>
              </w:rPr>
              <w:t>、 显示屏尺寸：宽≥5.44 米，高≥ 2.72 米，整体面积≥14.80 ㎡，整屏分辨率≥2720*1360</w:t>
            </w:r>
            <w:r>
              <w:rPr>
                <w:rFonts w:hint="eastAsia"/>
              </w:rPr>
              <w:br w:type="textWrapping"/>
            </w:r>
            <w:r>
              <w:rPr>
                <w:rFonts w:hint="eastAsia" w:eastAsia="宋体"/>
                <w:lang w:val="en-US" w:eastAsia="zh-CN"/>
              </w:rPr>
              <w:t>10</w:t>
            </w:r>
            <w:r>
              <w:rPr>
                <w:rFonts w:hint="eastAsia"/>
              </w:rPr>
              <w:t>、3. 前维护设计，支持灯板、电源、接收卡正面拆卸，水平视角≥160°，垂直视角≥160°；</w:t>
            </w:r>
            <w:r>
              <w:rPr>
                <w:rFonts w:hint="eastAsia"/>
              </w:rPr>
              <w:br w:type="textWrapping"/>
            </w:r>
            <w:r>
              <w:rPr>
                <w:rFonts w:hint="eastAsia" w:eastAsia="宋体"/>
                <w:lang w:val="en-US" w:eastAsia="zh-CN"/>
              </w:rPr>
              <w:t>11</w:t>
            </w:r>
            <w:r>
              <w:rPr>
                <w:rFonts w:hint="eastAsia"/>
              </w:rPr>
              <w:t>、换帧频率≥60 Hz，刷新率≥3840 Hz，灰度等级≥16 bit； 白平衡亮度不低于500 cd/㎡，色温不低于3000K-10000K可调，对比度不低于3000：1，色度均匀性± 0.003Cx，Cy之内，亮度均匀性≥ 97％；</w:t>
            </w:r>
          </w:p>
          <w:p w14:paraId="550019AE">
            <w:pPr>
              <w:rPr>
                <w:rFonts w:hint="eastAsia"/>
              </w:rPr>
            </w:pPr>
            <w:r>
              <w:rPr>
                <w:rFonts w:hint="eastAsia"/>
                <w:lang w:val="en-US" w:eastAsia="zh-CN"/>
              </w:rPr>
              <w:t>12、</w:t>
            </w:r>
            <w:bookmarkStart w:id="1" w:name="OLE_LINK3"/>
            <w:r>
              <w:rPr>
                <w:rFonts w:hint="eastAsia"/>
                <w:lang w:val="en-US" w:eastAsia="zh-CN"/>
              </w:rPr>
              <w:t>为保证货物售后服务质量，LED显示屏产品制造商应具有充足的售后资源及规范的管理制度，具备符合《CTEAS售后服务体系完善程度认证评价规范》（CTEAS1001）的售后服务体系完善程度认证七星证书（提供有效证明材料复印件）。</w:t>
            </w:r>
            <w:bookmarkEnd w:id="1"/>
            <w:r>
              <w:rPr>
                <w:rFonts w:hint="eastAsia"/>
                <w:lang w:val="en-US" w:eastAsia="zh-CN"/>
              </w:rPr>
              <w:br w:type="textWrapping"/>
            </w:r>
            <w:r>
              <w:rPr>
                <w:rFonts w:hint="eastAsia"/>
                <w:lang w:val="en-US" w:eastAsia="zh-CN"/>
              </w:rPr>
              <w:t>13、为保证货物供应产品质量，LED产品制造商应在产品质量管理、设计、制造、风险控制等方面均处于行业较先进水平，需具备CCC现场检测实验室资质（提供有效证明材料复印件）。</w:t>
            </w:r>
            <w:r>
              <w:rPr>
                <w:rFonts w:hint="eastAsia"/>
                <w:lang w:val="en-US" w:eastAsia="zh-CN"/>
              </w:rPr>
              <w:br w:type="textWrapping"/>
            </w:r>
            <w:r>
              <w:rPr>
                <w:rFonts w:hint="eastAsia"/>
                <w:lang w:val="en-US" w:eastAsia="zh-CN"/>
              </w:rPr>
              <w:t>14、LED产品制造商应具备较高智能制造发展水平，应具备符合GB/T 39116-2020、GB/T 39117-2020标准的智能制造能力成熟度标准符合性证书（提供有效证明材料复印件）。</w:t>
            </w:r>
          </w:p>
        </w:tc>
      </w:tr>
      <w:tr w14:paraId="7C59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Align w:val="center"/>
          </w:tcPr>
          <w:p w14:paraId="2D5BF69C">
            <w:pPr>
              <w:jc w:val="center"/>
              <w:rPr>
                <w:rFonts w:eastAsia="宋体"/>
              </w:rPr>
            </w:pPr>
            <w:r>
              <w:rPr>
                <w:rFonts w:hint="eastAsia" w:eastAsia="宋体"/>
              </w:rPr>
              <w:t>2</w:t>
            </w:r>
          </w:p>
        </w:tc>
        <w:tc>
          <w:tcPr>
            <w:tcW w:w="745" w:type="dxa"/>
            <w:vAlign w:val="center"/>
          </w:tcPr>
          <w:p w14:paraId="074F866C">
            <w:pPr>
              <w:rPr>
                <w:rFonts w:eastAsia="宋体"/>
              </w:rPr>
            </w:pPr>
            <w:r>
              <w:rPr>
                <w:rFonts w:hint="eastAsia" w:eastAsia="宋体"/>
              </w:rPr>
              <w:t>P10全户外单红显示屏</w:t>
            </w:r>
          </w:p>
        </w:tc>
        <w:tc>
          <w:tcPr>
            <w:tcW w:w="7863" w:type="dxa"/>
            <w:shd w:val="clear" w:color="auto" w:fill="auto"/>
            <w:vAlign w:val="center"/>
          </w:tcPr>
          <w:p w14:paraId="64651024">
            <w:pPr>
              <w:numPr>
                <w:ilvl w:val="0"/>
                <w:numId w:val="2"/>
              </w:numPr>
            </w:pPr>
            <w:r>
              <w:rPr>
                <w:rFonts w:hint="eastAsia"/>
              </w:rPr>
              <w:t>高亮度，高稳定性；恒流驱动，低噪音。</w:t>
            </w:r>
          </w:p>
          <w:p w14:paraId="676F9901">
            <w:pPr>
              <w:numPr>
                <w:ilvl w:val="0"/>
                <w:numId w:val="2"/>
              </w:numPr>
            </w:pPr>
            <w:r>
              <w:rPr>
                <w:rFonts w:hint="eastAsia"/>
              </w:rPr>
              <w:t>物理间距10mm，密度10000 点/平方，最佳视角+-80度，垂直+-75度；</w:t>
            </w:r>
          </w:p>
          <w:p w14:paraId="18F71429">
            <w:pPr>
              <w:numPr>
                <w:ilvl w:val="0"/>
                <w:numId w:val="2"/>
              </w:numPr>
            </w:pPr>
            <w:r>
              <w:rPr>
                <w:rFonts w:hint="eastAsia"/>
              </w:rPr>
              <w:t>扫描方式：1/4扫恒流驱动，接口Hub12；</w:t>
            </w:r>
          </w:p>
          <w:p w14:paraId="646335DD">
            <w:pPr>
              <w:numPr>
                <w:ilvl w:val="0"/>
                <w:numId w:val="2"/>
              </w:numPr>
            </w:pPr>
            <w:r>
              <w:rPr>
                <w:rFonts w:hint="eastAsia"/>
              </w:rPr>
              <w:t>显示屏面积：9.5平方米；</w:t>
            </w:r>
          </w:p>
          <w:p w14:paraId="7946D7CD">
            <w:pPr>
              <w:numPr>
                <w:ilvl w:val="0"/>
                <w:numId w:val="2"/>
              </w:numPr>
            </w:pPr>
            <w:r>
              <w:rPr>
                <w:rFonts w:hint="eastAsia"/>
              </w:rPr>
              <w:t>显示屏支持节目远程发布管理。</w:t>
            </w:r>
          </w:p>
        </w:tc>
      </w:tr>
      <w:tr w14:paraId="0AE6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Align w:val="center"/>
          </w:tcPr>
          <w:p w14:paraId="01AE2FAF">
            <w:pPr>
              <w:jc w:val="center"/>
            </w:pPr>
            <w:r>
              <w:rPr>
                <w:rFonts w:hint="eastAsia"/>
              </w:rPr>
              <w:t>3</w:t>
            </w:r>
          </w:p>
        </w:tc>
        <w:tc>
          <w:tcPr>
            <w:tcW w:w="745" w:type="dxa"/>
            <w:shd w:val="clear" w:color="auto" w:fill="auto"/>
            <w:vAlign w:val="center"/>
          </w:tcPr>
          <w:p w14:paraId="16564CE2">
            <w:r>
              <w:rPr>
                <w:rFonts w:hint="eastAsia"/>
              </w:rPr>
              <w:t>二合一拼控器</w:t>
            </w:r>
          </w:p>
        </w:tc>
        <w:tc>
          <w:tcPr>
            <w:tcW w:w="7863" w:type="dxa"/>
            <w:shd w:val="clear" w:color="auto" w:fill="auto"/>
            <w:vAlign w:val="center"/>
          </w:tcPr>
          <w:p w14:paraId="39BA8909">
            <w:pPr>
              <w:numPr>
                <w:ilvl w:val="0"/>
                <w:numId w:val="3"/>
              </w:numPr>
              <w:rPr>
                <w:rFonts w:hint="eastAsia"/>
              </w:rPr>
            </w:pPr>
            <w:bookmarkStart w:id="2" w:name="OLE_LINK4"/>
            <w:r>
              <w:rPr>
                <w:rFonts w:hint="eastAsia"/>
              </w:rPr>
              <w:t>输入：HDMI1.4×3、USB2.0×1、DEBUG×1、网络通信网口×2、RS485×1、IR IN×1.输出：3.5mm Line out×1，HDMI (Monitor) ×1，带载网口×6,按键：开关×1、功能按键×3</w:t>
            </w:r>
          </w:p>
          <w:p w14:paraId="59E92656">
            <w:pPr>
              <w:numPr>
                <w:ilvl w:val="0"/>
                <w:numId w:val="3"/>
              </w:numPr>
            </w:pPr>
            <w:r>
              <w:rPr>
                <w:rFonts w:hint="eastAsia"/>
                <w:lang w:val="en-US" w:eastAsia="zh-CN"/>
              </w:rPr>
              <w:t>控制网口≥2，支持TCP/IP网络协议，双网口均可用于控制设备或设备网络级联，其中一个接口用于控制设备时，另外一个网口就用于设备网络级联。（提供首页具有CNAS或CMA标识的第三方检测报告复印件）</w:t>
            </w:r>
            <w:r>
              <w:rPr>
                <w:rFonts w:hint="eastAsia"/>
                <w:lang w:val="en-US" w:eastAsia="zh-CN"/>
              </w:rPr>
              <w:br w:type="textWrapping"/>
            </w:r>
            <w:r>
              <w:rPr>
                <w:rFonts w:hint="eastAsia"/>
                <w:lang w:val="en-US" w:eastAsia="zh-CN"/>
              </w:rPr>
              <w:t>3、信号输入：≥3路HDMI1.4，每路支持最大分辨率：260W@60Hz,可自定义分辨率,极限宽度：4096,极限高度：4096,支持HDCP（提供首页具有CNAS或CMA标识的第三方检测报告复印件）</w:t>
            </w:r>
            <w:r>
              <w:rPr>
                <w:rFonts w:hint="eastAsia"/>
              </w:rPr>
              <w:br w:type="textWrapping"/>
            </w:r>
            <w:r>
              <w:rPr>
                <w:rFonts w:hint="eastAsia" w:eastAsia="宋体"/>
                <w:lang w:val="en-US" w:eastAsia="zh-CN"/>
              </w:rPr>
              <w:t>4</w:t>
            </w:r>
            <w:r>
              <w:rPr>
                <w:rFonts w:hint="eastAsia"/>
              </w:rPr>
              <w:t>、单网口带载最大65W像素，设备总带载最大390W像素。</w:t>
            </w:r>
            <w:r>
              <w:rPr>
                <w:rFonts w:hint="eastAsia"/>
              </w:rPr>
              <w:br w:type="textWrapping"/>
            </w:r>
            <w:r>
              <w:rPr>
                <w:rFonts w:hint="eastAsia" w:eastAsia="宋体"/>
                <w:lang w:val="en-US" w:eastAsia="zh-CN"/>
              </w:rPr>
              <w:t>5</w:t>
            </w:r>
            <w:r>
              <w:rPr>
                <w:rFonts w:hint="eastAsia"/>
              </w:rPr>
              <w:t>、支持通过设备自带Web浏览器、客户端、遥控器操作，对图像的图像的亮度、色温以及图像模式进行调节设置。</w:t>
            </w:r>
          </w:p>
          <w:p w14:paraId="078B515F">
            <w:pPr>
              <w:numPr>
                <w:ilvl w:val="0"/>
                <w:numId w:val="0"/>
              </w:numPr>
              <w:rPr>
                <w:rFonts w:hint="eastAsia"/>
              </w:rPr>
            </w:pPr>
            <w:r>
              <w:rPr>
                <w:rFonts w:hint="eastAsia"/>
                <w:lang w:val="en-US" w:eastAsia="zh-CN"/>
              </w:rPr>
              <w:t>6、支持亮度调节，支持通过客户端、遥控器、物理按键进行调节。（提供首页具有CNAS或CMA标识的第三方检测报告复印件）</w:t>
            </w:r>
            <w:r>
              <w:rPr>
                <w:rFonts w:hint="eastAsia"/>
              </w:rPr>
              <w:br w:type="textWrapping"/>
            </w:r>
            <w:r>
              <w:rPr>
                <w:rFonts w:hint="eastAsia"/>
                <w:lang w:val="en-US" w:eastAsia="zh-CN"/>
              </w:rPr>
              <w:t>7</w:t>
            </w:r>
            <w:r>
              <w:rPr>
                <w:rFonts w:hint="eastAsia"/>
              </w:rPr>
              <w:t>、支持红绿蓝三色多级调节。支持通过客户端、遥控器进行调节。</w:t>
            </w:r>
            <w:r>
              <w:rPr>
                <w:rFonts w:hint="eastAsia"/>
              </w:rPr>
              <w:br w:type="textWrapping"/>
            </w:r>
            <w:r>
              <w:rPr>
                <w:rFonts w:hint="eastAsia"/>
                <w:lang w:val="en-US" w:eastAsia="zh-CN"/>
              </w:rPr>
              <w:t>8</w:t>
            </w:r>
            <w:r>
              <w:rPr>
                <w:rFonts w:hint="eastAsia"/>
              </w:rPr>
              <w:t>、支持动态节能算法，开启动态节能算法后，相同显示内容屏幕功耗降低30%。</w:t>
            </w:r>
          </w:p>
          <w:p w14:paraId="743617F0">
            <w:pPr>
              <w:numPr>
                <w:ilvl w:val="0"/>
                <w:numId w:val="0"/>
              </w:numPr>
              <w:rPr>
                <w:rFonts w:hint="eastAsia"/>
              </w:rPr>
            </w:pPr>
            <w:r>
              <w:rPr>
                <w:rFonts w:hint="eastAsia"/>
                <w:lang w:val="en-US" w:eastAsia="zh-CN"/>
              </w:rPr>
              <w:t>9、支持通过设备双千兆网络接口，通过TCP/IP协议实现多设备级联管理。支持接入学校现有信息发布管理平台统一管理，实现切换信号源、远程重启、自检等操作，提供对接承诺函并加盖供应商公司公章。</w:t>
            </w:r>
            <w:r>
              <w:rPr>
                <w:rFonts w:hint="eastAsia"/>
              </w:rPr>
              <w:br w:type="textWrapping"/>
            </w:r>
            <w:r>
              <w:rPr>
                <w:rFonts w:hint="eastAsia" w:eastAsia="宋体"/>
                <w:lang w:val="en-US" w:eastAsia="zh-CN"/>
              </w:rPr>
              <w:t>10</w:t>
            </w:r>
            <w:r>
              <w:rPr>
                <w:rFonts w:hint="eastAsia"/>
              </w:rPr>
              <w:t>、可通过物理按键、客户端、Web浏览器方式对屏幕红、绿、蓝、白、条纹逐行扫描进行自检操作。</w:t>
            </w:r>
          </w:p>
          <w:p w14:paraId="7EC529FB">
            <w:pPr>
              <w:numPr>
                <w:ilvl w:val="0"/>
                <w:numId w:val="0"/>
              </w:numPr>
            </w:pPr>
            <w:r>
              <w:rPr>
                <w:rFonts w:hint="eastAsia"/>
                <w:lang w:val="en-US" w:eastAsia="zh-CN"/>
              </w:rPr>
              <w:t>11、支持手动校时，支持 NTP网络校时。（提供首页具有CNAS或CMA标识的第三方检测报告复印件）。</w:t>
            </w:r>
            <w:r>
              <w:rPr>
                <w:rFonts w:hint="eastAsia"/>
              </w:rPr>
              <w:br w:type="textWrapping"/>
            </w:r>
            <w:r>
              <w:rPr>
                <w:rFonts w:hint="eastAsia" w:eastAsia="宋体"/>
                <w:lang w:val="en-US" w:eastAsia="zh-CN"/>
              </w:rPr>
              <w:t>12</w:t>
            </w:r>
            <w:r>
              <w:rPr>
                <w:rFonts w:hint="eastAsia"/>
              </w:rPr>
              <w:t>、支持≥3路信号源同时上墙显示。</w:t>
            </w:r>
            <w:r>
              <w:rPr>
                <w:rFonts w:hint="eastAsia"/>
              </w:rPr>
              <w:br w:type="textWrapping"/>
            </w:r>
            <w:r>
              <w:rPr>
                <w:rFonts w:hint="eastAsia" w:eastAsia="宋体"/>
                <w:lang w:val="en-US" w:eastAsia="zh-CN"/>
              </w:rPr>
              <w:t>13</w:t>
            </w:r>
            <w:r>
              <w:rPr>
                <w:rFonts w:hint="eastAsia"/>
              </w:rPr>
              <w:t>、字幕单设备最大支持宽度为32760，内容支持滚动，支持设置滚动速度 最大32760。</w:t>
            </w:r>
            <w:bookmarkEnd w:id="2"/>
          </w:p>
        </w:tc>
      </w:tr>
      <w:tr w14:paraId="5CD6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24" w:type="dxa"/>
            <w:vAlign w:val="center"/>
          </w:tcPr>
          <w:p w14:paraId="48674CEF">
            <w:pPr>
              <w:jc w:val="center"/>
            </w:pPr>
            <w:bookmarkStart w:id="3" w:name="OLE_LINK5" w:colFirst="2" w:colLast="2"/>
            <w:r>
              <w:rPr>
                <w:rFonts w:hint="eastAsia"/>
              </w:rPr>
              <w:t>4</w:t>
            </w:r>
          </w:p>
        </w:tc>
        <w:tc>
          <w:tcPr>
            <w:tcW w:w="745" w:type="dxa"/>
            <w:vAlign w:val="center"/>
          </w:tcPr>
          <w:p w14:paraId="6EB906F1">
            <w:r>
              <w:rPr>
                <w:rFonts w:hint="eastAsia"/>
              </w:rPr>
              <w:t>信息发布盒子</w:t>
            </w:r>
          </w:p>
        </w:tc>
        <w:tc>
          <w:tcPr>
            <w:tcW w:w="7863" w:type="dxa"/>
            <w:shd w:val="clear" w:color="auto" w:fill="auto"/>
            <w:vAlign w:val="center"/>
          </w:tcPr>
          <w:p w14:paraId="46E267BF">
            <w:r>
              <w:rPr>
                <w:rFonts w:hint="eastAsia"/>
              </w:rPr>
              <w:t>1、</w:t>
            </w:r>
            <w:r>
              <w:t>支持节目自定义分辨率，横/竖屏转换，节目支持最大32个页面，单个页面最多包含16个窗口；</w:t>
            </w:r>
          </w:p>
          <w:p w14:paraId="19432727">
            <w:r>
              <w:rPr>
                <w:rFonts w:hint="eastAsia"/>
              </w:rPr>
              <w:t>2、</w:t>
            </w:r>
            <w:r>
              <w:t>支持素材列表视图（可视化窗口）显示和列表显示，支持素材模糊搜索，或者按照查询条件精确搜索</w:t>
            </w:r>
            <w:r>
              <w:br w:type="textWrapping"/>
            </w:r>
            <w:r>
              <w:rPr>
                <w:rFonts w:hint="eastAsia"/>
              </w:rPr>
              <w:t>3、</w:t>
            </w:r>
            <w:r>
              <w:t>支持窗口大小/坐标自定义设置，支持窗口对齐，窗口自动吸附，支持节目窗口按实际尺寸显示和窗口尺寸显示；支持在线文本编辑；支持窗口锁定/解锁、窗口隐藏/显示 、窗口置顶/置底；支持实时预览节目制作效果，可视化显示。</w:t>
            </w:r>
            <w:r>
              <w:br w:type="textWrapping"/>
            </w:r>
            <w:r>
              <w:rPr>
                <w:rFonts w:hint="eastAsia"/>
              </w:rPr>
              <w:t>4、</w:t>
            </w:r>
            <w:r>
              <w:t>支持新建节目,修改节目(名称、分辨率、属性、描述、窗口),删除节目,复制节目(复制节目模板和完全复制两种),节目预览,审核节目(通过、未通过)，支持节目快速发布，节目列表支持视图（可视化窗口）显示和列表显示、</w:t>
            </w:r>
            <w:r>
              <w:br w:type="textWrapping"/>
            </w:r>
            <w:r>
              <w:rPr>
                <w:rFonts w:hint="eastAsia"/>
              </w:rPr>
              <w:t>5、</w:t>
            </w:r>
            <w:r>
              <w:t>支持素材审核、节目审核、日程审核</w:t>
            </w:r>
            <w:r>
              <w:br w:type="textWrapping"/>
            </w:r>
            <w:r>
              <w:rPr>
                <w:rFonts w:hint="eastAsia"/>
              </w:rPr>
              <w:t>6、</w:t>
            </w:r>
            <w:r>
              <w:t>支持向显示终端发布“滚动字幕—跑马灯信息”；支持字体大小、颜色、滚动方向、速度与位置调整支持预览</w:t>
            </w:r>
          </w:p>
          <w:p w14:paraId="465A26C2">
            <w:r>
              <w:rPr>
                <w:rFonts w:hint="eastAsia"/>
              </w:rPr>
              <w:t>7、</w:t>
            </w:r>
            <w:r>
              <w:t>系统支持基于TCP/IP网络结构下，B/S+C/S的混合结构的系统，控制连接显示设备，可以脱机独立工作以及联机在线工作，在服务器瘫痪或网络断开的情况下，不影响媒体显示端的播放和显示。</w:t>
            </w:r>
            <w:r>
              <w:br w:type="textWrapping"/>
            </w:r>
            <w:r>
              <w:rPr>
                <w:rFonts w:hint="eastAsia"/>
              </w:rPr>
              <w:t>8、</w:t>
            </w:r>
            <w:r>
              <w:t xml:space="preserve">支持HDMI任意分辨率（480*360 ~ 3840*2160）配置输出功能 </w:t>
            </w:r>
            <w:r>
              <w:br w:type="textWrapping"/>
            </w:r>
            <w:r>
              <w:rPr>
                <w:rFonts w:hint="eastAsia"/>
              </w:rPr>
              <w:t>9、</w:t>
            </w:r>
            <w:r>
              <w:t>支持通过设备网络接口，通过TCP/IP协议实现设备管理。支持接入学校现有信息发布管理平台统一管理，实现统一发布信息显示内容、远程重启、自检等操作，提供对接承诺函并加盖</w:t>
            </w:r>
            <w:r>
              <w:rPr>
                <w:rFonts w:hint="eastAsia" w:eastAsia="宋体"/>
                <w:lang w:val="en-US" w:eastAsia="zh-CN"/>
              </w:rPr>
              <w:t>供应商公司</w:t>
            </w:r>
            <w:r>
              <w:t>公章。</w:t>
            </w:r>
          </w:p>
        </w:tc>
      </w:tr>
      <w:bookmarkEnd w:id="3"/>
      <w:tr w14:paraId="3346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4" w:type="dxa"/>
            <w:vAlign w:val="center"/>
          </w:tcPr>
          <w:p w14:paraId="72D7AEC1">
            <w:pPr>
              <w:jc w:val="center"/>
            </w:pPr>
            <w:r>
              <w:rPr>
                <w:rFonts w:hint="eastAsia"/>
              </w:rPr>
              <w:t>5</w:t>
            </w:r>
          </w:p>
        </w:tc>
        <w:tc>
          <w:tcPr>
            <w:tcW w:w="745" w:type="dxa"/>
            <w:shd w:val="clear" w:color="auto" w:fill="auto"/>
            <w:vAlign w:val="center"/>
          </w:tcPr>
          <w:p w14:paraId="27685682">
            <w:pPr>
              <w:widowControl/>
              <w:jc w:val="left"/>
              <w:textAlignment w:val="center"/>
              <w:rPr>
                <w:rFonts w:hint="eastAsia" w:ascii="宋体" w:hAnsi="宋体" w:eastAsia="宋体" w:cs="宋体"/>
                <w:color w:val="000000"/>
                <w:sz w:val="24"/>
              </w:rPr>
            </w:pPr>
            <w:r>
              <w:rPr>
                <w:rFonts w:hint="eastAsia" w:eastAsia="宋体"/>
              </w:rPr>
              <w:t>远程信息发布终端</w:t>
            </w:r>
          </w:p>
        </w:tc>
        <w:tc>
          <w:tcPr>
            <w:tcW w:w="7863" w:type="dxa"/>
            <w:vAlign w:val="center"/>
          </w:tcPr>
          <w:p w14:paraId="6F9077E1">
            <w:pPr>
              <w:rPr>
                <w:rFonts w:eastAsia="宋体"/>
              </w:rPr>
            </w:pPr>
            <w:r>
              <w:rPr>
                <w:rFonts w:hint="eastAsia" w:eastAsia="宋体"/>
              </w:rPr>
              <w:t>远程发布节目，支持WEB管理和手机控制</w:t>
            </w:r>
          </w:p>
        </w:tc>
      </w:tr>
      <w:tr w14:paraId="7CB8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4" w:type="dxa"/>
            <w:vAlign w:val="center"/>
          </w:tcPr>
          <w:p w14:paraId="1C6192FC">
            <w:pPr>
              <w:jc w:val="center"/>
            </w:pPr>
            <w:r>
              <w:rPr>
                <w:rFonts w:hint="eastAsia"/>
              </w:rPr>
              <w:t>6</w:t>
            </w:r>
          </w:p>
        </w:tc>
        <w:tc>
          <w:tcPr>
            <w:tcW w:w="745" w:type="dxa"/>
            <w:shd w:val="clear" w:color="auto" w:fill="auto"/>
            <w:vAlign w:val="center"/>
          </w:tcPr>
          <w:p w14:paraId="3CBE973D">
            <w:pPr>
              <w:jc w:val="left"/>
              <w:rPr>
                <w:rFonts w:eastAsia="宋体"/>
              </w:rPr>
            </w:pPr>
            <w:r>
              <w:rPr>
                <w:rFonts w:hint="eastAsia" w:eastAsia="宋体"/>
              </w:rPr>
              <w:t>远程继电器开关</w:t>
            </w:r>
          </w:p>
        </w:tc>
        <w:tc>
          <w:tcPr>
            <w:tcW w:w="7863" w:type="dxa"/>
            <w:shd w:val="clear" w:color="auto" w:fill="auto"/>
            <w:vAlign w:val="center"/>
          </w:tcPr>
          <w:p w14:paraId="09A64BF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远程控制及定时开关</w:t>
            </w:r>
          </w:p>
        </w:tc>
      </w:tr>
      <w:tr w14:paraId="1DAA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Align w:val="center"/>
          </w:tcPr>
          <w:p w14:paraId="2011917A">
            <w:pPr>
              <w:jc w:val="center"/>
            </w:pPr>
            <w:r>
              <w:rPr>
                <w:rFonts w:hint="eastAsia"/>
              </w:rPr>
              <w:t>7</w:t>
            </w:r>
          </w:p>
        </w:tc>
        <w:tc>
          <w:tcPr>
            <w:tcW w:w="745" w:type="dxa"/>
            <w:shd w:val="clear" w:color="auto" w:fill="auto"/>
            <w:vAlign w:val="center"/>
          </w:tcPr>
          <w:p w14:paraId="31010739">
            <w:pPr>
              <w:jc w:val="left"/>
              <w:rPr>
                <w:rFonts w:eastAsia="宋体"/>
              </w:rPr>
            </w:pPr>
            <w:r>
              <w:rPr>
                <w:rFonts w:hint="eastAsia" w:eastAsia="宋体"/>
              </w:rPr>
              <w:t>异步接收控制卡</w:t>
            </w:r>
          </w:p>
        </w:tc>
        <w:tc>
          <w:tcPr>
            <w:tcW w:w="7863" w:type="dxa"/>
            <w:shd w:val="clear" w:color="auto" w:fill="auto"/>
            <w:vAlign w:val="center"/>
          </w:tcPr>
          <w:p w14:paraId="359AD9B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包含接收卡和转接板</w:t>
            </w:r>
          </w:p>
        </w:tc>
      </w:tr>
      <w:tr w14:paraId="5F04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4" w:type="dxa"/>
            <w:vAlign w:val="center"/>
          </w:tcPr>
          <w:p w14:paraId="40D147C5">
            <w:pPr>
              <w:jc w:val="center"/>
            </w:pPr>
            <w:r>
              <w:rPr>
                <w:rFonts w:hint="eastAsia"/>
              </w:rPr>
              <w:t>8</w:t>
            </w:r>
          </w:p>
        </w:tc>
        <w:tc>
          <w:tcPr>
            <w:tcW w:w="745" w:type="dxa"/>
            <w:vAlign w:val="center"/>
          </w:tcPr>
          <w:p w14:paraId="393CC6FB">
            <w:r>
              <w:rPr>
                <w:rFonts w:hint="eastAsia"/>
              </w:rPr>
              <w:t>辅材</w:t>
            </w:r>
          </w:p>
        </w:tc>
        <w:tc>
          <w:tcPr>
            <w:tcW w:w="7863" w:type="dxa"/>
            <w:vAlign w:val="center"/>
          </w:tcPr>
          <w:p w14:paraId="460B2869">
            <w:pPr>
              <w:rPr>
                <w:rFonts w:eastAsia="宋体"/>
              </w:rPr>
            </w:pPr>
            <w:r>
              <w:rPr>
                <w:rFonts w:hint="eastAsia" w:eastAsia="宋体"/>
              </w:rPr>
              <w:t>模组连接线16P控制线、超5类非屏蔽国标网线、RVV4.0三芯电源线、阻燃PVC线管</w:t>
            </w:r>
          </w:p>
        </w:tc>
      </w:tr>
      <w:tr w14:paraId="75F4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24" w:type="dxa"/>
            <w:vAlign w:val="center"/>
          </w:tcPr>
          <w:p w14:paraId="6E83D875">
            <w:pPr>
              <w:jc w:val="center"/>
            </w:pPr>
            <w:r>
              <w:rPr>
                <w:rFonts w:hint="eastAsia"/>
              </w:rPr>
              <w:t>9</w:t>
            </w:r>
          </w:p>
        </w:tc>
        <w:tc>
          <w:tcPr>
            <w:tcW w:w="745" w:type="dxa"/>
            <w:vAlign w:val="center"/>
          </w:tcPr>
          <w:p w14:paraId="351A0B31">
            <w:r>
              <w:rPr>
                <w:rFonts w:hint="eastAsia"/>
              </w:rPr>
              <w:t>备品备件</w:t>
            </w:r>
          </w:p>
        </w:tc>
        <w:tc>
          <w:tcPr>
            <w:tcW w:w="7863" w:type="dxa"/>
            <w:vAlign w:val="center"/>
          </w:tcPr>
          <w:p w14:paraId="4C0FFAC9">
            <w:pPr>
              <w:rPr>
                <w:rFonts w:eastAsia="宋体"/>
              </w:rPr>
            </w:pPr>
            <w:r>
              <w:rPr>
                <w:rFonts w:hint="eastAsia" w:eastAsia="宋体"/>
              </w:rPr>
              <w:t>数量：2套、规格：</w:t>
            </w:r>
            <w:r>
              <w:rPr>
                <w:rFonts w:hint="eastAsia"/>
              </w:rPr>
              <w:t>同品牌同批次</w:t>
            </w:r>
            <w:r>
              <w:rPr>
                <w:rFonts w:hint="eastAsia" w:eastAsia="宋体"/>
              </w:rPr>
              <w:t>（显示模组）</w:t>
            </w:r>
          </w:p>
        </w:tc>
      </w:tr>
      <w:tr w14:paraId="2A0D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4" w:type="dxa"/>
            <w:vAlign w:val="center"/>
          </w:tcPr>
          <w:p w14:paraId="10FD4F2C">
            <w:pPr>
              <w:jc w:val="center"/>
            </w:pPr>
            <w:r>
              <w:rPr>
                <w:rFonts w:hint="eastAsia"/>
              </w:rPr>
              <w:t>10</w:t>
            </w:r>
          </w:p>
        </w:tc>
        <w:tc>
          <w:tcPr>
            <w:tcW w:w="745" w:type="dxa"/>
            <w:vAlign w:val="center"/>
          </w:tcPr>
          <w:p w14:paraId="4C4227A6">
            <w:r>
              <w:rPr>
                <w:rFonts w:hint="eastAsia"/>
              </w:rPr>
              <w:t>交流配电柜</w:t>
            </w:r>
          </w:p>
        </w:tc>
        <w:tc>
          <w:tcPr>
            <w:tcW w:w="7863" w:type="dxa"/>
            <w:shd w:val="clear" w:color="auto" w:fill="auto"/>
            <w:vAlign w:val="center"/>
          </w:tcPr>
          <w:p w14:paraId="480A9C62">
            <w:r>
              <w:rPr>
                <w:rFonts w:hint="eastAsia"/>
              </w:rPr>
              <w:t>1、配电柜额定功率≥10KW，具备3个单相回路。</w:t>
            </w:r>
            <w:r>
              <w:rPr>
                <w:rFonts w:hint="eastAsia"/>
              </w:rPr>
              <w:br w:type="textWrapping"/>
            </w:r>
            <w:r>
              <w:rPr>
                <w:rFonts w:hint="eastAsia"/>
              </w:rPr>
              <w:t>2、可通过RS485接口读取配电柜内部温度。</w:t>
            </w:r>
            <w:r>
              <w:rPr>
                <w:rFonts w:hint="eastAsia"/>
              </w:rPr>
              <w:br w:type="textWrapping"/>
            </w:r>
            <w:r>
              <w:rPr>
                <w:rFonts w:hint="eastAsia"/>
              </w:rPr>
              <w:t>3、检测到烟雾后可自动断电。</w:t>
            </w:r>
            <w:r>
              <w:rPr>
                <w:rFonts w:hint="eastAsia"/>
              </w:rPr>
              <w:br w:type="textWrapping"/>
            </w:r>
            <w:r>
              <w:rPr>
                <w:rFonts w:hint="eastAsia"/>
              </w:rPr>
              <w:t>4、超过温度阈值后可自动断电。</w:t>
            </w:r>
            <w:r>
              <w:rPr>
                <w:rFonts w:hint="eastAsia"/>
              </w:rPr>
              <w:br w:type="textWrapping"/>
            </w:r>
            <w:r>
              <w:rPr>
                <w:rFonts w:hint="eastAsia"/>
              </w:rPr>
              <w:t>5、输入输出均有断路器保护措施，在发生过流或短路后可以自动断电。</w:t>
            </w:r>
            <w:r>
              <w:rPr>
                <w:rFonts w:hint="eastAsia"/>
              </w:rPr>
              <w:br w:type="textWrapping"/>
            </w:r>
            <w:r>
              <w:rPr>
                <w:rFonts w:hint="eastAsia"/>
              </w:rPr>
              <w:t>6、支持手动一键启动、停止；支持单路启动停止；支持分时段控制；支持电脑远程控制。</w:t>
            </w:r>
            <w:r>
              <w:rPr>
                <w:rFonts w:hint="eastAsia"/>
              </w:rPr>
              <w:br w:type="textWrapping"/>
            </w:r>
            <w:r>
              <w:rPr>
                <w:rFonts w:hint="eastAsia"/>
              </w:rPr>
              <w:t>7、支持记录运行状态、异常报警（高温、烟雾）等。</w:t>
            </w:r>
            <w:r>
              <w:rPr>
                <w:rFonts w:hint="eastAsia"/>
              </w:rPr>
              <w:br w:type="textWrapping"/>
            </w:r>
            <w:r>
              <w:rPr>
                <w:rFonts w:hint="eastAsia"/>
              </w:rPr>
              <w:t>8、网络接口：支持MODBUS-TCP协议；</w:t>
            </w:r>
            <w:r>
              <w:rPr>
                <w:rFonts w:hint="eastAsia"/>
              </w:rPr>
              <w:br w:type="textWrapping"/>
            </w:r>
            <w:r>
              <w:rPr>
                <w:rFonts w:hint="eastAsia"/>
              </w:rPr>
              <w:t>9、串口通讯端口：支持RS485、MODBUS-RTU协议。</w:t>
            </w:r>
            <w:r>
              <w:rPr>
                <w:rFonts w:hint="eastAsia"/>
              </w:rPr>
              <w:br w:type="textWrapping"/>
            </w:r>
            <w:r>
              <w:rPr>
                <w:rFonts w:hint="eastAsia"/>
              </w:rPr>
              <w:t>10、支持设备分级上电，避免瞬间电流过大。</w:t>
            </w:r>
            <w:r>
              <w:rPr>
                <w:rFonts w:hint="eastAsia"/>
              </w:rPr>
              <w:br w:type="textWrapping"/>
            </w:r>
            <w:r>
              <w:rPr>
                <w:rFonts w:hint="eastAsia"/>
              </w:rPr>
              <w:t>12、电源管理系统拥有热成像人体传感检测功能，可检测站姿、坐姿、蹲姿三种人员姿态。热成像检测通道不受光线影响，满足全天 24 小时检测需求。</w:t>
            </w:r>
            <w:r>
              <w:rPr>
                <w:rFonts w:hint="eastAsia"/>
              </w:rPr>
              <w:br w:type="textWrapping"/>
            </w:r>
            <w:r>
              <w:rPr>
                <w:rFonts w:hint="eastAsia"/>
              </w:rPr>
              <w:t>13、可实现检测到人员后1秒内自动上电，检测到人员离开后自动断电功能，从而实现节约能源的效果，并且自动延迟断电的时间可配置，延迟时长由0分钟至99分钟任意配置</w:t>
            </w:r>
          </w:p>
        </w:tc>
      </w:tr>
      <w:tr w14:paraId="2E82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4" w:type="dxa"/>
            <w:vAlign w:val="center"/>
          </w:tcPr>
          <w:p w14:paraId="56613378">
            <w:pPr>
              <w:jc w:val="center"/>
            </w:pPr>
            <w:r>
              <w:rPr>
                <w:rFonts w:hint="eastAsia"/>
              </w:rPr>
              <w:t>11</w:t>
            </w:r>
          </w:p>
        </w:tc>
        <w:tc>
          <w:tcPr>
            <w:tcW w:w="745" w:type="dxa"/>
            <w:vAlign w:val="center"/>
          </w:tcPr>
          <w:p w14:paraId="21F9B983">
            <w:r>
              <w:rPr>
                <w:rFonts w:hint="eastAsia"/>
              </w:rPr>
              <w:t>显示屏钢架</w:t>
            </w:r>
          </w:p>
        </w:tc>
        <w:tc>
          <w:tcPr>
            <w:tcW w:w="7863" w:type="dxa"/>
            <w:vAlign w:val="center"/>
          </w:tcPr>
          <w:p w14:paraId="02A322A5">
            <w:pPr>
              <w:rPr>
                <w:rFonts w:eastAsia="宋体"/>
              </w:rPr>
            </w:pPr>
            <w:r>
              <w:rPr>
                <w:rFonts w:hint="eastAsia"/>
              </w:rPr>
              <w:t>采用Q235B镀锌钢材料制作，</w:t>
            </w:r>
            <w:r>
              <w:rPr>
                <w:rFonts w:hint="eastAsia" w:eastAsia="宋体"/>
              </w:rPr>
              <w:t>材料规格为</w:t>
            </w:r>
            <w:r>
              <w:rPr>
                <w:rFonts w:hint="eastAsia"/>
              </w:rPr>
              <w:t>40*40 镀锌方钢</w:t>
            </w:r>
            <w:r>
              <w:rPr>
                <w:rFonts w:hint="eastAsia" w:eastAsia="宋体"/>
              </w:rPr>
              <w:t>，壁挂式结构安装。</w:t>
            </w:r>
          </w:p>
        </w:tc>
      </w:tr>
      <w:tr w14:paraId="6666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4" w:type="dxa"/>
            <w:vAlign w:val="center"/>
          </w:tcPr>
          <w:p w14:paraId="3BE2387B">
            <w:pPr>
              <w:jc w:val="center"/>
            </w:pPr>
            <w:r>
              <w:rPr>
                <w:rFonts w:hint="eastAsia"/>
              </w:rPr>
              <w:t>12</w:t>
            </w:r>
          </w:p>
        </w:tc>
        <w:tc>
          <w:tcPr>
            <w:tcW w:w="745" w:type="dxa"/>
            <w:vAlign w:val="center"/>
          </w:tcPr>
          <w:p w14:paraId="2ECC28C3">
            <w:pPr>
              <w:rPr>
                <w:rFonts w:eastAsia="宋体"/>
              </w:rPr>
            </w:pPr>
            <w:r>
              <w:rPr>
                <w:rFonts w:hint="eastAsia" w:eastAsia="宋体"/>
              </w:rPr>
              <w:t>LED配电柜</w:t>
            </w:r>
          </w:p>
        </w:tc>
        <w:tc>
          <w:tcPr>
            <w:tcW w:w="7863" w:type="dxa"/>
            <w:vAlign w:val="center"/>
          </w:tcPr>
          <w:p w14:paraId="3FA3576D">
            <w:r>
              <w:rPr>
                <w:rFonts w:hint="eastAsia"/>
              </w:rPr>
              <w:t>安装方式 壁挂式</w:t>
            </w:r>
          </w:p>
          <w:p w14:paraId="079B8121">
            <w:r>
              <w:rPr>
                <w:rFonts w:hint="eastAsia"/>
              </w:rPr>
              <w:t>控制方式：手动控制 一键启动、 停止</w:t>
            </w:r>
          </w:p>
          <w:p w14:paraId="4F30060D">
            <w:r>
              <w:rPr>
                <w:rFonts w:hint="eastAsia"/>
              </w:rPr>
              <w:t>时控控制：四组时间段设置，遥控控制 距离 100 米（选）</w:t>
            </w:r>
          </w:p>
          <w:p w14:paraId="0966B982">
            <w:r>
              <w:rPr>
                <w:rFonts w:hint="eastAsia"/>
              </w:rPr>
              <w:t>选控方式</w:t>
            </w:r>
          </w:p>
          <w:p w14:paraId="747C935C">
            <w:r>
              <w:rPr>
                <w:rFonts w:hint="eastAsia"/>
              </w:rPr>
              <w:t>多功能卡控制 兼容各种多功能卡、 干接点</w:t>
            </w:r>
          </w:p>
          <w:p w14:paraId="2A4B7587">
            <w:r>
              <w:rPr>
                <w:rFonts w:hint="eastAsia"/>
              </w:rPr>
              <w:t>PLC 控制 兼容各种有 485 接口 PLC</w:t>
            </w:r>
          </w:p>
          <w:p w14:paraId="5297EC49">
            <w:r>
              <w:rPr>
                <w:rFonts w:hint="eastAsia"/>
              </w:rPr>
              <w:t>传感器 热电偶 K 型</w:t>
            </w:r>
          </w:p>
          <w:p w14:paraId="74A8B319">
            <w:r>
              <w:rPr>
                <w:rFonts w:hint="eastAsia"/>
              </w:rPr>
              <w:t>输入接线：接线方式 国家 3 相 5 线</w:t>
            </w:r>
          </w:p>
          <w:p w14:paraId="5DFAFEC9">
            <w:r>
              <w:rPr>
                <w:rFonts w:hint="eastAsia"/>
              </w:rPr>
              <w:t>输入电压 3 相 380V， 50Hz，额定功率 10KW，输入电缆 YJV-4*6mm²+4m m ²</w:t>
            </w:r>
          </w:p>
          <w:p w14:paraId="53C85D28">
            <w:r>
              <w:rPr>
                <w:rFonts w:hint="eastAsia"/>
              </w:rPr>
              <w:t>输出接线</w:t>
            </w:r>
          </w:p>
          <w:p w14:paraId="1987C08C">
            <w:r>
              <w:rPr>
                <w:rFonts w:hint="eastAsia"/>
              </w:rPr>
              <w:t>接线方式 单相 3 线， L、 N、 PE</w:t>
            </w:r>
          </w:p>
          <w:p w14:paraId="4D0CAB17">
            <w:r>
              <w:rPr>
                <w:rFonts w:hint="eastAsia"/>
              </w:rPr>
              <w:t>输出电压 单相 220V</w:t>
            </w:r>
          </w:p>
          <w:p w14:paraId="560F3550">
            <w:r>
              <w:rPr>
                <w:rFonts w:hint="eastAsia"/>
              </w:rPr>
              <w:t>单路功率 3.5KW</w:t>
            </w:r>
          </w:p>
          <w:p w14:paraId="5BF70BD6">
            <w:r>
              <w:rPr>
                <w:rFonts w:hint="eastAsia"/>
              </w:rPr>
              <w:t>输出路数 6</w:t>
            </w:r>
          </w:p>
          <w:p w14:paraId="5CA12953">
            <w:r>
              <w:rPr>
                <w:rFonts w:hint="eastAsia"/>
              </w:rPr>
              <w:t>输出电缆 RVV-3*2.5mm²</w:t>
            </w:r>
          </w:p>
          <w:p w14:paraId="2DA37DB1">
            <w:r>
              <w:rPr>
                <w:rFonts w:hint="eastAsia"/>
              </w:rPr>
              <w:t>输入总断路器 DZ47S 3P D63A</w:t>
            </w:r>
          </w:p>
          <w:p w14:paraId="298FE67C">
            <w:r>
              <w:rPr>
                <w:rFonts w:hint="eastAsia"/>
              </w:rPr>
              <w:t>交流接触器 CJX2S-2510/220V*2</w:t>
            </w:r>
          </w:p>
          <w:p w14:paraId="0D8D9581">
            <w:r>
              <w:rPr>
                <w:rFonts w:hint="eastAsia"/>
              </w:rPr>
              <w:t>输出 1P 空开 DZ47S 1P D32A*6</w:t>
            </w:r>
          </w:p>
          <w:p w14:paraId="73BC24D3">
            <w:r>
              <w:rPr>
                <w:rFonts w:hint="eastAsia"/>
              </w:rPr>
              <w:t>IP 等级 IP43</w:t>
            </w:r>
          </w:p>
          <w:p w14:paraId="65E0A466">
            <w:r>
              <w:rPr>
                <w:rFonts w:hint="eastAsia"/>
              </w:rPr>
              <w:t>执行标准 GB/T7251.12-2013工作环境 温度 -10℃---40℃</w:t>
            </w:r>
          </w:p>
          <w:p w14:paraId="04521FC4">
            <w:r>
              <w:rPr>
                <w:rFonts w:hint="eastAsia"/>
              </w:rPr>
              <w:t>湿度 ≤80％ RH</w:t>
            </w:r>
          </w:p>
          <w:p w14:paraId="56875B41">
            <w:r>
              <w:rPr>
                <w:rFonts w:hint="eastAsia"/>
              </w:rPr>
              <w:t>存储环境 温度 -30℃---70℃</w:t>
            </w:r>
          </w:p>
          <w:p w14:paraId="28E048AE">
            <w:r>
              <w:rPr>
                <w:rFonts w:hint="eastAsia"/>
              </w:rPr>
              <w:t>湿度 ≤95％ RH</w:t>
            </w:r>
          </w:p>
          <w:p w14:paraId="0ADDF976">
            <w:r>
              <w:rPr>
                <w:rFonts w:hint="eastAsia"/>
              </w:rPr>
              <w:t>物理规格 尺寸 500mm*400 mm *160 mm（高*宽*厚）</w:t>
            </w:r>
          </w:p>
          <w:p w14:paraId="5681A976">
            <w:r>
              <w:rPr>
                <w:rFonts w:hint="eastAsia"/>
              </w:rPr>
              <w:t>净重 17KG</w:t>
            </w:r>
          </w:p>
          <w:p w14:paraId="6C0BCB99">
            <w:r>
              <w:rPr>
                <w:rFonts w:hint="eastAsia"/>
              </w:rPr>
              <w:t>总重 18 KG</w:t>
            </w:r>
          </w:p>
          <w:p w14:paraId="35F06280">
            <w:r>
              <w:rPr>
                <w:rFonts w:hint="eastAsia"/>
              </w:rPr>
              <w:t>包装信息 防护箱 纸箱</w:t>
            </w:r>
          </w:p>
          <w:p w14:paraId="696913FF">
            <w:r>
              <w:rPr>
                <w:rFonts w:hint="eastAsia"/>
              </w:rPr>
              <w:t>配件 固件</w:t>
            </w:r>
          </w:p>
        </w:tc>
      </w:tr>
      <w:tr w14:paraId="48C0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24" w:type="dxa"/>
            <w:vAlign w:val="center"/>
          </w:tcPr>
          <w:p w14:paraId="5EB3ED8B">
            <w:pPr>
              <w:jc w:val="center"/>
            </w:pPr>
            <w:r>
              <w:rPr>
                <w:rFonts w:hint="eastAsia"/>
              </w:rPr>
              <w:t>13</w:t>
            </w:r>
          </w:p>
        </w:tc>
        <w:tc>
          <w:tcPr>
            <w:tcW w:w="745" w:type="dxa"/>
            <w:vAlign w:val="center"/>
          </w:tcPr>
          <w:p w14:paraId="6D53368A">
            <w:r>
              <w:rPr>
                <w:rFonts w:hint="eastAsia" w:eastAsia="宋体"/>
              </w:rPr>
              <w:t>屏体</w:t>
            </w:r>
            <w:r>
              <w:rPr>
                <w:rFonts w:hint="eastAsia"/>
              </w:rPr>
              <w:t>包边</w:t>
            </w:r>
          </w:p>
        </w:tc>
        <w:tc>
          <w:tcPr>
            <w:tcW w:w="7863" w:type="dxa"/>
            <w:vAlign w:val="center"/>
          </w:tcPr>
          <w:p w14:paraId="1292EA1B">
            <w:r>
              <w:rPr>
                <w:rFonts w:hint="eastAsia"/>
              </w:rPr>
              <w:t>采用</w:t>
            </w:r>
            <w:r>
              <w:rPr>
                <w:rFonts w:hint="eastAsia" w:eastAsia="宋体"/>
              </w:rPr>
              <w:t>304</w:t>
            </w:r>
            <w:r>
              <w:rPr>
                <w:rFonts w:hint="eastAsia"/>
              </w:rPr>
              <w:t>不锈钢包边，颜色根据现场环境由甲方确定。</w:t>
            </w:r>
          </w:p>
        </w:tc>
      </w:tr>
      <w:tr w14:paraId="674A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24" w:type="dxa"/>
            <w:vAlign w:val="center"/>
          </w:tcPr>
          <w:p w14:paraId="16ADF52B">
            <w:pPr>
              <w:jc w:val="center"/>
            </w:pPr>
            <w:r>
              <w:rPr>
                <w:rFonts w:hint="eastAsia"/>
              </w:rPr>
              <w:t>14</w:t>
            </w:r>
          </w:p>
        </w:tc>
        <w:tc>
          <w:tcPr>
            <w:tcW w:w="745" w:type="dxa"/>
            <w:vAlign w:val="center"/>
          </w:tcPr>
          <w:p w14:paraId="0DCE24EB">
            <w:r>
              <w:rPr>
                <w:rFonts w:hint="eastAsia" w:eastAsia="宋体"/>
              </w:rPr>
              <w:t>电源线</w:t>
            </w:r>
            <w:r>
              <w:rPr>
                <w:rFonts w:hint="eastAsia"/>
              </w:rPr>
              <w:t>及工程布线</w:t>
            </w:r>
          </w:p>
        </w:tc>
        <w:tc>
          <w:tcPr>
            <w:tcW w:w="7863" w:type="dxa"/>
            <w:vAlign w:val="center"/>
          </w:tcPr>
          <w:p w14:paraId="54CF9B3B">
            <w:r>
              <w:rPr>
                <w:rFonts w:hint="eastAsia"/>
              </w:rPr>
              <w:t>电源线根据现场情况，一般从强电柜中接线至显示屏交流配电柜中。</w:t>
            </w:r>
          </w:p>
        </w:tc>
      </w:tr>
      <w:tr w14:paraId="3FBB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4" w:type="dxa"/>
          </w:tcPr>
          <w:p w14:paraId="499C759C">
            <w:pPr>
              <w:jc w:val="center"/>
            </w:pPr>
            <w:r>
              <w:rPr>
                <w:rFonts w:hint="eastAsia"/>
              </w:rPr>
              <w:t>15</w:t>
            </w:r>
          </w:p>
        </w:tc>
        <w:tc>
          <w:tcPr>
            <w:tcW w:w="745" w:type="dxa"/>
            <w:vAlign w:val="center"/>
          </w:tcPr>
          <w:p w14:paraId="46647B76">
            <w:pPr>
              <w:jc w:val="left"/>
            </w:pPr>
            <w:r>
              <w:rPr>
                <w:rFonts w:hint="eastAsia" w:eastAsia="宋体"/>
              </w:rPr>
              <w:t>信号线</w:t>
            </w:r>
            <w:r>
              <w:rPr>
                <w:rFonts w:hint="eastAsia"/>
              </w:rPr>
              <w:t>及工程布线</w:t>
            </w:r>
          </w:p>
        </w:tc>
        <w:tc>
          <w:tcPr>
            <w:tcW w:w="7863" w:type="dxa"/>
            <w:vAlign w:val="center"/>
          </w:tcPr>
          <w:p w14:paraId="425CF118">
            <w:pPr>
              <w:jc w:val="left"/>
            </w:pPr>
            <w:r>
              <w:rPr>
                <w:rFonts w:hint="eastAsia"/>
              </w:rPr>
              <w:t>信号线采用超5类国标网线，从视频处理器至显示屏。</w:t>
            </w:r>
          </w:p>
        </w:tc>
      </w:tr>
      <w:tr w14:paraId="2F2E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4" w:type="dxa"/>
          </w:tcPr>
          <w:p w14:paraId="53FF1541">
            <w:pPr>
              <w:jc w:val="center"/>
            </w:pPr>
            <w:r>
              <w:rPr>
                <w:rFonts w:hint="eastAsia"/>
              </w:rPr>
              <w:t>16</w:t>
            </w:r>
          </w:p>
        </w:tc>
        <w:tc>
          <w:tcPr>
            <w:tcW w:w="745" w:type="dxa"/>
            <w:vAlign w:val="center"/>
          </w:tcPr>
          <w:p w14:paraId="21DD27CA">
            <w:pPr>
              <w:jc w:val="left"/>
            </w:pPr>
            <w:r>
              <w:rPr>
                <w:rFonts w:hint="eastAsia"/>
              </w:rPr>
              <w:t>设备安装</w:t>
            </w:r>
          </w:p>
        </w:tc>
        <w:tc>
          <w:tcPr>
            <w:tcW w:w="7863" w:type="dxa"/>
            <w:vAlign w:val="center"/>
          </w:tcPr>
          <w:p w14:paraId="51D49AC0">
            <w:pPr>
              <w:jc w:val="left"/>
              <w:rPr>
                <w:rFonts w:eastAsia="宋体"/>
              </w:rPr>
            </w:pPr>
            <w:r>
              <w:rPr>
                <w:rFonts w:hint="eastAsia" w:eastAsia="宋体"/>
              </w:rPr>
              <w:t>满足现场安装所需的攀爬工具，如</w:t>
            </w:r>
            <w:r>
              <w:rPr>
                <w:rFonts w:hint="eastAsia"/>
              </w:rPr>
              <w:t>脚手架</w:t>
            </w:r>
            <w:r>
              <w:rPr>
                <w:rFonts w:hint="eastAsia" w:eastAsia="宋体"/>
              </w:rPr>
              <w:t>或楼梯等。</w:t>
            </w:r>
          </w:p>
          <w:p w14:paraId="675DC419">
            <w:pPr>
              <w:jc w:val="left"/>
            </w:pPr>
            <w:r>
              <w:rPr>
                <w:rFonts w:hint="eastAsia" w:eastAsia="宋体"/>
              </w:rPr>
              <w:t>安装</w:t>
            </w:r>
            <w:r>
              <w:rPr>
                <w:rFonts w:hint="eastAsia"/>
              </w:rPr>
              <w:t>工具器械，调试及系统</w:t>
            </w:r>
            <w:r>
              <w:rPr>
                <w:rFonts w:hint="eastAsia" w:eastAsia="宋体"/>
              </w:rPr>
              <w:t>集成调试</w:t>
            </w:r>
            <w:r>
              <w:rPr>
                <w:rFonts w:hint="eastAsia"/>
              </w:rPr>
              <w:t>。</w:t>
            </w:r>
          </w:p>
        </w:tc>
      </w:tr>
    </w:tbl>
    <w:p w14:paraId="056964E8">
      <w:pPr>
        <w:adjustRightInd w:val="0"/>
        <w:snapToGrid w:val="0"/>
        <w:spacing w:before="156" w:beforeLines="50"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六、附件及零配件（包括专用工具）、备品备件的要求：</w:t>
      </w:r>
    </w:p>
    <w:p w14:paraId="74710514">
      <w:pPr>
        <w:spacing w:line="450" w:lineRule="exact"/>
        <w:ind w:firstLine="481"/>
        <w:rPr>
          <w:rFonts w:hint="eastAsia" w:ascii="宋体" w:hAnsi="宋体" w:eastAsia="宋体" w:cs="宋体"/>
          <w:sz w:val="24"/>
        </w:rPr>
      </w:pPr>
      <w:r>
        <w:rPr>
          <w:rFonts w:hint="eastAsia" w:ascii="宋体" w:hAnsi="宋体" w:eastAsia="宋体" w:cs="宋体"/>
          <w:sz w:val="24"/>
        </w:rPr>
        <w:t>配件需兼容已有的设备。配件保修期也为三年。</w:t>
      </w:r>
    </w:p>
    <w:p w14:paraId="72C65C81">
      <w:pPr>
        <w:adjustRightInd w:val="0"/>
        <w:snapToGrid w:val="0"/>
        <w:spacing w:before="156" w:beforeLines="50"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七、验收标准和方法：</w:t>
      </w:r>
    </w:p>
    <w:p w14:paraId="5AECB7B2">
      <w:pPr>
        <w:spacing w:line="450" w:lineRule="exact"/>
        <w:ind w:firstLine="480" w:firstLineChars="200"/>
        <w:rPr>
          <w:rFonts w:hint="eastAsia" w:ascii="宋体" w:hAnsi="宋体" w:eastAsia="宋体" w:cs="宋体"/>
          <w:sz w:val="24"/>
        </w:rPr>
      </w:pPr>
      <w:r>
        <w:rPr>
          <w:rFonts w:hint="eastAsia" w:ascii="宋体" w:hAnsi="宋体" w:eastAsia="宋体" w:cs="宋体"/>
          <w:sz w:val="24"/>
        </w:rPr>
        <w:t>1.产品的验收标准：招标文件、投标文件、厂家货物技术标准说明书及有关国家的质量标准规定，均作为质量技术标准和验收标准。</w:t>
      </w:r>
    </w:p>
    <w:p w14:paraId="384A584F">
      <w:pPr>
        <w:spacing w:line="450" w:lineRule="exact"/>
        <w:ind w:firstLine="480" w:firstLineChars="200"/>
        <w:rPr>
          <w:rFonts w:hint="eastAsia" w:ascii="宋体" w:hAnsi="宋体" w:eastAsia="宋体" w:cs="宋体"/>
          <w:sz w:val="24"/>
        </w:rPr>
      </w:pPr>
      <w:r>
        <w:rPr>
          <w:rFonts w:hint="eastAsia" w:ascii="宋体" w:hAnsi="宋体" w:eastAsia="宋体" w:cs="宋体"/>
          <w:sz w:val="24"/>
        </w:rPr>
        <w:t>2.货物验收包括：数量、外观、质量、性能、质保单、包装和中标人承诺的其他指标。</w:t>
      </w:r>
    </w:p>
    <w:p w14:paraId="170C5F65">
      <w:pPr>
        <w:spacing w:line="450" w:lineRule="exact"/>
        <w:ind w:firstLine="480" w:firstLineChars="200"/>
        <w:rPr>
          <w:rFonts w:hint="eastAsia" w:ascii="宋体" w:hAnsi="宋体" w:eastAsia="宋体" w:cs="宋体"/>
          <w:sz w:val="24"/>
        </w:rPr>
      </w:pPr>
      <w:r>
        <w:rPr>
          <w:rFonts w:hint="eastAsia" w:ascii="宋体" w:hAnsi="宋体" w:eastAsia="宋体" w:cs="宋体"/>
          <w:sz w:val="24"/>
        </w:rPr>
        <w:t>3.在交货前，供应商应对货物的质量、规格、性能、数量等进行详细而全面的检验，并出具一份证明货物符合合同规定的证书，供应商检验的结果和细节应在证书中加以说明。</w:t>
      </w:r>
    </w:p>
    <w:p w14:paraId="21B7F2B7">
      <w:pPr>
        <w:spacing w:line="450" w:lineRule="exact"/>
        <w:ind w:firstLine="480" w:firstLineChars="200"/>
        <w:rPr>
          <w:rFonts w:hint="eastAsia" w:ascii="宋体" w:hAnsi="宋体" w:eastAsia="宋体" w:cs="宋体"/>
          <w:sz w:val="24"/>
        </w:rPr>
      </w:pPr>
      <w:r>
        <w:rPr>
          <w:rFonts w:hint="eastAsia" w:ascii="宋体" w:hAnsi="宋体" w:eastAsia="宋体" w:cs="宋体"/>
          <w:sz w:val="24"/>
        </w:rPr>
        <w:t>4.采购方组织验收小组对中标方所交付的产品进行检测、验收，如不合格的，由中标方无条件整改。</w:t>
      </w:r>
    </w:p>
    <w:p w14:paraId="60BD253E">
      <w:pPr>
        <w:spacing w:line="450" w:lineRule="exact"/>
        <w:ind w:firstLine="480" w:firstLineChars="200"/>
        <w:rPr>
          <w:rFonts w:hint="eastAsia" w:ascii="宋体" w:hAnsi="宋体" w:eastAsia="宋体" w:cs="宋体"/>
          <w:sz w:val="24"/>
        </w:rPr>
      </w:pPr>
      <w:r>
        <w:rPr>
          <w:rFonts w:hint="eastAsia" w:ascii="宋体" w:hAnsi="宋体" w:eastAsia="宋体" w:cs="宋体"/>
          <w:sz w:val="24"/>
        </w:rPr>
        <w:t>5.在货物数量、外观、质量、性能达到要求后，应确保所有系统运行正常，每一台设备或终端运行效果良好，达到甲方使用要求。</w:t>
      </w:r>
    </w:p>
    <w:p w14:paraId="4BD737AE">
      <w:pPr>
        <w:spacing w:line="450" w:lineRule="exact"/>
        <w:ind w:firstLine="480" w:firstLineChars="200"/>
        <w:rPr>
          <w:rFonts w:hint="eastAsia" w:ascii="宋体" w:hAnsi="宋体" w:eastAsia="宋体" w:cs="宋体"/>
          <w:sz w:val="24"/>
        </w:rPr>
      </w:pPr>
      <w:r>
        <w:rPr>
          <w:rFonts w:hint="eastAsia" w:ascii="宋体" w:hAnsi="宋体" w:eastAsia="宋体" w:cs="宋体"/>
          <w:sz w:val="24"/>
        </w:rPr>
        <w:t>6.验收前需提供各类设备实际安装清单，包括名称、品牌、型号、数量。</w:t>
      </w:r>
    </w:p>
    <w:p w14:paraId="57A81060">
      <w:pPr>
        <w:spacing w:line="450" w:lineRule="exact"/>
        <w:ind w:firstLine="482" w:firstLineChars="200"/>
        <w:rPr>
          <w:rFonts w:hint="eastAsia" w:ascii="宋体" w:hAnsi="宋体" w:eastAsia="宋体" w:cs="宋体"/>
          <w:b/>
          <w:bCs/>
          <w:sz w:val="24"/>
        </w:rPr>
      </w:pPr>
      <w:r>
        <w:rPr>
          <w:rFonts w:hint="eastAsia" w:ascii="宋体" w:hAnsi="宋体" w:eastAsia="宋体" w:cs="宋体"/>
          <w:b/>
          <w:bCs/>
          <w:sz w:val="24"/>
        </w:rPr>
        <w:t>八、安装调试及技术服务(含培训)要求：</w:t>
      </w:r>
    </w:p>
    <w:p w14:paraId="1AE2FB7B">
      <w:pPr>
        <w:spacing w:line="450" w:lineRule="exact"/>
        <w:ind w:firstLine="480" w:firstLineChars="200"/>
        <w:rPr>
          <w:rFonts w:hint="eastAsia" w:ascii="宋体" w:hAnsi="宋体" w:eastAsia="宋体" w:cs="宋体"/>
          <w:sz w:val="24"/>
        </w:rPr>
      </w:pPr>
      <w:r>
        <w:rPr>
          <w:rFonts w:hint="eastAsia" w:ascii="宋体" w:hAnsi="宋体" w:eastAsia="宋体" w:cs="宋体"/>
          <w:sz w:val="24"/>
        </w:rPr>
        <w:t>1.采购标的的数量详见本章采购清单</w:t>
      </w:r>
    </w:p>
    <w:p w14:paraId="7FBFA7E5">
      <w:pPr>
        <w:spacing w:line="450" w:lineRule="exact"/>
        <w:ind w:firstLine="480" w:firstLineChars="200"/>
        <w:rPr>
          <w:rFonts w:hint="eastAsia" w:ascii="宋体" w:hAnsi="宋体" w:eastAsia="宋体" w:cs="宋体"/>
          <w:sz w:val="24"/>
        </w:rPr>
      </w:pPr>
      <w:r>
        <w:rPr>
          <w:rFonts w:hint="eastAsia" w:ascii="宋体" w:hAnsi="宋体" w:eastAsia="宋体" w:cs="宋体"/>
          <w:sz w:val="24"/>
        </w:rPr>
        <w:t>2.采购项目交付期：自签订采购合同之日起20日工作日内完成整体项目设备供货和安装部署、试运行及验收，且交付采购人正常使用，并在安装过程中为用户提供操作培训，确保数据和平台正常进行。</w:t>
      </w:r>
    </w:p>
    <w:p w14:paraId="28C6BBE1">
      <w:pPr>
        <w:spacing w:line="450" w:lineRule="exact"/>
        <w:ind w:firstLine="480" w:firstLineChars="200"/>
        <w:rPr>
          <w:rFonts w:hint="eastAsia" w:ascii="宋体" w:hAnsi="宋体" w:eastAsia="宋体" w:cs="宋体"/>
          <w:sz w:val="24"/>
        </w:rPr>
      </w:pPr>
      <w:r>
        <w:rPr>
          <w:rFonts w:hint="eastAsia" w:ascii="宋体" w:hAnsi="宋体" w:eastAsia="宋体" w:cs="宋体"/>
          <w:sz w:val="24"/>
        </w:rPr>
        <w:t>3.实施时间：自签订采购合同之日起。</w:t>
      </w:r>
    </w:p>
    <w:p w14:paraId="7BD61235">
      <w:pPr>
        <w:spacing w:line="450" w:lineRule="exact"/>
        <w:ind w:firstLine="480" w:firstLineChars="200"/>
        <w:rPr>
          <w:rFonts w:hint="eastAsia" w:ascii="宋体" w:hAnsi="宋体" w:eastAsia="宋体" w:cs="宋体"/>
          <w:sz w:val="24"/>
        </w:rPr>
      </w:pPr>
      <w:r>
        <w:rPr>
          <w:rFonts w:hint="eastAsia" w:ascii="宋体" w:hAnsi="宋体" w:eastAsia="宋体" w:cs="宋体"/>
          <w:sz w:val="24"/>
        </w:rPr>
        <w:t>4.实施地点：采购人指定地点。</w:t>
      </w:r>
    </w:p>
    <w:p w14:paraId="307EB2C0">
      <w:pPr>
        <w:spacing w:before="156" w:beforeLines="50" w:line="450" w:lineRule="exact"/>
        <w:ind w:firstLine="482" w:firstLineChars="200"/>
        <w:rPr>
          <w:rFonts w:hint="eastAsia" w:ascii="宋体" w:hAnsi="宋体" w:eastAsia="宋体" w:cs="宋体"/>
          <w:b/>
          <w:bCs/>
          <w:sz w:val="24"/>
        </w:rPr>
      </w:pPr>
      <w:r>
        <w:rPr>
          <w:rFonts w:hint="eastAsia" w:ascii="宋体" w:hAnsi="宋体" w:eastAsia="宋体" w:cs="宋体"/>
          <w:b/>
          <w:bCs/>
          <w:sz w:val="24"/>
        </w:rPr>
        <w:t>九、质量保证、售后服务要求</w:t>
      </w:r>
    </w:p>
    <w:p w14:paraId="39212782">
      <w:pPr>
        <w:spacing w:line="450" w:lineRule="exact"/>
        <w:ind w:firstLine="480" w:firstLineChars="200"/>
        <w:rPr>
          <w:rFonts w:hint="eastAsia" w:ascii="宋体" w:hAnsi="宋体" w:eastAsia="宋体" w:cs="宋体"/>
          <w:sz w:val="24"/>
        </w:rPr>
      </w:pPr>
      <w:r>
        <w:rPr>
          <w:rFonts w:hint="eastAsia" w:ascii="宋体" w:hAnsi="宋体" w:eastAsia="宋体" w:cs="宋体"/>
          <w:sz w:val="24"/>
        </w:rPr>
        <w:t>1.质量保证期：投标人所投产品整体质保期为3年，且所有软件在质保期内应提供免费升级服务，所有硬件设备因故障不能正常使用，应免费更换、维修；质保期从验收合格后开始计算，质保期内所有设备维护等要求免费上门服务。质保期内如出现未及时维护或所供产品因质量问题未及时更换、维修的将按市场价格核定从质保金中扣除相应款项。投标人应按照本项目特点提供长期良好的售后服务，并在投标文件中提供售后服务承诺书等相关资料。</w:t>
      </w:r>
    </w:p>
    <w:p w14:paraId="4DFDDA07">
      <w:pPr>
        <w:spacing w:line="450" w:lineRule="exact"/>
        <w:ind w:firstLine="480" w:firstLineChars="200"/>
        <w:rPr>
          <w:rFonts w:hint="eastAsia" w:ascii="宋体" w:hAnsi="宋体" w:eastAsia="宋体" w:cs="宋体"/>
          <w:sz w:val="24"/>
        </w:rPr>
      </w:pPr>
      <w:r>
        <w:rPr>
          <w:rFonts w:hint="eastAsia" w:ascii="宋体" w:hAnsi="宋体" w:eastAsia="宋体" w:cs="宋体"/>
          <w:sz w:val="24"/>
        </w:rPr>
        <w:t>2.所有产品必须原装、全新产品，并符合国家标准、行业标准以及该产品出厂标准。</w:t>
      </w:r>
    </w:p>
    <w:p w14:paraId="746AE90D">
      <w:pPr>
        <w:spacing w:line="45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.响应时间：供方应以优良的服务态度，提供7*24小时快速上门服务和严重故障时，携带备品备件在1小时内响应甲方故障请求抵达现场响应服务。</w:t>
      </w:r>
    </w:p>
    <w:p w14:paraId="69D936F5">
      <w:pPr>
        <w:spacing w:line="45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w:t>
      </w:r>
      <w:bookmarkStart w:id="4" w:name="_GoBack"/>
      <w:bookmarkEnd w:id="4"/>
      <w:r>
        <w:rPr>
          <w:rFonts w:hint="eastAsia" w:ascii="宋体" w:hAnsi="宋体" w:eastAsia="宋体" w:cs="宋体"/>
          <w:sz w:val="24"/>
        </w:rPr>
        <w:t>.在质量保证期内，如果货物的质量或规格与合同不符，或证实货物是有缺陷的，包括潜在的缺陷或使用不符合要求的材料等，采购方可以根据本招标文件以书面形式向中标供应商提出补救措施或索赔。</w:t>
      </w:r>
    </w:p>
    <w:p w14:paraId="199CB39F">
      <w:pPr>
        <w:spacing w:before="156" w:beforeLines="50" w:line="450" w:lineRule="exact"/>
        <w:ind w:firstLine="482" w:firstLineChars="200"/>
        <w:rPr>
          <w:rFonts w:hint="eastAsia" w:ascii="宋体" w:hAnsi="宋体" w:eastAsia="宋体" w:cs="宋体"/>
          <w:b/>
          <w:bCs/>
          <w:sz w:val="24"/>
        </w:rPr>
      </w:pPr>
      <w:r>
        <w:rPr>
          <w:rFonts w:hint="eastAsia" w:ascii="宋体" w:hAnsi="宋体" w:eastAsia="宋体" w:cs="宋体"/>
          <w:b/>
          <w:bCs/>
          <w:sz w:val="24"/>
        </w:rPr>
        <w:t>十、付款方式</w:t>
      </w:r>
    </w:p>
    <w:p w14:paraId="40C02193">
      <w:pPr>
        <w:spacing w:line="450" w:lineRule="exact"/>
        <w:ind w:firstLine="480" w:firstLineChars="200"/>
        <w:rPr>
          <w:rFonts w:hint="eastAsia" w:ascii="宋体" w:hAnsi="宋体" w:eastAsia="宋体" w:cs="宋体"/>
          <w:sz w:val="24"/>
        </w:rPr>
      </w:pPr>
      <w:r>
        <w:rPr>
          <w:rFonts w:hint="eastAsia" w:ascii="宋体" w:hAnsi="宋体" w:eastAsia="宋体" w:cs="宋体"/>
          <w:sz w:val="24"/>
        </w:rPr>
        <w:t>该项目为银校合作项目，付款按三方合同约定支付。</w:t>
      </w:r>
    </w:p>
    <w:p w14:paraId="71DDBA54">
      <w:pPr>
        <w:rPr>
          <w:rFonts w:hint="eastAsia"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
    <w:altName w:val="Malgun Gothic"/>
    <w:panose1 w:val="00000000000000000000"/>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0E48F"/>
    <w:multiLevelType w:val="singleLevel"/>
    <w:tmpl w:val="00A0E48F"/>
    <w:lvl w:ilvl="0" w:tentative="0">
      <w:start w:val="1"/>
      <w:numFmt w:val="decimal"/>
      <w:suff w:val="nothing"/>
      <w:lvlText w:val="%1、"/>
      <w:lvlJc w:val="left"/>
    </w:lvl>
  </w:abstractNum>
  <w:abstractNum w:abstractNumId="1">
    <w:nsid w:val="5F2ED740"/>
    <w:multiLevelType w:val="singleLevel"/>
    <w:tmpl w:val="5F2ED740"/>
    <w:lvl w:ilvl="0" w:tentative="0">
      <w:start w:val="1"/>
      <w:numFmt w:val="decimal"/>
      <w:suff w:val="nothing"/>
      <w:lvlText w:val="%1、"/>
      <w:lvlJc w:val="left"/>
    </w:lvl>
  </w:abstractNum>
  <w:abstractNum w:abstractNumId="2">
    <w:nsid w:val="68621781"/>
    <w:multiLevelType w:val="singleLevel"/>
    <w:tmpl w:val="68621781"/>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lYjM3NzllOTAyZDBmNzBkNjQ1MjMyNmEwYmNlZmIifQ=="/>
  </w:docVars>
  <w:rsids>
    <w:rsidRoot w:val="00172A27"/>
    <w:rsid w:val="000162FE"/>
    <w:rsid w:val="00046B3A"/>
    <w:rsid w:val="00074531"/>
    <w:rsid w:val="000838E8"/>
    <w:rsid w:val="000B0F44"/>
    <w:rsid w:val="000D6A50"/>
    <w:rsid w:val="000F50CC"/>
    <w:rsid w:val="00145289"/>
    <w:rsid w:val="00153632"/>
    <w:rsid w:val="00172A27"/>
    <w:rsid w:val="00183946"/>
    <w:rsid w:val="0022611E"/>
    <w:rsid w:val="0024343C"/>
    <w:rsid w:val="0027462F"/>
    <w:rsid w:val="002D68EC"/>
    <w:rsid w:val="00360411"/>
    <w:rsid w:val="00360E24"/>
    <w:rsid w:val="00371BE5"/>
    <w:rsid w:val="00374537"/>
    <w:rsid w:val="00384F17"/>
    <w:rsid w:val="00391B46"/>
    <w:rsid w:val="003B1F50"/>
    <w:rsid w:val="003C79EB"/>
    <w:rsid w:val="003F4761"/>
    <w:rsid w:val="0044487E"/>
    <w:rsid w:val="0044796F"/>
    <w:rsid w:val="004A6EB0"/>
    <w:rsid w:val="004B0277"/>
    <w:rsid w:val="004F4751"/>
    <w:rsid w:val="00524B10"/>
    <w:rsid w:val="00547BA8"/>
    <w:rsid w:val="00570BB8"/>
    <w:rsid w:val="005A0F77"/>
    <w:rsid w:val="005B6041"/>
    <w:rsid w:val="005E4CCE"/>
    <w:rsid w:val="005F224C"/>
    <w:rsid w:val="0062605B"/>
    <w:rsid w:val="006342A2"/>
    <w:rsid w:val="0065699C"/>
    <w:rsid w:val="00691C2C"/>
    <w:rsid w:val="006A20A2"/>
    <w:rsid w:val="006C6D50"/>
    <w:rsid w:val="007069CC"/>
    <w:rsid w:val="00736C1F"/>
    <w:rsid w:val="007474E2"/>
    <w:rsid w:val="00771A14"/>
    <w:rsid w:val="007F2451"/>
    <w:rsid w:val="008050C6"/>
    <w:rsid w:val="00831669"/>
    <w:rsid w:val="00942D16"/>
    <w:rsid w:val="00950A13"/>
    <w:rsid w:val="00952123"/>
    <w:rsid w:val="00967D54"/>
    <w:rsid w:val="00972BAC"/>
    <w:rsid w:val="00985E51"/>
    <w:rsid w:val="009951B6"/>
    <w:rsid w:val="009C5AF8"/>
    <w:rsid w:val="009D5D92"/>
    <w:rsid w:val="00A208EF"/>
    <w:rsid w:val="00A36EE3"/>
    <w:rsid w:val="00A47D8F"/>
    <w:rsid w:val="00A625C3"/>
    <w:rsid w:val="00A95784"/>
    <w:rsid w:val="00AF7E12"/>
    <w:rsid w:val="00B43F1F"/>
    <w:rsid w:val="00B75BBA"/>
    <w:rsid w:val="00C1315C"/>
    <w:rsid w:val="00C675F0"/>
    <w:rsid w:val="00CE4200"/>
    <w:rsid w:val="00D4647A"/>
    <w:rsid w:val="00D46969"/>
    <w:rsid w:val="00D60C22"/>
    <w:rsid w:val="00D9231C"/>
    <w:rsid w:val="00DE790C"/>
    <w:rsid w:val="00E32754"/>
    <w:rsid w:val="00E4529C"/>
    <w:rsid w:val="00E70DDA"/>
    <w:rsid w:val="00EC3CFC"/>
    <w:rsid w:val="00F11D8A"/>
    <w:rsid w:val="00FA1EB7"/>
    <w:rsid w:val="00FA205B"/>
    <w:rsid w:val="00FC0192"/>
    <w:rsid w:val="00FF53AE"/>
    <w:rsid w:val="032D692F"/>
    <w:rsid w:val="04207EF6"/>
    <w:rsid w:val="04A3117E"/>
    <w:rsid w:val="04D53301"/>
    <w:rsid w:val="058C749F"/>
    <w:rsid w:val="06E221BB"/>
    <w:rsid w:val="09327948"/>
    <w:rsid w:val="0B097881"/>
    <w:rsid w:val="0DB6626D"/>
    <w:rsid w:val="0F7D6A6F"/>
    <w:rsid w:val="10277CAB"/>
    <w:rsid w:val="116B4A71"/>
    <w:rsid w:val="1319085D"/>
    <w:rsid w:val="13AB28FF"/>
    <w:rsid w:val="13AC6526"/>
    <w:rsid w:val="143442F9"/>
    <w:rsid w:val="14E54E9B"/>
    <w:rsid w:val="173865C7"/>
    <w:rsid w:val="17555BDC"/>
    <w:rsid w:val="178A7644"/>
    <w:rsid w:val="18AB0346"/>
    <w:rsid w:val="1A361CF4"/>
    <w:rsid w:val="1A561D7E"/>
    <w:rsid w:val="1A710F7F"/>
    <w:rsid w:val="1A9802E9"/>
    <w:rsid w:val="1ADA6B24"/>
    <w:rsid w:val="1BBF4EEF"/>
    <w:rsid w:val="1CF30371"/>
    <w:rsid w:val="1D013D89"/>
    <w:rsid w:val="1D465C5F"/>
    <w:rsid w:val="1D9F120E"/>
    <w:rsid w:val="1DBD4C56"/>
    <w:rsid w:val="1E450758"/>
    <w:rsid w:val="1EC10FD9"/>
    <w:rsid w:val="21185C3F"/>
    <w:rsid w:val="218814FF"/>
    <w:rsid w:val="22663C78"/>
    <w:rsid w:val="230063DC"/>
    <w:rsid w:val="23041B67"/>
    <w:rsid w:val="23D628CA"/>
    <w:rsid w:val="23EF6902"/>
    <w:rsid w:val="24A73F1B"/>
    <w:rsid w:val="2502182D"/>
    <w:rsid w:val="251515BC"/>
    <w:rsid w:val="25745A8A"/>
    <w:rsid w:val="25867F7C"/>
    <w:rsid w:val="25FB0962"/>
    <w:rsid w:val="26035DEB"/>
    <w:rsid w:val="261F21D6"/>
    <w:rsid w:val="271A046F"/>
    <w:rsid w:val="28EF40E2"/>
    <w:rsid w:val="29361D11"/>
    <w:rsid w:val="293907A5"/>
    <w:rsid w:val="29EE77FA"/>
    <w:rsid w:val="2A6C7BFD"/>
    <w:rsid w:val="2AEF73C9"/>
    <w:rsid w:val="2B726116"/>
    <w:rsid w:val="2E6C3ADF"/>
    <w:rsid w:val="2F31714B"/>
    <w:rsid w:val="2F3445FD"/>
    <w:rsid w:val="309418A6"/>
    <w:rsid w:val="32036508"/>
    <w:rsid w:val="32100D36"/>
    <w:rsid w:val="338B0EAB"/>
    <w:rsid w:val="344A041F"/>
    <w:rsid w:val="34546832"/>
    <w:rsid w:val="35125307"/>
    <w:rsid w:val="379F6F2E"/>
    <w:rsid w:val="380D15D2"/>
    <w:rsid w:val="38DE7766"/>
    <w:rsid w:val="3929719C"/>
    <w:rsid w:val="3978042E"/>
    <w:rsid w:val="3A26789C"/>
    <w:rsid w:val="3B143534"/>
    <w:rsid w:val="3B977B51"/>
    <w:rsid w:val="3D870A34"/>
    <w:rsid w:val="3DCB1649"/>
    <w:rsid w:val="3DD379CD"/>
    <w:rsid w:val="3DE47280"/>
    <w:rsid w:val="41A21A36"/>
    <w:rsid w:val="44A3761A"/>
    <w:rsid w:val="44EC3BFF"/>
    <w:rsid w:val="466054DD"/>
    <w:rsid w:val="46901553"/>
    <w:rsid w:val="46D149CF"/>
    <w:rsid w:val="476153D8"/>
    <w:rsid w:val="48ED00F3"/>
    <w:rsid w:val="4900334A"/>
    <w:rsid w:val="4979194D"/>
    <w:rsid w:val="4AF15640"/>
    <w:rsid w:val="4B2A479D"/>
    <w:rsid w:val="4B746803"/>
    <w:rsid w:val="4C9C6C9A"/>
    <w:rsid w:val="4CB8793F"/>
    <w:rsid w:val="4D537EEC"/>
    <w:rsid w:val="4E0C5E86"/>
    <w:rsid w:val="4F702FD7"/>
    <w:rsid w:val="4FA47125"/>
    <w:rsid w:val="50F43794"/>
    <w:rsid w:val="528E6F80"/>
    <w:rsid w:val="52EF4B5B"/>
    <w:rsid w:val="52FB18C1"/>
    <w:rsid w:val="53583636"/>
    <w:rsid w:val="53F65A75"/>
    <w:rsid w:val="545A4F71"/>
    <w:rsid w:val="548E50B1"/>
    <w:rsid w:val="55463AA0"/>
    <w:rsid w:val="556A04C9"/>
    <w:rsid w:val="55BD5BDF"/>
    <w:rsid w:val="56836E89"/>
    <w:rsid w:val="57C02622"/>
    <w:rsid w:val="58E5533B"/>
    <w:rsid w:val="59017396"/>
    <w:rsid w:val="59E00D5A"/>
    <w:rsid w:val="5B4F263B"/>
    <w:rsid w:val="5C882FDD"/>
    <w:rsid w:val="5D2925A5"/>
    <w:rsid w:val="5D4D6706"/>
    <w:rsid w:val="5D863E53"/>
    <w:rsid w:val="5EBD3EBF"/>
    <w:rsid w:val="62347E94"/>
    <w:rsid w:val="62B62F9F"/>
    <w:rsid w:val="644A45A6"/>
    <w:rsid w:val="6452155D"/>
    <w:rsid w:val="694646A7"/>
    <w:rsid w:val="6C39626A"/>
    <w:rsid w:val="6C97145E"/>
    <w:rsid w:val="6E914246"/>
    <w:rsid w:val="6F090F02"/>
    <w:rsid w:val="6F68314A"/>
    <w:rsid w:val="701B2EC8"/>
    <w:rsid w:val="702F30ED"/>
    <w:rsid w:val="7082191A"/>
    <w:rsid w:val="72497719"/>
    <w:rsid w:val="76155804"/>
    <w:rsid w:val="77514BED"/>
    <w:rsid w:val="78213DD7"/>
    <w:rsid w:val="787F7B8E"/>
    <w:rsid w:val="79780B57"/>
    <w:rsid w:val="7A3A393C"/>
    <w:rsid w:val="7AE23CFA"/>
    <w:rsid w:val="7CCC0B2D"/>
    <w:rsid w:val="7CFC5BB8"/>
    <w:rsid w:val="7D930F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5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 w:cs="Times New Roman"/>
      <w:kern w:val="2"/>
      <w:sz w:val="21"/>
      <w:szCs w:val="24"/>
      <w:lang w:val="en-US" w:eastAsia="zh-CN" w:bidi="ar-SA"/>
    </w:rPr>
  </w:style>
  <w:style w:type="paragraph" w:styleId="2">
    <w:name w:val="heading 2"/>
    <w:basedOn w:val="1"/>
    <w:next w:val="1"/>
    <w:link w:val="12"/>
    <w:qFormat/>
    <w:uiPriority w:val="99"/>
    <w:pPr>
      <w:ind w:left="801" w:hanging="401"/>
      <w:outlineLvl w:val="1"/>
    </w:pPr>
    <w:rPr>
      <w:rFonts w:ascii="Microsoft JhengHei" w:hAnsi="Microsoft JhengHei" w:eastAsia="Microsoft JhengHei" w:cs="Microsoft JhengHe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jc w:val="left"/>
    </w:pPr>
    <w:rPr>
      <w:sz w:val="20"/>
      <w:szCs w:val="20"/>
    </w:rPr>
  </w:style>
  <w:style w:type="paragraph" w:styleId="4">
    <w:name w:val="Body Text Indent"/>
    <w:basedOn w:val="1"/>
    <w:next w:val="5"/>
    <w:link w:val="13"/>
    <w:qFormat/>
    <w:uiPriority w:val="99"/>
    <w:pPr>
      <w:ind w:left="420" w:leftChars="200"/>
    </w:pPr>
  </w:style>
  <w:style w:type="paragraph" w:styleId="5">
    <w:name w:val="Body Text Indent 2"/>
    <w:basedOn w:val="1"/>
    <w:link w:val="14"/>
    <w:qFormat/>
    <w:uiPriority w:val="99"/>
    <w:pPr>
      <w:spacing w:after="120" w:line="480" w:lineRule="auto"/>
      <w:ind w:left="420" w:leftChars="2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宋?" w:hAnsi="宋?" w:cs="宋?"/>
      <w:sz w:val="24"/>
    </w:rPr>
  </w:style>
  <w:style w:type="paragraph" w:styleId="9">
    <w:name w:val="Body Text First Indent 2"/>
    <w:basedOn w:val="4"/>
    <w:next w:val="3"/>
    <w:link w:val="17"/>
    <w:qFormat/>
    <w:uiPriority w:val="99"/>
    <w:pPr>
      <w:ind w:firstLine="420" w:firstLineChars="200"/>
    </w:pPr>
  </w:style>
  <w:style w:type="character" w:customStyle="1" w:styleId="12">
    <w:name w:val="标题 2 字符"/>
    <w:basedOn w:val="11"/>
    <w:link w:val="2"/>
    <w:semiHidden/>
    <w:qFormat/>
    <w:uiPriority w:val="9"/>
    <w:rPr>
      <w:rFonts w:asciiTheme="majorHAnsi" w:hAnsiTheme="majorHAnsi" w:eastAsiaTheme="majorEastAsia" w:cstheme="majorBidi"/>
      <w:b/>
      <w:bCs/>
      <w:sz w:val="32"/>
      <w:szCs w:val="32"/>
    </w:rPr>
  </w:style>
  <w:style w:type="character" w:customStyle="1" w:styleId="13">
    <w:name w:val="正文文本缩进 字符"/>
    <w:basedOn w:val="11"/>
    <w:link w:val="4"/>
    <w:semiHidden/>
    <w:qFormat/>
    <w:uiPriority w:val="99"/>
    <w:rPr>
      <w:szCs w:val="24"/>
    </w:rPr>
  </w:style>
  <w:style w:type="character" w:customStyle="1" w:styleId="14">
    <w:name w:val="正文文本缩进 2 字符"/>
    <w:basedOn w:val="11"/>
    <w:link w:val="5"/>
    <w:semiHidden/>
    <w:qFormat/>
    <w:uiPriority w:val="99"/>
    <w:rPr>
      <w:szCs w:val="24"/>
    </w:rPr>
  </w:style>
  <w:style w:type="character" w:customStyle="1" w:styleId="15">
    <w:name w:val="页脚 字符"/>
    <w:basedOn w:val="11"/>
    <w:link w:val="6"/>
    <w:qFormat/>
    <w:locked/>
    <w:uiPriority w:val="99"/>
    <w:rPr>
      <w:rFonts w:ascii="Times New Roman" w:hAnsi="Times New Roman" w:eastAsia="宋?" w:cs="Times New Roman"/>
      <w:kern w:val="2"/>
      <w:sz w:val="18"/>
      <w:szCs w:val="18"/>
    </w:rPr>
  </w:style>
  <w:style w:type="character" w:customStyle="1" w:styleId="16">
    <w:name w:val="页眉 字符"/>
    <w:basedOn w:val="11"/>
    <w:link w:val="7"/>
    <w:qFormat/>
    <w:locked/>
    <w:uiPriority w:val="99"/>
    <w:rPr>
      <w:rFonts w:ascii="Times New Roman" w:hAnsi="Times New Roman" w:eastAsia="宋?" w:cs="Times New Roman"/>
      <w:kern w:val="2"/>
      <w:sz w:val="18"/>
      <w:szCs w:val="18"/>
    </w:rPr>
  </w:style>
  <w:style w:type="character" w:customStyle="1" w:styleId="17">
    <w:name w:val="正文文本首行缩进 2 字符"/>
    <w:basedOn w:val="13"/>
    <w:link w:val="9"/>
    <w:semiHidden/>
    <w:qFormat/>
    <w:uiPriority w:val="99"/>
    <w:rPr>
      <w:szCs w:val="24"/>
    </w:rPr>
  </w:style>
  <w:style w:type="character" w:customStyle="1" w:styleId="18">
    <w:name w:val="font01"/>
    <w:basedOn w:val="11"/>
    <w:qFormat/>
    <w:uiPriority w:val="99"/>
    <w:rPr>
      <w:rFonts w:ascii="等线" w:hAnsi="等线" w:eastAsia="等线" w:cs="等线"/>
      <w:color w:val="000000"/>
      <w:sz w:val="22"/>
      <w:szCs w:val="22"/>
      <w:u w:val="none"/>
    </w:rPr>
  </w:style>
  <w:style w:type="character" w:customStyle="1" w:styleId="19">
    <w:name w:val="font11"/>
    <w:basedOn w:val="11"/>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5320</Words>
  <Characters>6060</Characters>
  <Lines>242</Lines>
  <Paragraphs>255</Paragraphs>
  <TotalTime>6</TotalTime>
  <ScaleCrop>false</ScaleCrop>
  <LinksUpToDate>false</LinksUpToDate>
  <CharactersWithSpaces>6189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2025-05-09T01:40:00Z</dcterms:created>
  <dc:creator>邓勇</dc:creator>
  <cp:lastModifiedBy></cp:lastModifiedBy>
  <cp:lastPrinted>2025-05-07T01:14:00Z</cp:lastPrinted>
  <dcterms:modified xsi:type="dcterms:W3CDTF">2025-05-30T02:15:29Z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A04FA5B9A6D842F0ABD98F9F67783AE7_13</vt:lpwstr>
  </property>
  <property fmtid="{D5CDD505-2E9C-101B-9397-08002B2CF9AE}" pid="4" name="KSOTemplateDocerSaveRecord">
    <vt:lpwstr>eyJoZGlkIjoiNjExNjA1MzY4NDcxNDhlNGIwYWUzMzQ5YTk5ZTk5ZTUiLCJ1c2VySWQiOiI0OTQ3NjU2MzMifQ==</vt:lpwstr>
  </property>
</Properties>
</file>