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8D18C13">
      <w:pPr>
        <w:jc w:val="center"/>
        <w:rPr>
          <w:rFonts w:hint="eastAsia" w:ascii="方正小标宋简体" w:hAnsi="方正小标宋简体" w:eastAsia="方正小标宋简体" w:cs="方正小标宋简体"/>
          <w:sz w:val="36"/>
          <w:szCs w:val="36"/>
          <w:lang w:val="en-US" w:eastAsia="zh-CN"/>
        </w:rPr>
      </w:pPr>
      <w:bookmarkStart w:id="0" w:name="OLE_LINK3"/>
      <w:bookmarkStart w:id="1" w:name="OLE_LINK1"/>
      <w:r>
        <w:rPr>
          <w:rFonts w:hint="eastAsia" w:ascii="方正小标宋简体" w:hAnsi="方正小标宋简体" w:eastAsia="方正小标宋简体" w:cs="方正小标宋简体"/>
          <w:sz w:val="36"/>
          <w:szCs w:val="36"/>
          <w:lang w:val="en-US" w:eastAsia="zh-CN"/>
        </w:rPr>
        <w:t>湖南省自然资源云中心消防设备维护和</w:t>
      </w:r>
    </w:p>
    <w:p w14:paraId="01FE80C6">
      <w:pPr>
        <w:jc w:val="center"/>
        <w:rPr>
          <w:rFonts w:hint="eastAsia" w:ascii="方正小标宋简体" w:hAnsi="方正小标宋简体" w:eastAsia="方正小标宋简体" w:cs="方正小标宋简体"/>
          <w:sz w:val="36"/>
          <w:szCs w:val="36"/>
        </w:rPr>
      </w:pPr>
      <w:r>
        <w:rPr>
          <w:rFonts w:hint="eastAsia" w:ascii="方正小标宋简体" w:hAnsi="方正小标宋简体" w:eastAsia="方正小标宋简体" w:cs="方正小标宋简体"/>
          <w:sz w:val="36"/>
          <w:szCs w:val="36"/>
          <w:lang w:val="en-US" w:eastAsia="zh-CN"/>
        </w:rPr>
        <w:t>保养</w:t>
      </w:r>
      <w:r>
        <w:rPr>
          <w:rFonts w:hint="eastAsia" w:ascii="方正小标宋简体" w:hAnsi="方正小标宋简体" w:eastAsia="方正小标宋简体" w:cs="方正小标宋简体"/>
          <w:sz w:val="36"/>
          <w:szCs w:val="36"/>
        </w:rPr>
        <w:t>服务项目</w:t>
      </w:r>
      <w:bookmarkEnd w:id="0"/>
      <w:r>
        <w:rPr>
          <w:rFonts w:hint="eastAsia" w:ascii="方正小标宋简体" w:hAnsi="方正小标宋简体" w:eastAsia="方正小标宋简体" w:cs="方正小标宋简体"/>
          <w:sz w:val="36"/>
          <w:szCs w:val="36"/>
        </w:rPr>
        <w:t>采购需求</w:t>
      </w:r>
    </w:p>
    <w:bookmarkEnd w:id="1"/>
    <w:p w14:paraId="6F86A099">
      <w:pPr>
        <w:pStyle w:val="4"/>
      </w:pPr>
    </w:p>
    <w:p w14:paraId="69ADDB45">
      <w:pPr>
        <w:pStyle w:val="23"/>
        <w:keepNext w:val="0"/>
        <w:keepLines w:val="0"/>
        <w:pageBreakBefore w:val="0"/>
        <w:numPr>
          <w:ilvl w:val="0"/>
          <w:numId w:val="0"/>
        </w:numPr>
        <w:kinsoku/>
        <w:wordWrap/>
        <w:overflowPunct/>
        <w:topLinePunct w:val="0"/>
        <w:autoSpaceDE/>
        <w:autoSpaceDN/>
        <w:bidi w:val="0"/>
        <w:adjustRightInd/>
        <w:snapToGrid/>
        <w:spacing w:afterAutospacing="0" w:line="360" w:lineRule="auto"/>
        <w:ind w:leftChars="200" w:firstLine="320" w:firstLineChars="100"/>
        <w:jc w:val="left"/>
        <w:rPr>
          <w:rFonts w:ascii="黑体" w:hAnsi="黑体" w:eastAsia="黑体" w:cs="黑体"/>
          <w:sz w:val="32"/>
          <w:szCs w:val="32"/>
        </w:rPr>
      </w:pPr>
      <w:r>
        <w:rPr>
          <w:rFonts w:hint="eastAsia" w:ascii="黑体" w:hAnsi="黑体" w:eastAsia="黑体" w:cs="黑体"/>
          <w:sz w:val="32"/>
          <w:szCs w:val="32"/>
          <w:lang w:val="en-US" w:eastAsia="zh-CN"/>
        </w:rPr>
        <w:t>一、</w:t>
      </w:r>
      <w:r>
        <w:rPr>
          <w:rFonts w:hint="eastAsia" w:ascii="黑体" w:hAnsi="黑体" w:eastAsia="黑体" w:cs="黑体"/>
          <w:sz w:val="32"/>
          <w:szCs w:val="32"/>
        </w:rPr>
        <w:t>项目概况</w:t>
      </w:r>
    </w:p>
    <w:p w14:paraId="6E69FCAB">
      <w:pPr>
        <w:keepNext w:val="0"/>
        <w:keepLines w:val="0"/>
        <w:pageBreakBefore w:val="0"/>
        <w:numPr>
          <w:ilvl w:val="0"/>
          <w:numId w:val="1"/>
        </w:numPr>
        <w:kinsoku/>
        <w:wordWrap/>
        <w:overflowPunct/>
        <w:topLinePunct w:val="0"/>
        <w:autoSpaceDE/>
        <w:autoSpaceDN/>
        <w:bidi w:val="0"/>
        <w:adjustRightInd/>
        <w:snapToGrid/>
        <w:spacing w:afterAutospacing="0"/>
        <w:ind w:firstLine="640" w:firstLineChars="200"/>
        <w:rPr>
          <w:rFonts w:hint="eastAsia" w:ascii="仿宋" w:hAnsi="仿宋" w:eastAsia="仿宋" w:cs="仿宋"/>
          <w:color w:val="000000" w:themeColor="text1"/>
          <w:kern w:val="2"/>
          <w:sz w:val="32"/>
          <w:szCs w:val="32"/>
          <w:lang w:val="en-US" w:eastAsia="zh-CN" w:bidi="ar-SA"/>
          <w14:textFill>
            <w14:solidFill>
              <w14:schemeClr w14:val="tx1"/>
            </w14:solidFill>
          </w14:textFill>
        </w:rPr>
      </w:pPr>
      <w:r>
        <w:rPr>
          <w:rFonts w:hint="eastAsia" w:ascii="仿宋" w:hAnsi="仿宋" w:eastAsia="仿宋" w:cs="仿宋"/>
          <w:color w:val="000000" w:themeColor="text1"/>
          <w:kern w:val="2"/>
          <w:sz w:val="32"/>
          <w:szCs w:val="32"/>
          <w:lang w:val="en-US" w:eastAsia="zh-CN" w:bidi="ar-SA"/>
          <w14:textFill>
            <w14:solidFill>
              <w14:schemeClr w14:val="tx1"/>
            </w14:solidFill>
          </w14:textFill>
        </w:rPr>
        <w:t xml:space="preserve">项目名称：湖南省自然资源云中心消防设备年度维与保养服务采购  </w:t>
      </w:r>
    </w:p>
    <w:p w14:paraId="4B93D786">
      <w:pPr>
        <w:keepNext w:val="0"/>
        <w:keepLines w:val="0"/>
        <w:pageBreakBefore w:val="0"/>
        <w:kinsoku/>
        <w:wordWrap/>
        <w:overflowPunct/>
        <w:topLinePunct w:val="0"/>
        <w:autoSpaceDE/>
        <w:autoSpaceDN/>
        <w:bidi w:val="0"/>
        <w:adjustRightInd/>
        <w:snapToGrid/>
        <w:spacing w:afterAutospacing="0"/>
        <w:ind w:firstLine="640" w:firstLineChars="200"/>
        <w:rPr>
          <w:rFonts w:hint="eastAsia" w:ascii="仿宋" w:hAnsi="仿宋" w:eastAsia="仿宋" w:cs="仿宋"/>
          <w:color w:val="000000" w:themeColor="text1"/>
          <w:kern w:val="2"/>
          <w:sz w:val="32"/>
          <w:szCs w:val="32"/>
          <w:lang w:val="en-US" w:eastAsia="zh-CN" w:bidi="ar-SA"/>
          <w14:textFill>
            <w14:solidFill>
              <w14:schemeClr w14:val="tx1"/>
            </w14:solidFill>
          </w14:textFill>
        </w:rPr>
      </w:pPr>
      <w:r>
        <w:rPr>
          <w:rFonts w:hint="eastAsia" w:ascii="仿宋" w:hAnsi="仿宋" w:eastAsia="仿宋" w:cs="仿宋"/>
          <w:color w:val="000000" w:themeColor="text1"/>
          <w:kern w:val="2"/>
          <w:sz w:val="32"/>
          <w:szCs w:val="32"/>
          <w:lang w:val="en-US" w:eastAsia="zh-CN" w:bidi="ar-SA"/>
          <w14:textFill>
            <w14:solidFill>
              <w14:schemeClr w14:val="tx1"/>
            </w14:solidFill>
          </w14:textFill>
        </w:rPr>
        <w:t xml:space="preserve">2. 服务地点：湖南省长沙市天心区芙蓉南路四段158号 </w:t>
      </w:r>
    </w:p>
    <w:p w14:paraId="305CF30E">
      <w:pPr>
        <w:pStyle w:val="23"/>
        <w:keepNext w:val="0"/>
        <w:keepLines w:val="0"/>
        <w:pageBreakBefore w:val="0"/>
        <w:numPr>
          <w:ilvl w:val="0"/>
          <w:numId w:val="0"/>
        </w:numPr>
        <w:kinsoku/>
        <w:wordWrap/>
        <w:overflowPunct/>
        <w:topLinePunct w:val="0"/>
        <w:autoSpaceDE/>
        <w:autoSpaceDN/>
        <w:bidi w:val="0"/>
        <w:adjustRightInd/>
        <w:snapToGrid/>
        <w:spacing w:afterAutospacing="0" w:line="360" w:lineRule="auto"/>
        <w:ind w:leftChars="200" w:firstLine="320" w:firstLineChars="100"/>
        <w:rPr>
          <w:rFonts w:ascii="黑体" w:hAnsi="黑体" w:eastAsia="黑体" w:cs="黑体"/>
          <w:sz w:val="32"/>
          <w:szCs w:val="32"/>
        </w:rPr>
      </w:pPr>
      <w:r>
        <w:rPr>
          <w:rFonts w:hint="eastAsia" w:ascii="黑体" w:hAnsi="黑体" w:eastAsia="黑体" w:cs="黑体"/>
          <w:sz w:val="32"/>
          <w:szCs w:val="32"/>
          <w:lang w:val="en-US" w:eastAsia="zh-CN"/>
        </w:rPr>
        <w:t>二、</w:t>
      </w:r>
      <w:r>
        <w:rPr>
          <w:rFonts w:hint="eastAsia" w:ascii="黑体" w:hAnsi="黑体" w:eastAsia="黑体" w:cs="黑体"/>
          <w:sz w:val="32"/>
          <w:szCs w:val="32"/>
        </w:rPr>
        <w:t>项目预算</w:t>
      </w:r>
    </w:p>
    <w:p w14:paraId="6E4582AF">
      <w:pPr>
        <w:pStyle w:val="11"/>
        <w:keepNext w:val="0"/>
        <w:keepLines w:val="0"/>
        <w:pageBreakBefore w:val="0"/>
        <w:kinsoku/>
        <w:wordWrap/>
        <w:overflowPunct/>
        <w:topLinePunct w:val="0"/>
        <w:autoSpaceDE/>
        <w:autoSpaceDN/>
        <w:bidi w:val="0"/>
        <w:adjustRightInd/>
        <w:snapToGrid/>
        <w:spacing w:afterAutospacing="0"/>
        <w:ind w:left="0" w:leftChars="0" w:firstLine="420" w:firstLineChars="200"/>
        <w:rPr>
          <w:rFonts w:ascii="仿宋" w:hAnsi="仿宋" w:eastAsia="仿宋" w:cs="仿宋"/>
          <w:sz w:val="32"/>
          <w:szCs w:val="32"/>
        </w:rPr>
      </w:pPr>
      <w:r>
        <w:rPr>
          <w:rFonts w:hint="eastAsia"/>
        </w:rPr>
        <w:t xml:space="preserve">  </w:t>
      </w:r>
      <w:r>
        <w:rPr>
          <w:rFonts w:hint="eastAsia" w:ascii="仿宋" w:hAnsi="仿宋" w:eastAsia="仿宋" w:cs="仿宋"/>
          <w:color w:val="000000" w:themeColor="text1"/>
          <w:sz w:val="32"/>
          <w:szCs w:val="32"/>
          <w:lang w:val="en-US" w:eastAsia="zh-CN"/>
          <w14:textFill>
            <w14:solidFill>
              <w14:schemeClr w14:val="tx1"/>
            </w14:solidFill>
          </w14:textFill>
        </w:rPr>
        <w:t>人民币11.2万元（含税包干价），覆盖人工费、设备费、材料费及与履约相关的全部费用。</w:t>
      </w:r>
    </w:p>
    <w:p w14:paraId="1FCD3ED2">
      <w:pPr>
        <w:pStyle w:val="23"/>
        <w:keepNext w:val="0"/>
        <w:keepLines w:val="0"/>
        <w:pageBreakBefore w:val="0"/>
        <w:numPr>
          <w:ilvl w:val="0"/>
          <w:numId w:val="0"/>
        </w:numPr>
        <w:kinsoku/>
        <w:wordWrap/>
        <w:overflowPunct/>
        <w:topLinePunct w:val="0"/>
        <w:autoSpaceDE/>
        <w:autoSpaceDN/>
        <w:bidi w:val="0"/>
        <w:adjustRightInd/>
        <w:snapToGrid/>
        <w:spacing w:afterAutospacing="0" w:line="360" w:lineRule="auto"/>
        <w:ind w:firstLine="640" w:firstLineChars="200"/>
        <w:rPr>
          <w:rFonts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lang w:val="en-US" w:eastAsia="zh-CN"/>
          <w14:textFill>
            <w14:solidFill>
              <w14:schemeClr w14:val="tx1"/>
            </w14:solidFill>
          </w14:textFill>
        </w:rPr>
        <w:t>三、</w:t>
      </w:r>
      <w:r>
        <w:rPr>
          <w:rFonts w:hint="eastAsia" w:ascii="黑体" w:hAnsi="黑体" w:eastAsia="黑体" w:cs="黑体"/>
          <w:sz w:val="32"/>
          <w:szCs w:val="32"/>
          <w:lang w:val="en-US" w:eastAsia="zh-CN"/>
        </w:rPr>
        <w:t>供应商资格要求</w:t>
      </w:r>
    </w:p>
    <w:p w14:paraId="63113741">
      <w:pPr>
        <w:pStyle w:val="23"/>
        <w:keepNext w:val="0"/>
        <w:keepLines w:val="0"/>
        <w:pageBreakBefore w:val="0"/>
        <w:widowControl w:val="0"/>
        <w:numPr>
          <w:ilvl w:val="0"/>
          <w:numId w:val="0"/>
        </w:numPr>
        <w:kinsoku/>
        <w:wordWrap/>
        <w:overflowPunct/>
        <w:topLinePunct w:val="0"/>
        <w:autoSpaceDE/>
        <w:autoSpaceDN/>
        <w:bidi w:val="0"/>
        <w:adjustRightInd/>
        <w:snapToGrid/>
        <w:spacing w:afterAutospacing="0" w:line="360" w:lineRule="auto"/>
        <w:ind w:firstLine="640" w:firstLineChars="200"/>
        <w:jc w:val="both"/>
        <w:rPr>
          <w:rFonts w:hint="eastAsia"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1. 供应商报价须为全包价，并出具加盖公章的《履约承诺函》，承诺具备完全履约能力；</w:t>
      </w:r>
    </w:p>
    <w:p w14:paraId="43DD3B68">
      <w:pPr>
        <w:keepNext w:val="0"/>
        <w:keepLines w:val="0"/>
        <w:pageBreakBefore w:val="0"/>
        <w:numPr>
          <w:ilvl w:val="0"/>
          <w:numId w:val="0"/>
        </w:numPr>
        <w:tabs>
          <w:tab w:val="left" w:pos="709"/>
        </w:tabs>
        <w:kinsoku/>
        <w:wordWrap/>
        <w:overflowPunct/>
        <w:topLinePunct w:val="0"/>
        <w:autoSpaceDE/>
        <w:autoSpaceDN/>
        <w:bidi w:val="0"/>
        <w:adjustRightInd/>
        <w:snapToGrid/>
        <w:spacing w:afterAutospacing="0" w:line="360" w:lineRule="auto"/>
        <w:ind w:firstLine="640" w:firstLineChars="200"/>
        <w:rPr>
          <w:rFonts w:hint="eastAsia" w:ascii="仿宋" w:hAnsi="仿宋" w:eastAsia="仿宋" w:cs="仿宋"/>
          <w:color w:val="000000" w:themeColor="text1"/>
          <w:kern w:val="2"/>
          <w:sz w:val="32"/>
          <w:szCs w:val="32"/>
          <w:lang w:val="en-US" w:eastAsia="zh-CN" w:bidi="ar-SA"/>
          <w14:textFill>
            <w14:solidFill>
              <w14:schemeClr w14:val="tx1"/>
            </w14:solidFill>
          </w14:textFill>
        </w:rPr>
      </w:pPr>
      <w:r>
        <w:rPr>
          <w:rFonts w:hint="eastAsia" w:ascii="仿宋" w:hAnsi="仿宋" w:eastAsia="仿宋" w:cs="仿宋"/>
          <w:color w:val="000000" w:themeColor="text1"/>
          <w:sz w:val="32"/>
          <w:lang w:val="en-US" w:eastAsia="zh-CN" w:bidi="ar-SA"/>
          <w14:textFill>
            <w14:solidFill>
              <w14:schemeClr w14:val="tx1"/>
            </w14:solidFill>
          </w14:textFill>
        </w:rPr>
        <w:t>2.供应商须指派2名持证专业技术人员现场维护</w:t>
      </w:r>
      <w:r>
        <w:rPr>
          <w:rFonts w:hint="eastAsia" w:ascii="仿宋" w:hAnsi="仿宋" w:eastAsia="仿宋" w:cs="仿宋"/>
          <w:color w:val="auto"/>
          <w:kern w:val="2"/>
          <w:sz w:val="32"/>
          <w:szCs w:val="32"/>
          <w:lang w:val="en-US" w:eastAsia="zh-CN" w:bidi="ar-SA"/>
        </w:rPr>
        <w:t>，服务采用双岗协同机制，主岗人员负责日常巡检（每日3次重点区域巡查、1次全系统检测）、预防性维护（每周专项检查3类设备）及应急响应，上班时间为（8:00-18:00），采购人每日进行考勤；副岗人员为机动人员，主要负责对非高峰时段实施错峰巡查（18:00-22:00），主岗人员休息时替代主岗人员工作职责，在遇特殊情况或紧急情况时积极配合主岗人员工作，管理技术文档（建立电子化巡检台账）、配合演练培训。两名</w:t>
      </w:r>
      <w:r>
        <w:rPr>
          <w:rFonts w:hint="eastAsia" w:ascii="仿宋" w:hAnsi="仿宋" w:eastAsia="仿宋" w:cs="仿宋"/>
          <w:color w:val="000000" w:themeColor="text1"/>
          <w:kern w:val="2"/>
          <w:sz w:val="32"/>
          <w:szCs w:val="32"/>
          <w:lang w:val="en-US" w:eastAsia="zh-CN" w:bidi="ar-SA"/>
          <w14:textFill>
            <w14:solidFill>
              <w14:schemeClr w14:val="tx1"/>
            </w14:solidFill>
          </w14:textFill>
        </w:rPr>
        <w:t>技术人员须持有消防设施操作员国家职业四级（中级）及以上资格证书或建（构）筑物消防员四级（中级）及以上资格证书。（提供资格证书扫描件及近半年连续三个月社保证明材料加盖供应商公章）；</w:t>
      </w:r>
    </w:p>
    <w:p w14:paraId="4551229E">
      <w:pPr>
        <w:keepNext w:val="0"/>
        <w:keepLines w:val="0"/>
        <w:pageBreakBefore w:val="0"/>
        <w:numPr>
          <w:ilvl w:val="0"/>
          <w:numId w:val="0"/>
        </w:numPr>
        <w:tabs>
          <w:tab w:val="left" w:pos="709"/>
        </w:tabs>
        <w:kinsoku/>
        <w:wordWrap/>
        <w:overflowPunct/>
        <w:topLinePunct w:val="0"/>
        <w:autoSpaceDE/>
        <w:autoSpaceDN/>
        <w:bidi w:val="0"/>
        <w:adjustRightInd/>
        <w:snapToGrid/>
        <w:spacing w:afterAutospacing="0" w:line="360" w:lineRule="auto"/>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3.供应商按照《应急管理部关于印发&lt;消防技术服务机构从业条件&gt;通知》（应急【2019】88号）文件要求，符合从业条件，在社会消防技术服务信息系统（http://shhxf.119.gov.cn)备案。（需提供相关公示信息截图并加盖供应商公章附于响应文件）；</w:t>
      </w:r>
    </w:p>
    <w:p w14:paraId="44D0C5FA">
      <w:pPr>
        <w:keepNext w:val="0"/>
        <w:keepLines w:val="0"/>
        <w:pageBreakBefore w:val="0"/>
        <w:numPr>
          <w:ilvl w:val="0"/>
          <w:numId w:val="0"/>
        </w:numPr>
        <w:tabs>
          <w:tab w:val="left" w:pos="709"/>
        </w:tabs>
        <w:kinsoku/>
        <w:wordWrap/>
        <w:overflowPunct/>
        <w:topLinePunct w:val="0"/>
        <w:autoSpaceDE/>
        <w:autoSpaceDN/>
        <w:bidi w:val="0"/>
        <w:adjustRightInd/>
        <w:snapToGrid/>
        <w:spacing w:afterAutospacing="0" w:line="360" w:lineRule="auto"/>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4.供应商需承诺近5年内无重大安全事故或法律纠纷记录。</w:t>
      </w:r>
    </w:p>
    <w:p w14:paraId="3D979E44">
      <w:pPr>
        <w:keepNext w:val="0"/>
        <w:keepLines w:val="0"/>
        <w:pageBreakBefore w:val="0"/>
        <w:numPr>
          <w:ilvl w:val="0"/>
          <w:numId w:val="0"/>
        </w:numPr>
        <w:tabs>
          <w:tab w:val="left" w:pos="709"/>
        </w:tabs>
        <w:kinsoku/>
        <w:wordWrap/>
        <w:overflowPunct/>
        <w:topLinePunct w:val="0"/>
        <w:autoSpaceDE/>
        <w:autoSpaceDN/>
        <w:bidi w:val="0"/>
        <w:adjustRightInd/>
        <w:snapToGrid/>
        <w:spacing w:afterAutospacing="0" w:line="360" w:lineRule="auto"/>
        <w:ind w:firstLine="640" w:firstLineChars="200"/>
        <w:rPr>
          <w:rFonts w:hint="default" w:ascii="黑体" w:hAnsi="黑体" w:eastAsia="黑体" w:cs="黑体"/>
          <w:sz w:val="32"/>
          <w:szCs w:val="32"/>
          <w:lang w:val="en-US" w:eastAsia="zh-CN"/>
        </w:rPr>
      </w:pPr>
      <w:r>
        <w:rPr>
          <w:rFonts w:hint="eastAsia" w:ascii="黑体" w:hAnsi="黑体" w:eastAsia="黑体" w:cs="黑体"/>
          <w:sz w:val="32"/>
          <w:szCs w:val="32"/>
          <w:lang w:val="en-US" w:eastAsia="zh-CN"/>
        </w:rPr>
        <w:t>四、服务的范围</w:t>
      </w:r>
    </w:p>
    <w:p w14:paraId="2F9D266E">
      <w:pPr>
        <w:keepNext w:val="0"/>
        <w:keepLines w:val="0"/>
        <w:pageBreakBefore w:val="0"/>
        <w:numPr>
          <w:ilvl w:val="0"/>
          <w:numId w:val="2"/>
        </w:numPr>
        <w:tabs>
          <w:tab w:val="left" w:pos="709"/>
        </w:tabs>
        <w:kinsoku/>
        <w:wordWrap/>
        <w:overflowPunct/>
        <w:topLinePunct w:val="0"/>
        <w:autoSpaceDE/>
        <w:autoSpaceDN/>
        <w:bidi w:val="0"/>
        <w:adjustRightInd/>
        <w:snapToGrid/>
        <w:spacing w:afterAutospacing="0" w:line="360" w:lineRule="auto"/>
        <w:ind w:left="0" w:leftChars="0" w:firstLine="643" w:firstLineChars="200"/>
        <w:rPr>
          <w:rFonts w:hint="eastAsia" w:ascii="仿宋_GB2312" w:hAnsi="楷体" w:eastAsia="仿宋_GB2312" w:cs="楷体"/>
          <w:b/>
          <w:sz w:val="32"/>
          <w:szCs w:val="32"/>
        </w:rPr>
      </w:pPr>
      <w:r>
        <w:rPr>
          <w:rFonts w:hint="eastAsia" w:ascii="仿宋_GB2312" w:hAnsi="楷体" w:eastAsia="仿宋_GB2312" w:cs="楷体"/>
          <w:b/>
          <w:sz w:val="32"/>
          <w:szCs w:val="32"/>
          <w:lang w:val="en-US" w:eastAsia="zh-CN"/>
        </w:rPr>
        <w:t>消防设备维护</w:t>
      </w:r>
    </w:p>
    <w:p w14:paraId="77E777ED">
      <w:pPr>
        <w:keepNext w:val="0"/>
        <w:keepLines w:val="0"/>
        <w:pageBreakBefore w:val="0"/>
        <w:numPr>
          <w:ilvl w:val="0"/>
          <w:numId w:val="0"/>
        </w:numPr>
        <w:tabs>
          <w:tab w:val="left" w:pos="709"/>
        </w:tabs>
        <w:kinsoku/>
        <w:wordWrap/>
        <w:overflowPunct/>
        <w:topLinePunct w:val="0"/>
        <w:autoSpaceDE/>
        <w:autoSpaceDN/>
        <w:bidi w:val="0"/>
        <w:adjustRightInd/>
        <w:snapToGrid/>
        <w:spacing w:afterAutospacing="0" w:line="360" w:lineRule="auto"/>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1.</w:t>
      </w:r>
      <w:r>
        <w:rPr>
          <w:rFonts w:hint="eastAsia" w:ascii="仿宋" w:hAnsi="仿宋" w:eastAsia="仿宋" w:cs="仿宋"/>
          <w:sz w:val="32"/>
          <w:szCs w:val="32"/>
        </w:rPr>
        <w:t>火灾自动报警系统</w:t>
      </w:r>
    </w:p>
    <w:p w14:paraId="5C8EF1D7">
      <w:pPr>
        <w:keepNext w:val="0"/>
        <w:keepLines w:val="0"/>
        <w:pageBreakBefore w:val="0"/>
        <w:numPr>
          <w:ilvl w:val="0"/>
          <w:numId w:val="0"/>
        </w:numPr>
        <w:tabs>
          <w:tab w:val="left" w:pos="709"/>
        </w:tabs>
        <w:kinsoku/>
        <w:wordWrap/>
        <w:overflowPunct/>
        <w:topLinePunct w:val="0"/>
        <w:autoSpaceDE/>
        <w:autoSpaceDN/>
        <w:bidi w:val="0"/>
        <w:adjustRightInd/>
        <w:snapToGrid/>
        <w:spacing w:afterAutospacing="0" w:line="360" w:lineRule="auto"/>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2.管网</w:t>
      </w:r>
      <w:r>
        <w:rPr>
          <w:rFonts w:hint="eastAsia" w:ascii="仿宋" w:hAnsi="仿宋" w:eastAsia="仿宋" w:cs="仿宋"/>
          <w:sz w:val="32"/>
          <w:szCs w:val="32"/>
        </w:rPr>
        <w:t>气体灭火系统</w:t>
      </w:r>
    </w:p>
    <w:p w14:paraId="04D774F7">
      <w:pPr>
        <w:keepNext w:val="0"/>
        <w:keepLines w:val="0"/>
        <w:pageBreakBefore w:val="0"/>
        <w:numPr>
          <w:ilvl w:val="0"/>
          <w:numId w:val="0"/>
        </w:numPr>
        <w:tabs>
          <w:tab w:val="left" w:pos="709"/>
        </w:tabs>
        <w:kinsoku/>
        <w:wordWrap/>
        <w:overflowPunct/>
        <w:topLinePunct w:val="0"/>
        <w:autoSpaceDE/>
        <w:autoSpaceDN/>
        <w:bidi w:val="0"/>
        <w:adjustRightInd/>
        <w:snapToGrid/>
        <w:spacing w:afterAutospacing="0" w:line="360" w:lineRule="auto"/>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3.</w:t>
      </w:r>
      <w:r>
        <w:rPr>
          <w:rFonts w:hint="eastAsia" w:ascii="仿宋" w:hAnsi="仿宋" w:eastAsia="仿宋" w:cs="仿宋"/>
          <w:sz w:val="32"/>
          <w:szCs w:val="32"/>
        </w:rPr>
        <w:t>应急照明和疏散指示系统</w:t>
      </w:r>
    </w:p>
    <w:p w14:paraId="1F7FE646">
      <w:pPr>
        <w:keepNext w:val="0"/>
        <w:keepLines w:val="0"/>
        <w:pageBreakBefore w:val="0"/>
        <w:numPr>
          <w:ilvl w:val="0"/>
          <w:numId w:val="0"/>
        </w:numPr>
        <w:tabs>
          <w:tab w:val="left" w:pos="709"/>
        </w:tabs>
        <w:kinsoku/>
        <w:wordWrap/>
        <w:overflowPunct/>
        <w:topLinePunct w:val="0"/>
        <w:autoSpaceDE/>
        <w:autoSpaceDN/>
        <w:bidi w:val="0"/>
        <w:adjustRightInd/>
        <w:snapToGrid/>
        <w:spacing w:afterAutospacing="0" w:line="360" w:lineRule="auto"/>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4.</w:t>
      </w:r>
      <w:r>
        <w:rPr>
          <w:rFonts w:hint="eastAsia" w:ascii="仿宋" w:hAnsi="仿宋" w:eastAsia="仿宋" w:cs="仿宋"/>
          <w:sz w:val="32"/>
          <w:szCs w:val="32"/>
        </w:rPr>
        <w:t>防排烟系统</w:t>
      </w:r>
    </w:p>
    <w:p w14:paraId="0231A9A4">
      <w:pPr>
        <w:keepNext w:val="0"/>
        <w:keepLines w:val="0"/>
        <w:pageBreakBefore w:val="0"/>
        <w:numPr>
          <w:ilvl w:val="0"/>
          <w:numId w:val="0"/>
        </w:numPr>
        <w:tabs>
          <w:tab w:val="left" w:pos="709"/>
        </w:tabs>
        <w:kinsoku/>
        <w:wordWrap/>
        <w:overflowPunct/>
        <w:topLinePunct w:val="0"/>
        <w:autoSpaceDE/>
        <w:autoSpaceDN/>
        <w:bidi w:val="0"/>
        <w:adjustRightInd/>
        <w:snapToGrid/>
        <w:spacing w:afterAutospacing="0" w:line="360" w:lineRule="auto"/>
        <w:ind w:firstLine="640" w:firstLineChars="200"/>
        <w:rPr>
          <w:rFonts w:hint="eastAsia"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lang w:val="en-US" w:eastAsia="zh-CN"/>
          <w14:textFill>
            <w14:solidFill>
              <w14:schemeClr w14:val="tx1"/>
            </w14:solidFill>
          </w14:textFill>
        </w:rPr>
        <w:t>5.灭火器管理</w:t>
      </w:r>
    </w:p>
    <w:p w14:paraId="7B43775A">
      <w:pPr>
        <w:keepNext w:val="0"/>
        <w:keepLines w:val="0"/>
        <w:pageBreakBefore w:val="0"/>
        <w:numPr>
          <w:ilvl w:val="0"/>
          <w:numId w:val="2"/>
        </w:numPr>
        <w:tabs>
          <w:tab w:val="left" w:pos="709"/>
        </w:tabs>
        <w:kinsoku/>
        <w:wordWrap/>
        <w:overflowPunct/>
        <w:topLinePunct w:val="0"/>
        <w:autoSpaceDE/>
        <w:autoSpaceDN/>
        <w:bidi w:val="0"/>
        <w:adjustRightInd/>
        <w:snapToGrid/>
        <w:spacing w:afterAutospacing="0" w:line="360" w:lineRule="auto"/>
        <w:ind w:left="0" w:leftChars="0" w:firstLine="643" w:firstLineChars="200"/>
        <w:rPr>
          <w:rFonts w:hint="eastAsia" w:ascii="仿宋_GB2312" w:hAnsi="楷体" w:eastAsia="仿宋_GB2312" w:cs="楷体"/>
          <w:b/>
          <w:sz w:val="32"/>
          <w:szCs w:val="32"/>
          <w:lang w:val="en-US" w:eastAsia="zh-CN"/>
        </w:rPr>
      </w:pPr>
      <w:r>
        <w:rPr>
          <w:rFonts w:hint="eastAsia" w:ascii="仿宋_GB2312" w:hAnsi="楷体" w:eastAsia="仿宋_GB2312" w:cs="楷体"/>
          <w:b/>
          <w:sz w:val="32"/>
          <w:szCs w:val="32"/>
          <w:lang w:val="en-US" w:eastAsia="zh-CN"/>
        </w:rPr>
        <w:t xml:space="preserve">服务内容：  </w:t>
      </w:r>
    </w:p>
    <w:p w14:paraId="75198779">
      <w:pPr>
        <w:keepNext w:val="0"/>
        <w:keepLines w:val="0"/>
        <w:pageBreakBefore w:val="0"/>
        <w:numPr>
          <w:ilvl w:val="0"/>
          <w:numId w:val="0"/>
        </w:numPr>
        <w:tabs>
          <w:tab w:val="left" w:pos="709"/>
        </w:tabs>
        <w:kinsoku/>
        <w:wordWrap/>
        <w:overflowPunct/>
        <w:topLinePunct w:val="0"/>
        <w:autoSpaceDE/>
        <w:autoSpaceDN/>
        <w:bidi w:val="0"/>
        <w:adjustRightInd/>
        <w:snapToGrid/>
        <w:spacing w:afterAutospacing="0" w:line="360" w:lineRule="auto"/>
        <w:ind w:leftChars="200" w:firstLine="643" w:firstLineChars="200"/>
        <w:rPr>
          <w:rFonts w:hint="eastAsia" w:ascii="仿宋" w:hAnsi="仿宋" w:eastAsia="仿宋" w:cs="仿宋"/>
          <w:sz w:val="32"/>
          <w:szCs w:val="32"/>
        </w:rPr>
      </w:pPr>
      <w:r>
        <w:rPr>
          <w:rFonts w:hint="eastAsia" w:ascii="仿宋" w:hAnsi="仿宋" w:eastAsia="仿宋" w:cs="仿宋"/>
          <w:b/>
          <w:bCs/>
          <w:sz w:val="32"/>
          <w:szCs w:val="32"/>
          <w:lang w:val="en-US" w:eastAsia="zh-CN"/>
        </w:rPr>
        <w:t>1.</w:t>
      </w:r>
      <w:r>
        <w:rPr>
          <w:rFonts w:hint="eastAsia" w:ascii="仿宋" w:hAnsi="仿宋" w:eastAsia="仿宋" w:cs="仿宋"/>
          <w:b/>
          <w:bCs/>
          <w:sz w:val="32"/>
          <w:szCs w:val="32"/>
        </w:rPr>
        <w:t>月度检查</w:t>
      </w:r>
      <w:r>
        <w:rPr>
          <w:rFonts w:hint="eastAsia" w:ascii="仿宋" w:hAnsi="仿宋" w:eastAsia="仿宋" w:cs="仿宋"/>
          <w:sz w:val="32"/>
          <w:szCs w:val="32"/>
        </w:rPr>
        <w:t>：每月例行检查设备运行状态，记录检查结果并提交报告。</w:t>
      </w:r>
    </w:p>
    <w:p w14:paraId="3D2CBC92">
      <w:pPr>
        <w:keepNext w:val="0"/>
        <w:keepLines w:val="0"/>
        <w:pageBreakBefore w:val="0"/>
        <w:numPr>
          <w:ilvl w:val="0"/>
          <w:numId w:val="0"/>
        </w:numPr>
        <w:tabs>
          <w:tab w:val="left" w:pos="709"/>
        </w:tabs>
        <w:kinsoku/>
        <w:wordWrap/>
        <w:overflowPunct/>
        <w:topLinePunct w:val="0"/>
        <w:autoSpaceDE/>
        <w:autoSpaceDN/>
        <w:bidi w:val="0"/>
        <w:adjustRightInd/>
        <w:snapToGrid/>
        <w:spacing w:afterAutospacing="0" w:line="360" w:lineRule="auto"/>
        <w:ind w:leftChars="200" w:firstLine="643" w:firstLineChars="200"/>
        <w:rPr>
          <w:rFonts w:hint="eastAsia" w:ascii="仿宋" w:hAnsi="仿宋" w:eastAsia="仿宋" w:cs="仿宋"/>
          <w:sz w:val="32"/>
          <w:szCs w:val="32"/>
        </w:rPr>
      </w:pPr>
      <w:r>
        <w:rPr>
          <w:rFonts w:hint="eastAsia" w:ascii="仿宋" w:hAnsi="仿宋" w:eastAsia="仿宋" w:cs="仿宋"/>
          <w:b/>
          <w:bCs/>
          <w:sz w:val="32"/>
          <w:szCs w:val="32"/>
          <w:lang w:val="en-US" w:eastAsia="zh-CN"/>
        </w:rPr>
        <w:t>2.</w:t>
      </w:r>
      <w:r>
        <w:rPr>
          <w:rFonts w:hint="eastAsia" w:ascii="仿宋" w:hAnsi="仿宋" w:eastAsia="仿宋" w:cs="仿宋"/>
          <w:b/>
          <w:bCs/>
          <w:sz w:val="32"/>
          <w:szCs w:val="32"/>
        </w:rPr>
        <w:t>季度维护</w:t>
      </w:r>
      <w:r>
        <w:rPr>
          <w:rFonts w:hint="eastAsia" w:ascii="仿宋" w:hAnsi="仿宋" w:eastAsia="仿宋" w:cs="仿宋"/>
          <w:sz w:val="32"/>
          <w:szCs w:val="32"/>
        </w:rPr>
        <w:t>：每季度全面检查消防系统，包括清洁、润滑</w:t>
      </w:r>
      <w:r>
        <w:rPr>
          <w:rFonts w:hint="eastAsia" w:ascii="仿宋" w:hAnsi="仿宋" w:eastAsia="仿宋" w:cs="仿宋"/>
          <w:sz w:val="32"/>
          <w:szCs w:val="32"/>
          <w:lang w:val="en-US" w:eastAsia="zh-CN"/>
        </w:rPr>
        <w:t>及性能测试</w:t>
      </w:r>
      <w:r>
        <w:rPr>
          <w:rFonts w:hint="eastAsia" w:ascii="仿宋" w:hAnsi="仿宋" w:eastAsia="仿宋" w:cs="仿宋"/>
          <w:sz w:val="32"/>
          <w:szCs w:val="32"/>
        </w:rPr>
        <w:t xml:space="preserve">等。  </w:t>
      </w:r>
    </w:p>
    <w:p w14:paraId="4F0EB9E7">
      <w:pPr>
        <w:keepNext w:val="0"/>
        <w:keepLines w:val="0"/>
        <w:pageBreakBefore w:val="0"/>
        <w:numPr>
          <w:ilvl w:val="0"/>
          <w:numId w:val="0"/>
        </w:numPr>
        <w:tabs>
          <w:tab w:val="left" w:pos="709"/>
        </w:tabs>
        <w:kinsoku/>
        <w:wordWrap/>
        <w:overflowPunct/>
        <w:topLinePunct w:val="0"/>
        <w:autoSpaceDE/>
        <w:autoSpaceDN/>
        <w:bidi w:val="0"/>
        <w:adjustRightInd/>
        <w:snapToGrid/>
        <w:spacing w:afterAutospacing="0" w:line="360" w:lineRule="auto"/>
        <w:ind w:leftChars="200" w:firstLine="643" w:firstLineChars="200"/>
        <w:rPr>
          <w:rFonts w:hint="eastAsia" w:ascii="仿宋" w:hAnsi="仿宋" w:eastAsia="仿宋" w:cs="仿宋"/>
          <w:sz w:val="32"/>
          <w:szCs w:val="32"/>
        </w:rPr>
      </w:pPr>
      <w:r>
        <w:rPr>
          <w:rFonts w:hint="eastAsia" w:ascii="仿宋" w:hAnsi="仿宋" w:eastAsia="仿宋" w:cs="仿宋"/>
          <w:b/>
          <w:bCs/>
          <w:sz w:val="32"/>
          <w:szCs w:val="32"/>
          <w:lang w:val="en-US" w:eastAsia="zh-CN"/>
        </w:rPr>
        <w:t>3.消防演练及培训</w:t>
      </w:r>
      <w:r>
        <w:rPr>
          <w:rFonts w:hint="eastAsia" w:ascii="仿宋" w:hAnsi="仿宋" w:eastAsia="仿宋" w:cs="仿宋"/>
          <w:sz w:val="32"/>
          <w:szCs w:val="32"/>
        </w:rPr>
        <w:t>：每年</w:t>
      </w:r>
      <w:r>
        <w:rPr>
          <w:rFonts w:hint="eastAsia" w:ascii="仿宋" w:hAnsi="仿宋" w:eastAsia="仿宋" w:cs="仿宋"/>
          <w:sz w:val="32"/>
          <w:szCs w:val="32"/>
          <w:lang w:val="en-US" w:eastAsia="zh-CN"/>
        </w:rPr>
        <w:t>开展不小于两</w:t>
      </w:r>
      <w:r>
        <w:rPr>
          <w:rFonts w:hint="eastAsia" w:ascii="仿宋" w:hAnsi="仿宋" w:eastAsia="仿宋" w:cs="仿宋"/>
          <w:sz w:val="32"/>
          <w:szCs w:val="32"/>
        </w:rPr>
        <w:t>次</w:t>
      </w:r>
      <w:r>
        <w:rPr>
          <w:rFonts w:hint="eastAsia" w:ascii="仿宋" w:hAnsi="仿宋" w:eastAsia="仿宋" w:cs="仿宋"/>
          <w:sz w:val="32"/>
          <w:szCs w:val="32"/>
          <w:lang w:val="en-US" w:eastAsia="zh-CN"/>
        </w:rPr>
        <w:t>实景消防演练，提前提交演练方案。</w:t>
      </w:r>
    </w:p>
    <w:p w14:paraId="37588313">
      <w:pPr>
        <w:keepNext w:val="0"/>
        <w:keepLines w:val="0"/>
        <w:pageBreakBefore w:val="0"/>
        <w:numPr>
          <w:ilvl w:val="0"/>
          <w:numId w:val="0"/>
        </w:numPr>
        <w:tabs>
          <w:tab w:val="left" w:pos="709"/>
        </w:tabs>
        <w:kinsoku/>
        <w:wordWrap/>
        <w:overflowPunct/>
        <w:topLinePunct w:val="0"/>
        <w:autoSpaceDE/>
        <w:autoSpaceDN/>
        <w:bidi w:val="0"/>
        <w:adjustRightInd/>
        <w:snapToGrid/>
        <w:spacing w:afterAutospacing="0" w:line="360" w:lineRule="auto"/>
        <w:ind w:leftChars="200" w:firstLine="643" w:firstLineChars="200"/>
        <w:rPr>
          <w:rFonts w:hint="eastAsia" w:ascii="仿宋" w:hAnsi="仿宋" w:eastAsia="仿宋" w:cs="仿宋"/>
          <w:b/>
          <w:bCs/>
          <w:color w:val="auto"/>
          <w:sz w:val="32"/>
          <w:szCs w:val="32"/>
          <w:lang w:val="en-US" w:eastAsia="zh-CN"/>
        </w:rPr>
      </w:pPr>
      <w:r>
        <w:rPr>
          <w:rFonts w:hint="eastAsia" w:ascii="仿宋" w:hAnsi="仿宋" w:eastAsia="仿宋" w:cs="仿宋"/>
          <w:b/>
          <w:bCs/>
          <w:color w:val="auto"/>
          <w:sz w:val="32"/>
          <w:szCs w:val="32"/>
          <w:lang w:val="en-US" w:eastAsia="zh-CN"/>
        </w:rPr>
        <w:t>4.应急维修：</w:t>
      </w:r>
      <w:r>
        <w:rPr>
          <w:rFonts w:hint="eastAsia" w:ascii="仿宋" w:hAnsi="仿宋" w:eastAsia="仿宋" w:cs="仿宋"/>
          <w:color w:val="auto"/>
          <w:sz w:val="32"/>
          <w:szCs w:val="32"/>
          <w:lang w:val="en-US" w:eastAsia="zh-CN"/>
        </w:rPr>
        <w:t>提供7×24小时应急响应，故障修复时限不超过24小时。</w:t>
      </w:r>
    </w:p>
    <w:p w14:paraId="6F959C51">
      <w:pPr>
        <w:keepNext w:val="0"/>
        <w:keepLines w:val="0"/>
        <w:pageBreakBefore w:val="0"/>
        <w:numPr>
          <w:ilvl w:val="0"/>
          <w:numId w:val="0"/>
        </w:numPr>
        <w:tabs>
          <w:tab w:val="left" w:pos="709"/>
        </w:tabs>
        <w:kinsoku/>
        <w:wordWrap/>
        <w:overflowPunct/>
        <w:topLinePunct w:val="0"/>
        <w:autoSpaceDE/>
        <w:autoSpaceDN/>
        <w:bidi w:val="0"/>
        <w:adjustRightInd/>
        <w:snapToGrid/>
        <w:spacing w:afterAutospacing="0" w:line="360" w:lineRule="auto"/>
        <w:ind w:leftChars="200" w:firstLine="643" w:firstLineChars="200"/>
        <w:rPr>
          <w:rFonts w:hint="eastAsia" w:ascii="仿宋" w:hAnsi="仿宋" w:eastAsia="仿宋" w:cs="仿宋"/>
          <w:sz w:val="32"/>
          <w:szCs w:val="32"/>
        </w:rPr>
      </w:pPr>
      <w:r>
        <w:rPr>
          <w:rFonts w:hint="eastAsia" w:ascii="仿宋" w:hAnsi="仿宋" w:eastAsia="仿宋" w:cs="仿宋"/>
          <w:b/>
          <w:bCs/>
          <w:sz w:val="32"/>
          <w:szCs w:val="32"/>
          <w:lang w:val="en-US" w:eastAsia="zh-CN"/>
        </w:rPr>
        <w:t>5.</w:t>
      </w:r>
      <w:r>
        <w:rPr>
          <w:rFonts w:hint="eastAsia" w:ascii="仿宋" w:hAnsi="仿宋" w:eastAsia="仿宋" w:cs="仿宋"/>
          <w:b/>
          <w:bCs/>
          <w:sz w:val="32"/>
          <w:szCs w:val="32"/>
        </w:rPr>
        <w:t>设备更换与维修：</w:t>
      </w:r>
      <w:r>
        <w:rPr>
          <w:rFonts w:hint="eastAsia" w:ascii="仿宋" w:hAnsi="仿宋" w:eastAsia="仿宋" w:cs="仿宋"/>
          <w:sz w:val="32"/>
          <w:szCs w:val="32"/>
        </w:rPr>
        <w:t xml:space="preserve">  </w:t>
      </w:r>
    </w:p>
    <w:p w14:paraId="2A246904">
      <w:pPr>
        <w:keepNext w:val="0"/>
        <w:keepLines w:val="0"/>
        <w:pageBreakBefore w:val="0"/>
        <w:numPr>
          <w:ilvl w:val="0"/>
          <w:numId w:val="0"/>
        </w:numPr>
        <w:kinsoku/>
        <w:wordWrap/>
        <w:overflowPunct/>
        <w:topLinePunct w:val="0"/>
        <w:autoSpaceDE/>
        <w:autoSpaceDN/>
        <w:bidi w:val="0"/>
        <w:adjustRightInd/>
        <w:snapToGrid/>
        <w:spacing w:afterAutospacing="0" w:line="240" w:lineRule="auto"/>
        <w:ind w:leftChars="200" w:firstLine="640" w:firstLineChars="200"/>
        <w:rPr>
          <w:rFonts w:hint="eastAsia"/>
        </w:rPr>
      </w:pPr>
      <w:r>
        <w:rPr>
          <w:rFonts w:hint="eastAsia" w:ascii="仿宋" w:hAnsi="仿宋" w:eastAsia="仿宋" w:cs="仿宋"/>
          <w:sz w:val="32"/>
          <w:szCs w:val="32"/>
        </w:rPr>
        <w:t>不可修复设备需更换同品牌、同性能或更优产品</w:t>
      </w:r>
      <w:r>
        <w:rPr>
          <w:rFonts w:hint="eastAsia" w:ascii="仿宋" w:hAnsi="仿宋" w:eastAsia="仿宋" w:cs="仿宋"/>
          <w:sz w:val="32"/>
          <w:szCs w:val="32"/>
          <w:lang w:eastAsia="zh-CN"/>
        </w:rPr>
        <w:t>；</w:t>
      </w:r>
      <w:r>
        <w:rPr>
          <w:rFonts w:hint="eastAsia" w:ascii="仿宋" w:hAnsi="仿宋" w:eastAsia="仿宋" w:cs="仿宋"/>
          <w:sz w:val="32"/>
          <w:szCs w:val="32"/>
        </w:rPr>
        <w:t>可修复设备需返厂维修，期间提供备品保障系统运行。</w:t>
      </w:r>
    </w:p>
    <w:p w14:paraId="52EDD381">
      <w:pPr>
        <w:pStyle w:val="23"/>
        <w:keepNext w:val="0"/>
        <w:keepLines w:val="0"/>
        <w:pageBreakBefore w:val="0"/>
        <w:numPr>
          <w:ilvl w:val="0"/>
          <w:numId w:val="0"/>
        </w:numPr>
        <w:kinsoku/>
        <w:wordWrap/>
        <w:overflowPunct/>
        <w:topLinePunct w:val="0"/>
        <w:autoSpaceDE/>
        <w:autoSpaceDN/>
        <w:bidi w:val="0"/>
        <w:adjustRightInd/>
        <w:snapToGrid/>
        <w:spacing w:afterAutospacing="0" w:line="360" w:lineRule="auto"/>
        <w:ind w:leftChars="200" w:firstLine="320" w:firstLineChars="100"/>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五、维保设备清单</w:t>
      </w:r>
    </w:p>
    <w:tbl>
      <w:tblPr>
        <w:tblStyle w:val="12"/>
        <w:tblW w:w="8362"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75"/>
        <w:gridCol w:w="3366"/>
        <w:gridCol w:w="1908"/>
        <w:gridCol w:w="738"/>
        <w:gridCol w:w="700"/>
        <w:gridCol w:w="975"/>
      </w:tblGrid>
      <w:tr w14:paraId="17577DA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8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293097">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序号</w:t>
            </w:r>
          </w:p>
        </w:tc>
        <w:tc>
          <w:tcPr>
            <w:tcW w:w="33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712196">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名称</w:t>
            </w:r>
          </w:p>
        </w:tc>
        <w:tc>
          <w:tcPr>
            <w:tcW w:w="19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866F9F">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规格及型号</w:t>
            </w:r>
          </w:p>
        </w:tc>
        <w:tc>
          <w:tcPr>
            <w:tcW w:w="7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562446">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单位</w:t>
            </w:r>
          </w:p>
        </w:tc>
        <w:tc>
          <w:tcPr>
            <w:tcW w:w="7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EBE70D">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数量</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D79F80">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品牌</w:t>
            </w:r>
          </w:p>
        </w:tc>
      </w:tr>
      <w:tr w14:paraId="3ED1F17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0BE4DAA">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33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9C137D9">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灭火剂瓶组</w:t>
            </w:r>
          </w:p>
        </w:tc>
        <w:tc>
          <w:tcPr>
            <w:tcW w:w="190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D6F2C14">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QMP120/4.2W-JB</w:t>
            </w: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9730769">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9CC67C9">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D8A906">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君标</w:t>
            </w:r>
          </w:p>
        </w:tc>
      </w:tr>
      <w:tr w14:paraId="1373FD7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BF084F7">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33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2A5FF26">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动力气体瓶组</w:t>
            </w:r>
          </w:p>
        </w:tc>
        <w:tc>
          <w:tcPr>
            <w:tcW w:w="190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6672D09">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DQP70/13.5W-JB</w:t>
            </w: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2AEDEA7">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73FE147">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9D234C">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君标</w:t>
            </w:r>
          </w:p>
        </w:tc>
      </w:tr>
      <w:tr w14:paraId="26AE867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1DB05B9">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33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6A67FE9">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驱动气体瓶组</w:t>
            </w:r>
          </w:p>
        </w:tc>
        <w:tc>
          <w:tcPr>
            <w:tcW w:w="190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D623FFD">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QQP4/6-JB</w:t>
            </w: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5071A49">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6E68832">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EA793A">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君标</w:t>
            </w:r>
          </w:p>
        </w:tc>
      </w:tr>
      <w:tr w14:paraId="3BB76B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0550A28">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33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1248017">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容器阀</w:t>
            </w:r>
          </w:p>
        </w:tc>
        <w:tc>
          <w:tcPr>
            <w:tcW w:w="190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5496454">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QRF6/6.6-JB</w:t>
            </w: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385550D">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4144C3A">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0BFEFF">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君标</w:t>
            </w:r>
          </w:p>
        </w:tc>
      </w:tr>
      <w:tr w14:paraId="4D4E7FC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31FE7B3">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33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F49A9C0">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喷嘴</w:t>
            </w:r>
          </w:p>
        </w:tc>
        <w:tc>
          <w:tcPr>
            <w:tcW w:w="190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2DC801B">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QPT28/32-JB</w:t>
            </w: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253733F">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5C4BC72">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0C8D68">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君标</w:t>
            </w:r>
          </w:p>
        </w:tc>
      </w:tr>
      <w:tr w14:paraId="32F4B30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AE0BD81">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33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DE2BBCB">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喷嘴</w:t>
            </w:r>
          </w:p>
        </w:tc>
        <w:tc>
          <w:tcPr>
            <w:tcW w:w="190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9DB3282">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QPT48/40-JB</w:t>
            </w: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959DF51">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D79D286">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40</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E9D15F">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君标</w:t>
            </w:r>
          </w:p>
        </w:tc>
      </w:tr>
      <w:tr w14:paraId="037208E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E76F86B">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w:t>
            </w:r>
          </w:p>
        </w:tc>
        <w:tc>
          <w:tcPr>
            <w:tcW w:w="33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AA87EF4">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选择阀</w:t>
            </w:r>
          </w:p>
        </w:tc>
        <w:tc>
          <w:tcPr>
            <w:tcW w:w="190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465063E">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QXZ50/5.3-JB</w:t>
            </w: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5D54CA0">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711AA45">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11AF57">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君标</w:t>
            </w:r>
          </w:p>
        </w:tc>
      </w:tr>
      <w:tr w14:paraId="5424CC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47FAC43">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33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1C07B64">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选择阀</w:t>
            </w:r>
          </w:p>
        </w:tc>
        <w:tc>
          <w:tcPr>
            <w:tcW w:w="190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C73A8AD">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QXZ65/5.3-JB</w:t>
            </w: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6AAC31A">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A8B40C7">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31CA9A">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君标</w:t>
            </w:r>
          </w:p>
        </w:tc>
      </w:tr>
      <w:tr w14:paraId="4A0AF2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B524349">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w:t>
            </w:r>
          </w:p>
        </w:tc>
        <w:tc>
          <w:tcPr>
            <w:tcW w:w="33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00D0510">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选择阀</w:t>
            </w:r>
          </w:p>
        </w:tc>
        <w:tc>
          <w:tcPr>
            <w:tcW w:w="190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3A02C06">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QXZ100/5.3-JB</w:t>
            </w: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7513293">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818D810">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8F4E84">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君标</w:t>
            </w:r>
          </w:p>
        </w:tc>
      </w:tr>
      <w:tr w14:paraId="4E4B2C6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00645D2">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33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F7A49DA">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选择阀</w:t>
            </w:r>
          </w:p>
        </w:tc>
        <w:tc>
          <w:tcPr>
            <w:tcW w:w="190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B456141">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QXZ125/5.3-JB</w:t>
            </w: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E332CE6">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865B775">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2833DB">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君标</w:t>
            </w:r>
          </w:p>
        </w:tc>
      </w:tr>
      <w:tr w14:paraId="5E113A3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59B9BAD">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33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A4BABBA">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灭火剂单向阀</w:t>
            </w:r>
          </w:p>
        </w:tc>
        <w:tc>
          <w:tcPr>
            <w:tcW w:w="190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1DD8E14">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QYD50/5.3-JB</w:t>
            </w: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4A36A8E">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18B383E">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F7C0C8">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君标</w:t>
            </w:r>
          </w:p>
        </w:tc>
      </w:tr>
      <w:tr w14:paraId="46EBC5B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E3C39CC">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33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58AA18C">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气体单向阀</w:t>
            </w:r>
          </w:p>
        </w:tc>
        <w:tc>
          <w:tcPr>
            <w:tcW w:w="190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E55E228">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QRF6/6.6-JB</w:t>
            </w: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FC265F5">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51BCB29">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3A87E0">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君标</w:t>
            </w:r>
          </w:p>
        </w:tc>
      </w:tr>
      <w:tr w14:paraId="14B7BE4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A514B82">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33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3A7711D">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集流管</w:t>
            </w:r>
          </w:p>
        </w:tc>
        <w:tc>
          <w:tcPr>
            <w:tcW w:w="190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ABC8E40">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QJG50/5.3-JB</w:t>
            </w: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753D5B7">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件</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C5E89F6">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A55462">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君标</w:t>
            </w:r>
          </w:p>
        </w:tc>
      </w:tr>
      <w:tr w14:paraId="1ADBF6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F7AF797">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w:t>
            </w:r>
          </w:p>
        </w:tc>
        <w:tc>
          <w:tcPr>
            <w:tcW w:w="33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9FFD19A">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灭火剂瓶组连接管</w:t>
            </w:r>
          </w:p>
        </w:tc>
        <w:tc>
          <w:tcPr>
            <w:tcW w:w="190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F92AC14">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QRG50/5.3-JB</w:t>
            </w: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CCAC02D">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根</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7B436D9">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8FDC57">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君标</w:t>
            </w:r>
          </w:p>
        </w:tc>
      </w:tr>
      <w:tr w14:paraId="30D000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08993EA">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w:t>
            </w:r>
          </w:p>
        </w:tc>
        <w:tc>
          <w:tcPr>
            <w:tcW w:w="33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B100C33">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动力气体瓶组与减压装置间连接管</w:t>
            </w:r>
          </w:p>
        </w:tc>
        <w:tc>
          <w:tcPr>
            <w:tcW w:w="190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459C2CC">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QWRG12/15-JB</w:t>
            </w: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94C3801">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根</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89B0BAD">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977C70">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君标</w:t>
            </w:r>
          </w:p>
        </w:tc>
      </w:tr>
      <w:tr w14:paraId="1E8DF6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B06AAFF">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w:t>
            </w:r>
          </w:p>
        </w:tc>
        <w:tc>
          <w:tcPr>
            <w:tcW w:w="33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66F270C">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驱动气体管路连接管</w:t>
            </w:r>
          </w:p>
        </w:tc>
        <w:tc>
          <w:tcPr>
            <w:tcW w:w="190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FEDACE8">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Φ8*φ6</w:t>
            </w: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EC07979">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8AC06DD">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60</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9F6CCA">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君标</w:t>
            </w:r>
          </w:p>
        </w:tc>
      </w:tr>
      <w:tr w14:paraId="6EBDB7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D29A5E1">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w:t>
            </w:r>
          </w:p>
        </w:tc>
        <w:tc>
          <w:tcPr>
            <w:tcW w:w="33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703567B">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安全泄放装置</w:t>
            </w:r>
          </w:p>
        </w:tc>
        <w:tc>
          <w:tcPr>
            <w:tcW w:w="190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9910BD0">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QAX7.5-JB</w:t>
            </w: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1AFF58F">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1D91F00">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C5FF71">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君标</w:t>
            </w:r>
          </w:p>
        </w:tc>
      </w:tr>
      <w:tr w14:paraId="3B4A8C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AEFD29B">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w:t>
            </w:r>
          </w:p>
        </w:tc>
        <w:tc>
          <w:tcPr>
            <w:tcW w:w="33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D32991C">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电磁型驱动装置</w:t>
            </w:r>
          </w:p>
        </w:tc>
        <w:tc>
          <w:tcPr>
            <w:tcW w:w="190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1051D45">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QDQ90N-JB</w:t>
            </w: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FF863F7">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B9E4EC9">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19C99A">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君标</w:t>
            </w:r>
          </w:p>
        </w:tc>
      </w:tr>
      <w:tr w14:paraId="5056609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3E3A27A">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19</w:t>
            </w:r>
          </w:p>
        </w:tc>
        <w:tc>
          <w:tcPr>
            <w:tcW w:w="33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33A8B73">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动力气体瓶组上压力显示器</w:t>
            </w:r>
          </w:p>
        </w:tc>
        <w:tc>
          <w:tcPr>
            <w:tcW w:w="190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3C0D63B">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0~30MPA</w:t>
            </w: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08EA64C">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E4C22EA">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5C0DCA">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君标</w:t>
            </w:r>
          </w:p>
        </w:tc>
      </w:tr>
      <w:tr w14:paraId="29B17E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AC96680">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33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1C84C28">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驱动气体瓶组上压力显示器</w:t>
            </w:r>
          </w:p>
        </w:tc>
        <w:tc>
          <w:tcPr>
            <w:tcW w:w="190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9E25746">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0~12MPA</w:t>
            </w: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E1C3728">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CE0B928">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2BC2DE">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君标</w:t>
            </w:r>
          </w:p>
        </w:tc>
      </w:tr>
      <w:tr w14:paraId="45D5AAC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9851B6C">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21</w:t>
            </w:r>
          </w:p>
        </w:tc>
        <w:tc>
          <w:tcPr>
            <w:tcW w:w="33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E157887">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信号反馈装置</w:t>
            </w:r>
          </w:p>
        </w:tc>
        <w:tc>
          <w:tcPr>
            <w:tcW w:w="190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4B689D4">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QXF0.8/5.3-JB</w:t>
            </w: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12BAB72">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289FF25">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4BD4E7">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君标</w:t>
            </w:r>
          </w:p>
        </w:tc>
      </w:tr>
      <w:tr w14:paraId="0BC1929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B6A576F">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22</w:t>
            </w:r>
          </w:p>
        </w:tc>
        <w:tc>
          <w:tcPr>
            <w:tcW w:w="33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990044F">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低泄高封阀</w:t>
            </w:r>
          </w:p>
        </w:tc>
        <w:tc>
          <w:tcPr>
            <w:tcW w:w="190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D347784">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QDG0.3/6.6-JB</w:t>
            </w: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4E4102A">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EE44FF4">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45F27A">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君标</w:t>
            </w:r>
          </w:p>
        </w:tc>
      </w:tr>
      <w:tr w14:paraId="616DE8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04FC391">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23</w:t>
            </w:r>
          </w:p>
        </w:tc>
        <w:tc>
          <w:tcPr>
            <w:tcW w:w="33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E4D0FE1">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泄压装置</w:t>
            </w:r>
          </w:p>
        </w:tc>
        <w:tc>
          <w:tcPr>
            <w:tcW w:w="190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D253D3D">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XYZ-0.12-J-KB</w:t>
            </w: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03F0DD5">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2F86369">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77A3A2">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君标</w:t>
            </w:r>
          </w:p>
        </w:tc>
      </w:tr>
      <w:tr w14:paraId="2571B5E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905D572">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24</w:t>
            </w:r>
          </w:p>
        </w:tc>
        <w:tc>
          <w:tcPr>
            <w:tcW w:w="33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60C81A8">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泄压装置</w:t>
            </w:r>
          </w:p>
        </w:tc>
        <w:tc>
          <w:tcPr>
            <w:tcW w:w="190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0E6D3C0">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XYZ-0.25-J-KB</w:t>
            </w: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A3EA01E">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B5C390D">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391E2D">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君标</w:t>
            </w:r>
          </w:p>
        </w:tc>
      </w:tr>
      <w:tr w14:paraId="2BFC747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ED9DDD0">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25</w:t>
            </w:r>
          </w:p>
        </w:tc>
        <w:tc>
          <w:tcPr>
            <w:tcW w:w="33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0D8745C">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点型光电感烟火灾探测器</w:t>
            </w:r>
          </w:p>
        </w:tc>
        <w:tc>
          <w:tcPr>
            <w:tcW w:w="190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C4B9486">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JTY-GD-G3X</w:t>
            </w: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432C84C">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DD8E2E8">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26</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E2656E">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海湾</w:t>
            </w:r>
          </w:p>
        </w:tc>
      </w:tr>
      <w:tr w14:paraId="76FD237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B543C7C">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26</w:t>
            </w:r>
          </w:p>
        </w:tc>
        <w:tc>
          <w:tcPr>
            <w:tcW w:w="33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D4E8C34">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点型感温火灾探测器</w:t>
            </w:r>
          </w:p>
        </w:tc>
        <w:tc>
          <w:tcPr>
            <w:tcW w:w="190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994BB4B">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JTW-ZCD-G3N</w:t>
            </w: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45B5F4A">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E27548F">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54</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943C44">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海湾</w:t>
            </w:r>
          </w:p>
        </w:tc>
      </w:tr>
      <w:tr w14:paraId="6A049F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FBE56A2">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27</w:t>
            </w:r>
          </w:p>
        </w:tc>
        <w:tc>
          <w:tcPr>
            <w:tcW w:w="33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C3805DD">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手动火灾报警按钮</w:t>
            </w:r>
          </w:p>
        </w:tc>
        <w:tc>
          <w:tcPr>
            <w:tcW w:w="190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7CED827">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J-SAM-GST9122B</w:t>
            </w: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B0C5E0C">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22ACD7F">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147428">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海湾</w:t>
            </w:r>
          </w:p>
        </w:tc>
      </w:tr>
      <w:tr w14:paraId="627BA41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B51FA8B">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28</w:t>
            </w:r>
          </w:p>
        </w:tc>
        <w:tc>
          <w:tcPr>
            <w:tcW w:w="33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E87F2E3">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火灾声光警报器</w:t>
            </w:r>
          </w:p>
        </w:tc>
        <w:tc>
          <w:tcPr>
            <w:tcW w:w="190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ABC7CEC">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GST-HX-200A</w:t>
            </w: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1B68CF8">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17EBA4C">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657785">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海湾</w:t>
            </w:r>
          </w:p>
        </w:tc>
      </w:tr>
      <w:tr w14:paraId="07C70BA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EC07F64">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29</w:t>
            </w:r>
          </w:p>
        </w:tc>
        <w:tc>
          <w:tcPr>
            <w:tcW w:w="33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E0ADCD4">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火灾声光警报器</w:t>
            </w:r>
          </w:p>
        </w:tc>
        <w:tc>
          <w:tcPr>
            <w:tcW w:w="190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B333D3C">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GST-HX-240B</w:t>
            </w: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AB42B73">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051EBE2">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4F29DF">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海湾</w:t>
            </w:r>
          </w:p>
        </w:tc>
      </w:tr>
      <w:tr w14:paraId="67BD14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04E4C5F">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w:t>
            </w:r>
          </w:p>
        </w:tc>
        <w:tc>
          <w:tcPr>
            <w:tcW w:w="33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D7B8EAC">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警铃</w:t>
            </w:r>
          </w:p>
        </w:tc>
        <w:tc>
          <w:tcPr>
            <w:tcW w:w="190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B4B84C0">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HY6711</w:t>
            </w: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6F531E1">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C11B118">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FA24A7">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海湾</w:t>
            </w:r>
          </w:p>
        </w:tc>
      </w:tr>
      <w:tr w14:paraId="1FDC4BF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B561B7C">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31</w:t>
            </w:r>
          </w:p>
        </w:tc>
        <w:tc>
          <w:tcPr>
            <w:tcW w:w="33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9EFBC28">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输入模块</w:t>
            </w:r>
          </w:p>
        </w:tc>
        <w:tc>
          <w:tcPr>
            <w:tcW w:w="190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E75225E">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GST-LD-8300B</w:t>
            </w: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ED38502">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3AC861F">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A8D772">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海湾</w:t>
            </w:r>
          </w:p>
        </w:tc>
      </w:tr>
      <w:tr w14:paraId="01A57AA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515492F">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32</w:t>
            </w:r>
          </w:p>
        </w:tc>
        <w:tc>
          <w:tcPr>
            <w:tcW w:w="33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4E3A58A">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输入/输出模块</w:t>
            </w:r>
          </w:p>
        </w:tc>
        <w:tc>
          <w:tcPr>
            <w:tcW w:w="190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CEB240D">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GST-LD-8301A</w:t>
            </w: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BAFB998">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B42155C">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42EEF5">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海湾</w:t>
            </w:r>
          </w:p>
        </w:tc>
      </w:tr>
      <w:tr w14:paraId="142D300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47A7A8F">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33</w:t>
            </w:r>
          </w:p>
        </w:tc>
        <w:tc>
          <w:tcPr>
            <w:tcW w:w="33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ED3ACDB">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隔离器</w:t>
            </w:r>
          </w:p>
        </w:tc>
        <w:tc>
          <w:tcPr>
            <w:tcW w:w="190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9B36D31">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GST-LD-8313B</w:t>
            </w: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48BC026">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B1F5437">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E3315C">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海湾</w:t>
            </w:r>
          </w:p>
        </w:tc>
      </w:tr>
      <w:tr w14:paraId="6FE99C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FBC9619">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34</w:t>
            </w:r>
          </w:p>
        </w:tc>
        <w:tc>
          <w:tcPr>
            <w:tcW w:w="33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BCDD1D5">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模块箱</w:t>
            </w:r>
          </w:p>
        </w:tc>
        <w:tc>
          <w:tcPr>
            <w:tcW w:w="190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5772E38">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GST-JX102</w:t>
            </w: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F9AA1C0">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49A7AC1">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CF6EAA">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海湾</w:t>
            </w:r>
          </w:p>
        </w:tc>
      </w:tr>
      <w:tr w14:paraId="1F85BB3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3766FF9">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35</w:t>
            </w:r>
          </w:p>
        </w:tc>
        <w:tc>
          <w:tcPr>
            <w:tcW w:w="33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E5EE36F">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消防电话分机</w:t>
            </w:r>
          </w:p>
        </w:tc>
        <w:tc>
          <w:tcPr>
            <w:tcW w:w="190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B7D16FF">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GST-TS-100A</w:t>
            </w: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208D544">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5DBE0EE">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2D5A5E">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海湾</w:t>
            </w:r>
          </w:p>
        </w:tc>
      </w:tr>
      <w:tr w14:paraId="65191D5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2573AD0">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36</w:t>
            </w:r>
          </w:p>
        </w:tc>
        <w:tc>
          <w:tcPr>
            <w:tcW w:w="33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DF60F31">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扬声器</w:t>
            </w:r>
          </w:p>
        </w:tc>
        <w:tc>
          <w:tcPr>
            <w:tcW w:w="190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85BB740">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HY6251</w:t>
            </w: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DEE2D67">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D09F2BC">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3BA48C">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海湾</w:t>
            </w:r>
          </w:p>
        </w:tc>
      </w:tr>
      <w:tr w14:paraId="72CF13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90D1ACB">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37</w:t>
            </w:r>
          </w:p>
        </w:tc>
        <w:tc>
          <w:tcPr>
            <w:tcW w:w="33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03DBD95">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气体灭火控制器</w:t>
            </w:r>
          </w:p>
        </w:tc>
        <w:tc>
          <w:tcPr>
            <w:tcW w:w="190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25EF5CC">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GST-QKP04 </w:t>
            </w: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949D6A3">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A355A67">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D4FFF0">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海湾</w:t>
            </w:r>
          </w:p>
        </w:tc>
      </w:tr>
      <w:tr w14:paraId="52056B8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DB3E992">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38</w:t>
            </w:r>
          </w:p>
        </w:tc>
        <w:tc>
          <w:tcPr>
            <w:tcW w:w="33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853F8DA">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气体释放警报器</w:t>
            </w:r>
          </w:p>
        </w:tc>
        <w:tc>
          <w:tcPr>
            <w:tcW w:w="190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BD65857">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GST-LD-8317</w:t>
            </w: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39DA1EB">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9EC6D26">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F0693C">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海湾</w:t>
            </w:r>
          </w:p>
        </w:tc>
      </w:tr>
      <w:tr w14:paraId="5452AD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280D14E">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39</w:t>
            </w:r>
          </w:p>
        </w:tc>
        <w:tc>
          <w:tcPr>
            <w:tcW w:w="33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87B54BC">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紧急启停按钮</w:t>
            </w:r>
          </w:p>
        </w:tc>
        <w:tc>
          <w:tcPr>
            <w:tcW w:w="190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896C3E8">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GST-LD-8318</w:t>
            </w: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3338783">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45E7156">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377BAD">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海湾</w:t>
            </w:r>
          </w:p>
        </w:tc>
      </w:tr>
      <w:tr w14:paraId="4414D5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CCE79F5">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40</w:t>
            </w:r>
          </w:p>
        </w:tc>
        <w:tc>
          <w:tcPr>
            <w:tcW w:w="33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E2D97FF">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火灾报警控制器（联动型</w:t>
            </w:r>
          </w:p>
        </w:tc>
        <w:tc>
          <w:tcPr>
            <w:tcW w:w="190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948544E">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JB-QB-GST200</w:t>
            </w: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30513A8">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709024C">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4EEDAA">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海湾</w:t>
            </w:r>
          </w:p>
        </w:tc>
      </w:tr>
      <w:tr w14:paraId="2049A8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E1E2DB3">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41</w:t>
            </w:r>
          </w:p>
        </w:tc>
        <w:tc>
          <w:tcPr>
            <w:tcW w:w="33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EDBD33F">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联网接口卡</w:t>
            </w:r>
          </w:p>
        </w:tc>
        <w:tc>
          <w:tcPr>
            <w:tcW w:w="190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5830F16">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GST-LWK200</w:t>
            </w: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D0572CB">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453256C">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45085E">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海湾</w:t>
            </w:r>
          </w:p>
        </w:tc>
      </w:tr>
      <w:tr w14:paraId="18769DE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B04B27B">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42</w:t>
            </w:r>
          </w:p>
        </w:tc>
        <w:tc>
          <w:tcPr>
            <w:tcW w:w="33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1DA0AB5">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壁挂式应急照明控制器</w:t>
            </w:r>
          </w:p>
        </w:tc>
        <w:tc>
          <w:tcPr>
            <w:tcW w:w="190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343336C">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M6091(M-C-3)</w:t>
            </w: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4B4D0E8">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96A4D64">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39F4FD">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敏华</w:t>
            </w:r>
          </w:p>
        </w:tc>
      </w:tr>
      <w:tr w14:paraId="301909E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92992A3">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43</w:t>
            </w:r>
          </w:p>
        </w:tc>
        <w:tc>
          <w:tcPr>
            <w:tcW w:w="33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E967DF3">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应急照明集中电源</w:t>
            </w:r>
          </w:p>
        </w:tc>
        <w:tc>
          <w:tcPr>
            <w:tcW w:w="190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C324D2B">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M-PJ60097</w:t>
            </w: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55CC1C7">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47645F6">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5B5C32">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敏华</w:t>
            </w:r>
          </w:p>
        </w:tc>
      </w:tr>
      <w:tr w14:paraId="4D03F79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769CA2B">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44</w:t>
            </w:r>
          </w:p>
        </w:tc>
        <w:tc>
          <w:tcPr>
            <w:tcW w:w="33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1237CCF">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消防应急照明灯</w:t>
            </w:r>
          </w:p>
        </w:tc>
        <w:tc>
          <w:tcPr>
            <w:tcW w:w="190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EBF6D3C">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M-ZFJC-E3W6050</w:t>
            </w: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9C6AD2C">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7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B5322A">
            <w:pPr>
              <w:keepNext w:val="0"/>
              <w:keepLines w:val="0"/>
              <w:widowControl/>
              <w:suppressLineNumbers w:val="0"/>
              <w:jc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F6DF55">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敏华</w:t>
            </w:r>
          </w:p>
        </w:tc>
      </w:tr>
      <w:tr w14:paraId="418709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BA47789">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45</w:t>
            </w:r>
          </w:p>
        </w:tc>
        <w:tc>
          <w:tcPr>
            <w:tcW w:w="33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FC7AF88">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消防应急照明灯</w:t>
            </w:r>
          </w:p>
        </w:tc>
        <w:tc>
          <w:tcPr>
            <w:tcW w:w="190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D557F71">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M-ZFJC-E3W6049</w:t>
            </w: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1CCED7C">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7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1BDE6B">
            <w:pPr>
              <w:keepNext w:val="0"/>
              <w:keepLines w:val="0"/>
              <w:widowControl/>
              <w:suppressLineNumbers w:val="0"/>
              <w:jc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33</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BA3FF2">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敏华</w:t>
            </w:r>
          </w:p>
        </w:tc>
      </w:tr>
      <w:tr w14:paraId="755E5A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4A2D6B9">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46</w:t>
            </w:r>
          </w:p>
        </w:tc>
        <w:tc>
          <w:tcPr>
            <w:tcW w:w="33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557A42">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消防应急标志灯（单面双向</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壁挂）</w:t>
            </w:r>
          </w:p>
        </w:tc>
        <w:tc>
          <w:tcPr>
            <w:tcW w:w="190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A0EC6D8">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M-BLJC-1LRE I 1WZLF</w:t>
            </w: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E8511B0">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7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C5290D">
            <w:pPr>
              <w:keepNext w:val="0"/>
              <w:keepLines w:val="0"/>
              <w:widowControl/>
              <w:suppressLineNumbers w:val="0"/>
              <w:jc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074915">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敏华</w:t>
            </w:r>
          </w:p>
        </w:tc>
      </w:tr>
      <w:tr w14:paraId="7B21611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010D55D">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47</w:t>
            </w:r>
          </w:p>
        </w:tc>
        <w:tc>
          <w:tcPr>
            <w:tcW w:w="33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DFC1B4">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消防应急标志灯（单面单向</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壁挂）</w:t>
            </w:r>
          </w:p>
        </w:tc>
        <w:tc>
          <w:tcPr>
            <w:tcW w:w="190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12D982F">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M-BLJC-1LROEⅡ0.5WZMM</w:t>
            </w: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8BAE485">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7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35DA7E">
            <w:pPr>
              <w:keepNext w:val="0"/>
              <w:keepLines w:val="0"/>
              <w:widowControl/>
              <w:suppressLineNumbers w:val="0"/>
              <w:jc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A168E3">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敏华</w:t>
            </w:r>
          </w:p>
        </w:tc>
      </w:tr>
      <w:tr w14:paraId="59B77F6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C02357A">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48</w:t>
            </w:r>
          </w:p>
        </w:tc>
        <w:tc>
          <w:tcPr>
            <w:tcW w:w="33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630D72">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消防应急标志灯（疏散出口）</w:t>
            </w:r>
          </w:p>
        </w:tc>
        <w:tc>
          <w:tcPr>
            <w:tcW w:w="190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BE8A1A5">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M-BLJC-1LROEI 1WZLG</w:t>
            </w: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FFCB686">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7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F3A00E">
            <w:pPr>
              <w:keepNext w:val="0"/>
              <w:keepLines w:val="0"/>
              <w:widowControl/>
              <w:suppressLineNumbers w:val="0"/>
              <w:jc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28D72B">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敏华</w:t>
            </w:r>
          </w:p>
        </w:tc>
      </w:tr>
      <w:tr w14:paraId="0C1C9E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2F3858F">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49</w:t>
            </w:r>
          </w:p>
        </w:tc>
        <w:tc>
          <w:tcPr>
            <w:tcW w:w="33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952739">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消防应急标志灯（单面双向</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吊挂）</w:t>
            </w:r>
          </w:p>
        </w:tc>
        <w:tc>
          <w:tcPr>
            <w:tcW w:w="190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F3DA0A3">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M-BLJC-2LROEⅡ0.5WZMM</w:t>
            </w: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5F7A06D">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7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45FE58">
            <w:pPr>
              <w:keepNext w:val="0"/>
              <w:keepLines w:val="0"/>
              <w:widowControl/>
              <w:suppressLineNumbers w:val="0"/>
              <w:jc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C5EC10">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敏华</w:t>
            </w:r>
          </w:p>
        </w:tc>
      </w:tr>
      <w:tr w14:paraId="50551C5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B5A6EF5">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w:t>
            </w:r>
          </w:p>
        </w:tc>
        <w:tc>
          <w:tcPr>
            <w:tcW w:w="33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DB25E4">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风机控制箱</w:t>
            </w:r>
          </w:p>
        </w:tc>
        <w:tc>
          <w:tcPr>
            <w:tcW w:w="190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6FB49D">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400*500*200</w:t>
            </w: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F5DF3BB">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9B1941D">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4C94F6">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定制</w:t>
            </w:r>
          </w:p>
        </w:tc>
      </w:tr>
      <w:tr w14:paraId="6F0483A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5D84152">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51</w:t>
            </w:r>
          </w:p>
        </w:tc>
        <w:tc>
          <w:tcPr>
            <w:tcW w:w="33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4083A0">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远程控制按钮（风机）</w:t>
            </w:r>
          </w:p>
        </w:tc>
        <w:tc>
          <w:tcPr>
            <w:tcW w:w="190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653035">
            <w:pPr>
              <w:jc w:val="center"/>
              <w:rPr>
                <w:rFonts w:hint="eastAsia" w:ascii="宋体" w:hAnsi="宋体" w:eastAsia="宋体" w:cs="宋体"/>
                <w:i w:val="0"/>
                <w:iCs w:val="0"/>
                <w:color w:val="000000"/>
                <w:sz w:val="21"/>
                <w:szCs w:val="21"/>
                <w:u w:val="none"/>
              </w:rPr>
            </w:pP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AB78DF7">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0C8327D">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3BE299">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定制</w:t>
            </w:r>
          </w:p>
        </w:tc>
      </w:tr>
      <w:tr w14:paraId="7A1E217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A89D832">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52</w:t>
            </w:r>
          </w:p>
        </w:tc>
        <w:tc>
          <w:tcPr>
            <w:tcW w:w="33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34A5EA">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70℃防火阀 1250×400</w:t>
            </w:r>
          </w:p>
        </w:tc>
        <w:tc>
          <w:tcPr>
            <w:tcW w:w="190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2B5EBC">
            <w:pPr>
              <w:jc w:val="center"/>
              <w:rPr>
                <w:rFonts w:hint="eastAsia" w:ascii="宋体" w:hAnsi="宋体" w:eastAsia="宋体" w:cs="宋体"/>
                <w:i w:val="0"/>
                <w:iCs w:val="0"/>
                <w:color w:val="000000"/>
                <w:sz w:val="21"/>
                <w:szCs w:val="21"/>
                <w:u w:val="none"/>
              </w:rPr>
            </w:pP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D3F3A13">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1957568">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F330A7">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宏安</w:t>
            </w:r>
          </w:p>
        </w:tc>
      </w:tr>
      <w:tr w14:paraId="554804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68011A6">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53</w:t>
            </w:r>
          </w:p>
        </w:tc>
        <w:tc>
          <w:tcPr>
            <w:tcW w:w="33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46C87C">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70℃防火阀 630×250</w:t>
            </w:r>
          </w:p>
        </w:tc>
        <w:tc>
          <w:tcPr>
            <w:tcW w:w="190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925E85">
            <w:pPr>
              <w:jc w:val="center"/>
              <w:rPr>
                <w:rFonts w:hint="eastAsia" w:ascii="宋体" w:hAnsi="宋体" w:eastAsia="宋体" w:cs="宋体"/>
                <w:i w:val="0"/>
                <w:iCs w:val="0"/>
                <w:color w:val="000000"/>
                <w:sz w:val="21"/>
                <w:szCs w:val="21"/>
                <w:u w:val="none"/>
              </w:rPr>
            </w:pP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255045F">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D55E799">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9EB406">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宏安</w:t>
            </w:r>
          </w:p>
        </w:tc>
      </w:tr>
      <w:tr w14:paraId="47E2B3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5F547F3">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54</w:t>
            </w:r>
          </w:p>
        </w:tc>
        <w:tc>
          <w:tcPr>
            <w:tcW w:w="33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9934B5">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70℃防火阀 1000×320</w:t>
            </w:r>
          </w:p>
        </w:tc>
        <w:tc>
          <w:tcPr>
            <w:tcW w:w="190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2ACB99">
            <w:pPr>
              <w:jc w:val="center"/>
              <w:rPr>
                <w:rFonts w:hint="eastAsia" w:ascii="宋体" w:hAnsi="宋体" w:eastAsia="宋体" w:cs="宋体"/>
                <w:i w:val="0"/>
                <w:iCs w:val="0"/>
                <w:color w:val="000000"/>
                <w:sz w:val="21"/>
                <w:szCs w:val="21"/>
                <w:u w:val="none"/>
              </w:rPr>
            </w:pP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C137862">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7FFC42B">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167A87">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宏安</w:t>
            </w:r>
          </w:p>
        </w:tc>
      </w:tr>
      <w:tr w14:paraId="2CB451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F68E2CD">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55</w:t>
            </w:r>
          </w:p>
        </w:tc>
        <w:tc>
          <w:tcPr>
            <w:tcW w:w="33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6B2AB6">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70℃防火阀 800×250</w:t>
            </w:r>
          </w:p>
        </w:tc>
        <w:tc>
          <w:tcPr>
            <w:tcW w:w="190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5DD057">
            <w:pPr>
              <w:jc w:val="center"/>
              <w:rPr>
                <w:rFonts w:hint="eastAsia" w:ascii="宋体" w:hAnsi="宋体" w:eastAsia="宋体" w:cs="宋体"/>
                <w:i w:val="0"/>
                <w:iCs w:val="0"/>
                <w:color w:val="000000"/>
                <w:sz w:val="21"/>
                <w:szCs w:val="21"/>
                <w:u w:val="none"/>
              </w:rPr>
            </w:pP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4A2F908">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6A63F25">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99DA63">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宏安</w:t>
            </w:r>
          </w:p>
        </w:tc>
      </w:tr>
      <w:tr w14:paraId="354C59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5E067B0">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56</w:t>
            </w:r>
          </w:p>
        </w:tc>
        <w:tc>
          <w:tcPr>
            <w:tcW w:w="33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713A23">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止回阀 1250×400</w:t>
            </w:r>
          </w:p>
        </w:tc>
        <w:tc>
          <w:tcPr>
            <w:tcW w:w="190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7767CC">
            <w:pPr>
              <w:jc w:val="center"/>
              <w:rPr>
                <w:rFonts w:hint="eastAsia" w:ascii="宋体" w:hAnsi="宋体" w:eastAsia="宋体" w:cs="宋体"/>
                <w:i w:val="0"/>
                <w:iCs w:val="0"/>
                <w:color w:val="000000"/>
                <w:sz w:val="21"/>
                <w:szCs w:val="21"/>
                <w:u w:val="none"/>
              </w:rPr>
            </w:pP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014D0D4">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D9F55BA">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3171EB">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宏安</w:t>
            </w:r>
          </w:p>
        </w:tc>
      </w:tr>
      <w:tr w14:paraId="4D43A53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20CFD02">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57</w:t>
            </w:r>
          </w:p>
        </w:tc>
        <w:tc>
          <w:tcPr>
            <w:tcW w:w="33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7AB174">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止回阀 1000×320</w:t>
            </w:r>
          </w:p>
        </w:tc>
        <w:tc>
          <w:tcPr>
            <w:tcW w:w="190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5DE571">
            <w:pPr>
              <w:jc w:val="center"/>
              <w:rPr>
                <w:rFonts w:hint="eastAsia" w:ascii="宋体" w:hAnsi="宋体" w:eastAsia="宋体" w:cs="宋体"/>
                <w:i w:val="0"/>
                <w:iCs w:val="0"/>
                <w:color w:val="000000"/>
                <w:sz w:val="21"/>
                <w:szCs w:val="21"/>
                <w:u w:val="none"/>
              </w:rPr>
            </w:pP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2247109">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789D0D7">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6C29A8">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宏安</w:t>
            </w:r>
          </w:p>
        </w:tc>
      </w:tr>
      <w:tr w14:paraId="2384059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872F432">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58</w:t>
            </w:r>
          </w:p>
        </w:tc>
        <w:tc>
          <w:tcPr>
            <w:tcW w:w="33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2BD85D">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止回阀 630×250</w:t>
            </w:r>
          </w:p>
        </w:tc>
        <w:tc>
          <w:tcPr>
            <w:tcW w:w="190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174E7F">
            <w:pPr>
              <w:jc w:val="center"/>
              <w:rPr>
                <w:rFonts w:hint="eastAsia" w:ascii="宋体" w:hAnsi="宋体" w:eastAsia="宋体" w:cs="宋体"/>
                <w:i w:val="0"/>
                <w:iCs w:val="0"/>
                <w:color w:val="000000"/>
                <w:sz w:val="21"/>
                <w:szCs w:val="21"/>
                <w:u w:val="none"/>
              </w:rPr>
            </w:pP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1AABD7F">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9C2DDC1">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F18A92">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宏安</w:t>
            </w:r>
          </w:p>
        </w:tc>
      </w:tr>
      <w:tr w14:paraId="1DA703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1EBCE26">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59</w:t>
            </w:r>
          </w:p>
        </w:tc>
        <w:tc>
          <w:tcPr>
            <w:tcW w:w="33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DEDEEE">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止回阀 800×250</w:t>
            </w:r>
          </w:p>
        </w:tc>
        <w:tc>
          <w:tcPr>
            <w:tcW w:w="190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C550DF">
            <w:pPr>
              <w:jc w:val="center"/>
              <w:rPr>
                <w:rFonts w:hint="eastAsia" w:ascii="宋体" w:hAnsi="宋体" w:eastAsia="宋体" w:cs="宋体"/>
                <w:i w:val="0"/>
                <w:iCs w:val="0"/>
                <w:color w:val="000000"/>
                <w:sz w:val="21"/>
                <w:szCs w:val="21"/>
                <w:u w:val="none"/>
              </w:rPr>
            </w:pP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0CE00F2">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47C7CBE">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33FFC8">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宏安</w:t>
            </w:r>
          </w:p>
        </w:tc>
      </w:tr>
      <w:tr w14:paraId="408995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918C834">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60</w:t>
            </w:r>
          </w:p>
        </w:tc>
        <w:tc>
          <w:tcPr>
            <w:tcW w:w="33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44FE7F">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70℃电动防火阀 1250×400</w:t>
            </w:r>
          </w:p>
        </w:tc>
        <w:tc>
          <w:tcPr>
            <w:tcW w:w="190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D5840C">
            <w:pPr>
              <w:jc w:val="center"/>
              <w:rPr>
                <w:rFonts w:hint="eastAsia" w:ascii="宋体" w:hAnsi="宋体" w:eastAsia="宋体" w:cs="宋体"/>
                <w:i w:val="0"/>
                <w:iCs w:val="0"/>
                <w:color w:val="000000"/>
                <w:sz w:val="21"/>
                <w:szCs w:val="21"/>
                <w:u w:val="none"/>
              </w:rPr>
            </w:pP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C4AC833">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EE49C81">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7E9D3E">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宏安</w:t>
            </w:r>
          </w:p>
        </w:tc>
      </w:tr>
      <w:tr w14:paraId="6B2FA7C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851F03E">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61</w:t>
            </w:r>
          </w:p>
        </w:tc>
        <w:tc>
          <w:tcPr>
            <w:tcW w:w="33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A5BA25">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70℃电动防火阀 630×250</w:t>
            </w:r>
          </w:p>
        </w:tc>
        <w:tc>
          <w:tcPr>
            <w:tcW w:w="190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8ADE44">
            <w:pPr>
              <w:jc w:val="center"/>
              <w:rPr>
                <w:rFonts w:hint="eastAsia" w:ascii="宋体" w:hAnsi="宋体" w:eastAsia="宋体" w:cs="宋体"/>
                <w:i w:val="0"/>
                <w:iCs w:val="0"/>
                <w:color w:val="000000"/>
                <w:sz w:val="21"/>
                <w:szCs w:val="21"/>
                <w:u w:val="none"/>
              </w:rPr>
            </w:pP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F7B7EAA">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13CB0CB">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D94C33">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宏安</w:t>
            </w:r>
          </w:p>
        </w:tc>
      </w:tr>
      <w:tr w14:paraId="1FB7D24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804A336">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62</w:t>
            </w:r>
          </w:p>
        </w:tc>
        <w:tc>
          <w:tcPr>
            <w:tcW w:w="33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A37772">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70℃电动防火阀 800×250</w:t>
            </w:r>
          </w:p>
        </w:tc>
        <w:tc>
          <w:tcPr>
            <w:tcW w:w="190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0058DD">
            <w:pPr>
              <w:jc w:val="center"/>
              <w:rPr>
                <w:rFonts w:hint="eastAsia" w:ascii="宋体" w:hAnsi="宋体" w:eastAsia="宋体" w:cs="宋体"/>
                <w:i w:val="0"/>
                <w:iCs w:val="0"/>
                <w:color w:val="000000"/>
                <w:sz w:val="21"/>
                <w:szCs w:val="21"/>
                <w:u w:val="none"/>
              </w:rPr>
            </w:pP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9EB642A">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2C031A7">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45E0DA">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宏安</w:t>
            </w:r>
          </w:p>
        </w:tc>
      </w:tr>
      <w:tr w14:paraId="349C385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332ED4C">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63</w:t>
            </w:r>
          </w:p>
        </w:tc>
        <w:tc>
          <w:tcPr>
            <w:tcW w:w="33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8D5F74">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70℃电动防火阀 1000×320</w:t>
            </w:r>
          </w:p>
        </w:tc>
        <w:tc>
          <w:tcPr>
            <w:tcW w:w="190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CDE291">
            <w:pPr>
              <w:jc w:val="center"/>
              <w:rPr>
                <w:rFonts w:hint="eastAsia" w:ascii="宋体" w:hAnsi="宋体" w:eastAsia="宋体" w:cs="宋体"/>
                <w:i w:val="0"/>
                <w:iCs w:val="0"/>
                <w:color w:val="000000"/>
                <w:sz w:val="21"/>
                <w:szCs w:val="21"/>
                <w:u w:val="none"/>
              </w:rPr>
            </w:pP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31A9A7A">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EFB4663">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F06BC6">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宏安</w:t>
            </w:r>
          </w:p>
        </w:tc>
      </w:tr>
      <w:tr w14:paraId="00C90A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35DFED1">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64</w:t>
            </w:r>
          </w:p>
        </w:tc>
        <w:tc>
          <w:tcPr>
            <w:tcW w:w="33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4997C7">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70℃电动防火阀 800×500</w:t>
            </w:r>
          </w:p>
        </w:tc>
        <w:tc>
          <w:tcPr>
            <w:tcW w:w="190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19A4B0">
            <w:pPr>
              <w:jc w:val="center"/>
              <w:rPr>
                <w:rFonts w:hint="eastAsia" w:ascii="宋体" w:hAnsi="宋体" w:eastAsia="宋体" w:cs="宋体"/>
                <w:i w:val="0"/>
                <w:iCs w:val="0"/>
                <w:color w:val="000000"/>
                <w:sz w:val="21"/>
                <w:szCs w:val="21"/>
                <w:u w:val="none"/>
              </w:rPr>
            </w:pP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C172876">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DB8EF27">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CA8ACD">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宏安</w:t>
            </w:r>
          </w:p>
        </w:tc>
      </w:tr>
      <w:tr w14:paraId="7C8F52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9D25576">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65</w:t>
            </w:r>
          </w:p>
        </w:tc>
        <w:tc>
          <w:tcPr>
            <w:tcW w:w="33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108473">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双层百叶送风口 800×500</w:t>
            </w:r>
          </w:p>
        </w:tc>
        <w:tc>
          <w:tcPr>
            <w:tcW w:w="190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BD8D5F">
            <w:pPr>
              <w:jc w:val="center"/>
              <w:rPr>
                <w:rFonts w:hint="eastAsia" w:ascii="宋体" w:hAnsi="宋体" w:eastAsia="宋体" w:cs="宋体"/>
                <w:i w:val="0"/>
                <w:iCs w:val="0"/>
                <w:color w:val="000000"/>
                <w:sz w:val="21"/>
                <w:szCs w:val="21"/>
                <w:u w:val="none"/>
              </w:rPr>
            </w:pP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897BCD8">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20942CE">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0806BE">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宏安</w:t>
            </w:r>
          </w:p>
        </w:tc>
      </w:tr>
      <w:tr w14:paraId="6D5BD7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6B0BCB5">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66</w:t>
            </w:r>
          </w:p>
        </w:tc>
        <w:tc>
          <w:tcPr>
            <w:tcW w:w="33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CB6B7A">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双层百叶送风口 500×300</w:t>
            </w:r>
          </w:p>
        </w:tc>
        <w:tc>
          <w:tcPr>
            <w:tcW w:w="190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ECDE56">
            <w:pPr>
              <w:jc w:val="center"/>
              <w:rPr>
                <w:rFonts w:hint="eastAsia" w:ascii="宋体" w:hAnsi="宋体" w:eastAsia="宋体" w:cs="宋体"/>
                <w:i w:val="0"/>
                <w:iCs w:val="0"/>
                <w:color w:val="000000"/>
                <w:sz w:val="21"/>
                <w:szCs w:val="21"/>
                <w:u w:val="none"/>
              </w:rPr>
            </w:pP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D315502">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36F3934">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68F471">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宏安</w:t>
            </w:r>
          </w:p>
        </w:tc>
      </w:tr>
      <w:tr w14:paraId="7607C3E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BFEC63A">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67</w:t>
            </w:r>
          </w:p>
        </w:tc>
        <w:tc>
          <w:tcPr>
            <w:tcW w:w="33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BDAED5">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防雨百叶 2200×650</w:t>
            </w:r>
          </w:p>
        </w:tc>
        <w:tc>
          <w:tcPr>
            <w:tcW w:w="190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38C0A5">
            <w:pPr>
              <w:jc w:val="center"/>
              <w:rPr>
                <w:rFonts w:hint="eastAsia" w:ascii="宋体" w:hAnsi="宋体" w:eastAsia="宋体" w:cs="宋体"/>
                <w:i w:val="0"/>
                <w:iCs w:val="0"/>
                <w:color w:val="000000"/>
                <w:sz w:val="21"/>
                <w:szCs w:val="21"/>
                <w:u w:val="none"/>
              </w:rPr>
            </w:pP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96FDD81">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D748D52">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24C08E">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宏安</w:t>
            </w:r>
          </w:p>
        </w:tc>
      </w:tr>
      <w:tr w14:paraId="665F3F5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50276B9">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68</w:t>
            </w:r>
          </w:p>
        </w:tc>
        <w:tc>
          <w:tcPr>
            <w:tcW w:w="33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443F26">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防雨百叶 1600×400</w:t>
            </w:r>
          </w:p>
        </w:tc>
        <w:tc>
          <w:tcPr>
            <w:tcW w:w="190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8AB725">
            <w:pPr>
              <w:jc w:val="center"/>
              <w:rPr>
                <w:rFonts w:hint="eastAsia" w:ascii="宋体" w:hAnsi="宋体" w:eastAsia="宋体" w:cs="宋体"/>
                <w:i w:val="0"/>
                <w:iCs w:val="0"/>
                <w:color w:val="000000"/>
                <w:sz w:val="21"/>
                <w:szCs w:val="21"/>
                <w:u w:val="none"/>
              </w:rPr>
            </w:pP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B9D6586">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3460B9B">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97596A">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宏安</w:t>
            </w:r>
          </w:p>
        </w:tc>
      </w:tr>
      <w:tr w14:paraId="3D375A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D141307">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69</w:t>
            </w:r>
          </w:p>
        </w:tc>
        <w:tc>
          <w:tcPr>
            <w:tcW w:w="33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810760">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防雨百叶 1250×400</w:t>
            </w:r>
          </w:p>
        </w:tc>
        <w:tc>
          <w:tcPr>
            <w:tcW w:w="190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CA633F">
            <w:pPr>
              <w:jc w:val="center"/>
              <w:rPr>
                <w:rFonts w:hint="eastAsia" w:ascii="宋体" w:hAnsi="宋体" w:eastAsia="宋体" w:cs="宋体"/>
                <w:i w:val="0"/>
                <w:iCs w:val="0"/>
                <w:color w:val="000000"/>
                <w:sz w:val="21"/>
                <w:szCs w:val="21"/>
                <w:u w:val="none"/>
              </w:rPr>
            </w:pP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4AAE7BD">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C5E1129">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CF441A">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宏安</w:t>
            </w:r>
          </w:p>
        </w:tc>
      </w:tr>
      <w:tr w14:paraId="1BAD87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EB77337">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70</w:t>
            </w:r>
          </w:p>
        </w:tc>
        <w:tc>
          <w:tcPr>
            <w:tcW w:w="33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4A15EB">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远控多叶排风口 600×800</w:t>
            </w:r>
          </w:p>
        </w:tc>
        <w:tc>
          <w:tcPr>
            <w:tcW w:w="190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D4B571">
            <w:pPr>
              <w:jc w:val="center"/>
              <w:rPr>
                <w:rFonts w:hint="eastAsia" w:ascii="宋体" w:hAnsi="宋体" w:eastAsia="宋体" w:cs="宋体"/>
                <w:i w:val="0"/>
                <w:iCs w:val="0"/>
                <w:color w:val="000000"/>
                <w:sz w:val="21"/>
                <w:szCs w:val="21"/>
                <w:u w:val="none"/>
              </w:rPr>
            </w:pP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7B767AE">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F46E6FD">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F09C5E">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宏安</w:t>
            </w:r>
          </w:p>
        </w:tc>
      </w:tr>
      <w:tr w14:paraId="16E8C4D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A1820CE">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71</w:t>
            </w:r>
          </w:p>
        </w:tc>
        <w:tc>
          <w:tcPr>
            <w:tcW w:w="33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C61DD8">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远控多叶排风口 600×500</w:t>
            </w:r>
          </w:p>
        </w:tc>
        <w:tc>
          <w:tcPr>
            <w:tcW w:w="190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23901D">
            <w:pPr>
              <w:jc w:val="center"/>
              <w:rPr>
                <w:rFonts w:hint="eastAsia" w:ascii="宋体" w:hAnsi="宋体" w:eastAsia="宋体" w:cs="宋体"/>
                <w:i w:val="0"/>
                <w:iCs w:val="0"/>
                <w:color w:val="000000"/>
                <w:sz w:val="21"/>
                <w:szCs w:val="21"/>
                <w:u w:val="none"/>
              </w:rPr>
            </w:pP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1F8489B">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9638538">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37CE66">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宏安</w:t>
            </w:r>
          </w:p>
        </w:tc>
      </w:tr>
      <w:tr w14:paraId="24E4DE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59E48A0">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72</w:t>
            </w:r>
          </w:p>
        </w:tc>
        <w:tc>
          <w:tcPr>
            <w:tcW w:w="33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E35DBA">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远控多叶排风口 800×500</w:t>
            </w:r>
          </w:p>
        </w:tc>
        <w:tc>
          <w:tcPr>
            <w:tcW w:w="190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0574A9">
            <w:pPr>
              <w:jc w:val="center"/>
              <w:rPr>
                <w:rFonts w:hint="eastAsia" w:ascii="宋体" w:hAnsi="宋体" w:eastAsia="宋体" w:cs="宋体"/>
                <w:i w:val="0"/>
                <w:iCs w:val="0"/>
                <w:color w:val="000000"/>
                <w:sz w:val="21"/>
                <w:szCs w:val="21"/>
                <w:u w:val="none"/>
              </w:rPr>
            </w:pP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F6679FD">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1ED2B8F">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1DED1B">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宏安</w:t>
            </w:r>
          </w:p>
        </w:tc>
      </w:tr>
      <w:tr w14:paraId="57830F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35D91B6">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73</w:t>
            </w:r>
          </w:p>
        </w:tc>
        <w:tc>
          <w:tcPr>
            <w:tcW w:w="33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B753E9">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轴流式通风机</w:t>
            </w:r>
          </w:p>
        </w:tc>
        <w:tc>
          <w:tcPr>
            <w:tcW w:w="190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8DF777">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T35-NO6.3/宏安</w:t>
            </w: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06A2EA1">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075AA78">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C55AC1">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宏安</w:t>
            </w:r>
          </w:p>
        </w:tc>
      </w:tr>
      <w:tr w14:paraId="746E97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D6D01C9">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74</w:t>
            </w:r>
          </w:p>
        </w:tc>
        <w:tc>
          <w:tcPr>
            <w:tcW w:w="33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6B17F7">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轴流式通风机</w:t>
            </w:r>
          </w:p>
        </w:tc>
        <w:tc>
          <w:tcPr>
            <w:tcW w:w="190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7E7252">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T35-NO3.55/宏安</w:t>
            </w: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79CCF6D">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481CCA2">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729B32">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宏安</w:t>
            </w:r>
          </w:p>
        </w:tc>
      </w:tr>
      <w:tr w14:paraId="760702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D70B762">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75</w:t>
            </w:r>
          </w:p>
        </w:tc>
        <w:tc>
          <w:tcPr>
            <w:tcW w:w="33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435926">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轴流式通风机</w:t>
            </w:r>
          </w:p>
        </w:tc>
        <w:tc>
          <w:tcPr>
            <w:tcW w:w="190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554455">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BT35-NO3.55/宏安</w:t>
            </w: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D3580F9">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AF6B146">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9C7ED7">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宏安</w:t>
            </w:r>
          </w:p>
        </w:tc>
      </w:tr>
      <w:tr w14:paraId="542CA75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EAF8528">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76</w:t>
            </w:r>
          </w:p>
        </w:tc>
        <w:tc>
          <w:tcPr>
            <w:tcW w:w="33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E4BB53">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轴流式通风机</w:t>
            </w:r>
          </w:p>
        </w:tc>
        <w:tc>
          <w:tcPr>
            <w:tcW w:w="190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07842D">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T35-NO3.15/宏安</w:t>
            </w:r>
          </w:p>
        </w:tc>
        <w:tc>
          <w:tcPr>
            <w:tcW w:w="73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B70B63A">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70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396C5AB">
            <w:pPr>
              <w:keepNext w:val="0"/>
              <w:keepLines w:val="0"/>
              <w:widowControl/>
              <w:suppressLineNumbers w:val="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0042D0">
            <w:pPr>
              <w:keepNext w:val="0"/>
              <w:keepLines w:val="0"/>
              <w:widowControl/>
              <w:suppressLineNumbers w:val="0"/>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宏安</w:t>
            </w:r>
          </w:p>
        </w:tc>
      </w:tr>
    </w:tbl>
    <w:p w14:paraId="786FBC40">
      <w:pPr>
        <w:pStyle w:val="23"/>
        <w:keepNext w:val="0"/>
        <w:keepLines w:val="0"/>
        <w:pageBreakBefore w:val="0"/>
        <w:numPr>
          <w:ilvl w:val="0"/>
          <w:numId w:val="0"/>
        </w:numPr>
        <w:kinsoku/>
        <w:wordWrap/>
        <w:overflowPunct/>
        <w:topLinePunct w:val="0"/>
        <w:autoSpaceDE/>
        <w:autoSpaceDN/>
        <w:bidi w:val="0"/>
        <w:adjustRightInd/>
        <w:snapToGrid/>
        <w:spacing w:afterAutospacing="0" w:line="360" w:lineRule="auto"/>
        <w:ind w:leftChars="200" w:firstLine="320" w:firstLineChars="100"/>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六、服务原则</w:t>
      </w:r>
    </w:p>
    <w:p w14:paraId="65C55CD9">
      <w:pPr>
        <w:pStyle w:val="11"/>
        <w:keepNext w:val="0"/>
        <w:keepLines w:val="0"/>
        <w:pageBreakBefore w:val="0"/>
        <w:kinsoku/>
        <w:wordWrap/>
        <w:overflowPunct/>
        <w:topLinePunct w:val="0"/>
        <w:autoSpaceDE/>
        <w:autoSpaceDN/>
        <w:bidi w:val="0"/>
        <w:adjustRightInd/>
        <w:snapToGrid/>
        <w:spacing w:afterAutospacing="0"/>
        <w:ind w:left="0" w:leftChars="0" w:firstLine="643" w:firstLineChars="200"/>
        <w:jc w:val="left"/>
        <w:rPr>
          <w:rFonts w:hint="eastAsia" w:ascii="仿宋" w:hAnsi="仿宋" w:eastAsia="仿宋" w:cs="仿宋"/>
          <w:kern w:val="2"/>
          <w:sz w:val="32"/>
          <w:szCs w:val="32"/>
          <w:lang w:val="en-US" w:eastAsia="zh-CN" w:bidi="ar-SA"/>
        </w:rPr>
      </w:pPr>
      <w:r>
        <w:rPr>
          <w:rFonts w:hint="eastAsia" w:ascii="仿宋" w:hAnsi="仿宋" w:eastAsia="仿宋" w:cs="仿宋"/>
          <w:b/>
          <w:bCs/>
          <w:kern w:val="2"/>
          <w:sz w:val="32"/>
          <w:szCs w:val="32"/>
          <w:lang w:val="en-US" w:eastAsia="zh-CN" w:bidi="ar-SA"/>
        </w:rPr>
        <w:t>1.标准性：</w:t>
      </w:r>
      <w:r>
        <w:rPr>
          <w:rFonts w:hint="eastAsia" w:ascii="仿宋" w:hAnsi="仿宋" w:eastAsia="仿宋" w:cs="仿宋"/>
          <w:kern w:val="2"/>
          <w:sz w:val="32"/>
          <w:szCs w:val="32"/>
          <w:lang w:val="en-US" w:eastAsia="zh-CN" w:bidi="ar-SA"/>
        </w:rPr>
        <w:t>严格遵循国家及行业消防维保标准（如GB 50116、GB 25201）。</w:t>
      </w:r>
    </w:p>
    <w:p w14:paraId="79F14718">
      <w:pPr>
        <w:pStyle w:val="11"/>
        <w:keepNext w:val="0"/>
        <w:keepLines w:val="0"/>
        <w:pageBreakBefore w:val="0"/>
        <w:kinsoku/>
        <w:wordWrap/>
        <w:overflowPunct/>
        <w:topLinePunct w:val="0"/>
        <w:autoSpaceDE/>
        <w:autoSpaceDN/>
        <w:bidi w:val="0"/>
        <w:adjustRightInd/>
        <w:snapToGrid/>
        <w:spacing w:afterAutospacing="0"/>
        <w:ind w:left="0" w:leftChars="0" w:firstLine="643" w:firstLineChars="200"/>
        <w:jc w:val="left"/>
        <w:rPr>
          <w:rFonts w:hint="eastAsia" w:ascii="仿宋" w:hAnsi="仿宋" w:eastAsia="仿宋" w:cs="仿宋"/>
          <w:kern w:val="2"/>
          <w:sz w:val="32"/>
          <w:szCs w:val="32"/>
          <w:lang w:val="en-US" w:eastAsia="zh-CN" w:bidi="ar-SA"/>
        </w:rPr>
      </w:pPr>
      <w:r>
        <w:rPr>
          <w:rFonts w:hint="eastAsia" w:ascii="仿宋" w:hAnsi="仿宋" w:eastAsia="仿宋" w:cs="仿宋"/>
          <w:b/>
          <w:bCs/>
          <w:kern w:val="2"/>
          <w:sz w:val="32"/>
          <w:szCs w:val="32"/>
          <w:lang w:val="en-US" w:eastAsia="zh-CN" w:bidi="ar-SA"/>
        </w:rPr>
        <w:t>2.可控性：</w:t>
      </w:r>
      <w:r>
        <w:rPr>
          <w:rFonts w:hint="eastAsia" w:ascii="仿宋" w:hAnsi="仿宋" w:eastAsia="仿宋" w:cs="仿宋"/>
          <w:kern w:val="2"/>
          <w:sz w:val="32"/>
          <w:szCs w:val="32"/>
          <w:lang w:val="en-US" w:eastAsia="zh-CN" w:bidi="ar-SA"/>
        </w:rPr>
        <w:t>人员、技术及流程全程可控，确保服务质量。</w:t>
      </w:r>
    </w:p>
    <w:p w14:paraId="3C2FECEA">
      <w:pPr>
        <w:pStyle w:val="11"/>
        <w:keepNext w:val="0"/>
        <w:keepLines w:val="0"/>
        <w:pageBreakBefore w:val="0"/>
        <w:kinsoku/>
        <w:wordWrap/>
        <w:overflowPunct/>
        <w:topLinePunct w:val="0"/>
        <w:autoSpaceDE/>
        <w:autoSpaceDN/>
        <w:bidi w:val="0"/>
        <w:adjustRightInd/>
        <w:snapToGrid/>
        <w:spacing w:afterAutospacing="0"/>
        <w:ind w:left="0" w:leftChars="0" w:firstLine="643" w:firstLineChars="200"/>
        <w:jc w:val="left"/>
        <w:rPr>
          <w:rFonts w:hint="eastAsia" w:ascii="仿宋" w:hAnsi="仿宋" w:eastAsia="仿宋" w:cs="仿宋"/>
          <w:kern w:val="2"/>
          <w:sz w:val="32"/>
          <w:szCs w:val="32"/>
          <w:lang w:val="en-US" w:eastAsia="zh-CN" w:bidi="ar-SA"/>
        </w:rPr>
      </w:pPr>
      <w:r>
        <w:rPr>
          <w:rFonts w:hint="eastAsia" w:ascii="仿宋" w:hAnsi="仿宋" w:eastAsia="仿宋" w:cs="仿宋"/>
          <w:b/>
          <w:bCs/>
          <w:kern w:val="2"/>
          <w:sz w:val="32"/>
          <w:szCs w:val="32"/>
          <w:lang w:val="en-US" w:eastAsia="zh-CN" w:bidi="ar-SA"/>
        </w:rPr>
        <w:t>3.完整性：</w:t>
      </w:r>
      <w:r>
        <w:rPr>
          <w:rFonts w:hint="eastAsia" w:ascii="仿宋" w:hAnsi="仿宋" w:eastAsia="仿宋" w:cs="仿宋"/>
          <w:kern w:val="2"/>
          <w:sz w:val="32"/>
          <w:szCs w:val="32"/>
          <w:lang w:val="en-US" w:eastAsia="zh-CN" w:bidi="ar-SA"/>
        </w:rPr>
        <w:t>方案覆盖维保全流程，明确责任分工及应急预案。</w:t>
      </w:r>
    </w:p>
    <w:p w14:paraId="2E22120F">
      <w:pPr>
        <w:pStyle w:val="11"/>
        <w:keepNext w:val="0"/>
        <w:keepLines w:val="0"/>
        <w:pageBreakBefore w:val="0"/>
        <w:kinsoku/>
        <w:wordWrap/>
        <w:overflowPunct/>
        <w:topLinePunct w:val="0"/>
        <w:autoSpaceDE/>
        <w:autoSpaceDN/>
        <w:bidi w:val="0"/>
        <w:adjustRightInd/>
        <w:snapToGrid/>
        <w:spacing w:afterAutospacing="0"/>
        <w:ind w:left="0" w:leftChars="0" w:firstLine="643" w:firstLineChars="200"/>
        <w:jc w:val="left"/>
        <w:rPr>
          <w:rFonts w:hint="eastAsia" w:ascii="仿宋" w:hAnsi="仿宋" w:eastAsia="仿宋" w:cs="仿宋"/>
          <w:kern w:val="2"/>
          <w:sz w:val="32"/>
          <w:szCs w:val="32"/>
          <w:lang w:val="en-US" w:eastAsia="zh-CN" w:bidi="ar-SA"/>
        </w:rPr>
      </w:pPr>
      <w:r>
        <w:rPr>
          <w:rFonts w:hint="eastAsia" w:ascii="仿宋" w:hAnsi="仿宋" w:eastAsia="仿宋" w:cs="仿宋"/>
          <w:b/>
          <w:bCs/>
          <w:kern w:val="2"/>
          <w:sz w:val="32"/>
          <w:szCs w:val="32"/>
          <w:lang w:val="en-US" w:eastAsia="zh-CN" w:bidi="ar-SA"/>
        </w:rPr>
        <w:t>4.最小影响：</w:t>
      </w:r>
      <w:r>
        <w:rPr>
          <w:rFonts w:hint="eastAsia" w:ascii="仿宋" w:hAnsi="仿宋" w:eastAsia="仿宋" w:cs="仿宋"/>
          <w:kern w:val="2"/>
          <w:sz w:val="32"/>
          <w:szCs w:val="32"/>
          <w:lang w:val="en-US" w:eastAsia="zh-CN" w:bidi="ar-SA"/>
        </w:rPr>
        <w:t>采用非侵入式维护，最大限度降低对业务影响。</w:t>
      </w:r>
    </w:p>
    <w:p w14:paraId="22E23E7A">
      <w:pPr>
        <w:pStyle w:val="23"/>
        <w:keepNext w:val="0"/>
        <w:keepLines w:val="0"/>
        <w:pageBreakBefore w:val="0"/>
        <w:numPr>
          <w:ilvl w:val="0"/>
          <w:numId w:val="0"/>
        </w:numPr>
        <w:kinsoku/>
        <w:wordWrap/>
        <w:overflowPunct/>
        <w:topLinePunct w:val="0"/>
        <w:autoSpaceDE/>
        <w:autoSpaceDN/>
        <w:bidi w:val="0"/>
        <w:adjustRightInd/>
        <w:snapToGrid/>
        <w:spacing w:afterAutospacing="0" w:line="360" w:lineRule="auto"/>
        <w:ind w:leftChars="0" w:firstLine="640" w:firstLineChars="200"/>
        <w:rPr>
          <w:rFonts w:ascii="黑体" w:hAnsi="黑体" w:eastAsia="黑体" w:cs="黑体"/>
          <w:sz w:val="32"/>
          <w:szCs w:val="32"/>
        </w:rPr>
      </w:pPr>
      <w:r>
        <w:rPr>
          <w:rFonts w:hint="eastAsia" w:ascii="黑体" w:hAnsi="黑体" w:eastAsia="黑体" w:cs="黑体"/>
          <w:sz w:val="32"/>
          <w:szCs w:val="32"/>
          <w:lang w:val="en-US" w:eastAsia="zh-CN"/>
        </w:rPr>
        <w:t>七、</w:t>
      </w:r>
      <w:r>
        <w:rPr>
          <w:rFonts w:hint="eastAsia" w:ascii="黑体" w:hAnsi="黑体" w:eastAsia="黑体" w:cs="黑体"/>
          <w:sz w:val="32"/>
          <w:szCs w:val="32"/>
        </w:rPr>
        <w:t>服务周期及付款</w:t>
      </w:r>
      <w:r>
        <w:rPr>
          <w:rFonts w:hint="eastAsia" w:ascii="黑体" w:hAnsi="黑体" w:eastAsia="黑体" w:cs="黑体"/>
          <w:sz w:val="32"/>
          <w:szCs w:val="32"/>
          <w:lang w:val="en-US" w:eastAsia="zh-CN"/>
        </w:rPr>
        <w:t>方式</w:t>
      </w:r>
    </w:p>
    <w:p w14:paraId="571AB620">
      <w:pPr>
        <w:pStyle w:val="11"/>
        <w:keepNext w:val="0"/>
        <w:keepLines w:val="0"/>
        <w:pageBreakBefore w:val="0"/>
        <w:numPr>
          <w:ilvl w:val="0"/>
          <w:numId w:val="3"/>
        </w:numPr>
        <w:kinsoku/>
        <w:wordWrap/>
        <w:overflowPunct/>
        <w:topLinePunct w:val="0"/>
        <w:autoSpaceDE/>
        <w:autoSpaceDN/>
        <w:bidi w:val="0"/>
        <w:adjustRightInd/>
        <w:snapToGrid/>
        <w:spacing w:afterAutospacing="0"/>
        <w:ind w:left="0" w:leftChars="0" w:firstLine="643" w:firstLineChars="200"/>
        <w:jc w:val="left"/>
        <w:rPr>
          <w:rFonts w:ascii="仿宋_GB2312" w:hAnsi="宋体" w:eastAsia="仿宋_GB2312"/>
          <w:kern w:val="2"/>
          <w:sz w:val="32"/>
          <w:szCs w:val="32"/>
        </w:rPr>
      </w:pPr>
      <w:r>
        <w:rPr>
          <w:rFonts w:hint="eastAsia" w:ascii="仿宋" w:hAnsi="仿宋" w:eastAsia="仿宋" w:cs="仿宋"/>
          <w:b/>
          <w:bCs/>
          <w:kern w:val="2"/>
          <w:sz w:val="32"/>
          <w:szCs w:val="32"/>
          <w:lang w:val="en-US" w:eastAsia="zh-CN" w:bidi="ar-SA"/>
        </w:rPr>
        <w:t>服务周期与地点：</w:t>
      </w:r>
      <w:r>
        <w:rPr>
          <w:rFonts w:hint="eastAsia" w:ascii="仿宋" w:hAnsi="仿宋" w:eastAsia="仿宋" w:cs="仿宋"/>
          <w:kern w:val="2"/>
          <w:sz w:val="32"/>
          <w:szCs w:val="32"/>
          <w:lang w:val="en-US" w:eastAsia="zh-CN" w:bidi="ar-SA"/>
        </w:rPr>
        <w:t>合同签订后一年，服务地点为采购人指定地点。</w:t>
      </w:r>
    </w:p>
    <w:p w14:paraId="3533B682">
      <w:pPr>
        <w:pStyle w:val="11"/>
        <w:keepNext w:val="0"/>
        <w:keepLines w:val="0"/>
        <w:pageBreakBefore w:val="0"/>
        <w:numPr>
          <w:ilvl w:val="0"/>
          <w:numId w:val="3"/>
        </w:numPr>
        <w:kinsoku/>
        <w:wordWrap/>
        <w:overflowPunct/>
        <w:topLinePunct w:val="0"/>
        <w:autoSpaceDE/>
        <w:autoSpaceDN/>
        <w:bidi w:val="0"/>
        <w:adjustRightInd/>
        <w:snapToGrid/>
        <w:spacing w:afterAutospacing="0"/>
        <w:ind w:left="0" w:leftChars="0" w:firstLine="640" w:firstLineChars="200"/>
        <w:jc w:val="left"/>
        <w:rPr>
          <w:rFonts w:ascii="仿宋_GB2312" w:hAnsi="宋体" w:eastAsia="仿宋_GB2312"/>
          <w:kern w:val="2"/>
          <w:sz w:val="32"/>
          <w:szCs w:val="32"/>
        </w:rPr>
      </w:pPr>
      <w:r>
        <w:rPr>
          <w:rFonts w:hint="eastAsia" w:ascii="仿宋" w:hAnsi="仿宋" w:eastAsia="仿宋" w:cs="仿宋"/>
          <w:kern w:val="2"/>
          <w:sz w:val="32"/>
          <w:szCs w:val="32"/>
          <w:lang w:val="en-US" w:eastAsia="zh-CN" w:bidi="ar-SA"/>
        </w:rPr>
        <w:t>服务要求：</w:t>
      </w:r>
    </w:p>
    <w:p w14:paraId="4C1289E4">
      <w:pPr>
        <w:keepNext w:val="0"/>
        <w:keepLines w:val="0"/>
        <w:pageBreakBefore w:val="0"/>
        <w:numPr>
          <w:ilvl w:val="0"/>
          <w:numId w:val="0"/>
        </w:numPr>
        <w:tabs>
          <w:tab w:val="left" w:pos="709"/>
        </w:tabs>
        <w:kinsoku/>
        <w:wordWrap/>
        <w:overflowPunct/>
        <w:topLinePunct w:val="0"/>
        <w:autoSpaceDE/>
        <w:autoSpaceDN/>
        <w:bidi w:val="0"/>
        <w:adjustRightInd/>
        <w:snapToGrid/>
        <w:spacing w:afterAutospacing="0" w:line="360" w:lineRule="auto"/>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（1）</w:t>
      </w:r>
      <w:r>
        <w:rPr>
          <w:rFonts w:hint="eastAsia" w:ascii="仿宋" w:hAnsi="仿宋" w:eastAsia="仿宋" w:cs="仿宋"/>
          <w:sz w:val="32"/>
          <w:szCs w:val="32"/>
        </w:rPr>
        <w:t>维保过程中</w:t>
      </w:r>
      <w:r>
        <w:rPr>
          <w:rFonts w:hint="eastAsia" w:ascii="仿宋" w:hAnsi="仿宋" w:eastAsia="仿宋" w:cs="仿宋"/>
          <w:sz w:val="32"/>
          <w:szCs w:val="32"/>
          <w:lang w:val="en-US" w:eastAsia="zh-CN"/>
        </w:rPr>
        <w:t>严格</w:t>
      </w:r>
      <w:r>
        <w:rPr>
          <w:rFonts w:hint="eastAsia" w:ascii="仿宋" w:hAnsi="仿宋" w:eastAsia="仿宋" w:cs="仿宋"/>
          <w:sz w:val="32"/>
          <w:szCs w:val="32"/>
        </w:rPr>
        <w:t>遵守机房安全管理规定，</w:t>
      </w:r>
      <w:r>
        <w:rPr>
          <w:rFonts w:hint="eastAsia" w:ascii="仿宋" w:hAnsi="仿宋" w:eastAsia="仿宋" w:cs="仿宋"/>
          <w:sz w:val="32"/>
          <w:szCs w:val="32"/>
          <w:lang w:val="en-US" w:eastAsia="zh-CN"/>
        </w:rPr>
        <w:t>不得</w:t>
      </w:r>
      <w:r>
        <w:rPr>
          <w:rFonts w:hint="eastAsia" w:ascii="仿宋" w:hAnsi="仿宋" w:eastAsia="仿宋" w:cs="仿宋"/>
          <w:sz w:val="32"/>
          <w:szCs w:val="32"/>
        </w:rPr>
        <w:t>影响</w:t>
      </w:r>
      <w:r>
        <w:rPr>
          <w:rFonts w:hint="eastAsia" w:ascii="仿宋" w:hAnsi="仿宋" w:eastAsia="仿宋" w:cs="仿宋"/>
          <w:sz w:val="32"/>
          <w:szCs w:val="32"/>
          <w:lang w:val="en-US" w:eastAsia="zh-CN"/>
        </w:rPr>
        <w:t>业务</w:t>
      </w:r>
      <w:r>
        <w:rPr>
          <w:rFonts w:hint="eastAsia" w:ascii="仿宋" w:hAnsi="仿宋" w:eastAsia="仿宋" w:cs="仿宋"/>
          <w:sz w:val="32"/>
          <w:szCs w:val="32"/>
        </w:rPr>
        <w:t xml:space="preserve">正常运行。  </w:t>
      </w:r>
    </w:p>
    <w:p w14:paraId="28BC3B64">
      <w:pPr>
        <w:keepNext w:val="0"/>
        <w:keepLines w:val="0"/>
        <w:pageBreakBefore w:val="0"/>
        <w:numPr>
          <w:ilvl w:val="0"/>
          <w:numId w:val="0"/>
        </w:numPr>
        <w:tabs>
          <w:tab w:val="left" w:pos="709"/>
        </w:tabs>
        <w:kinsoku/>
        <w:wordWrap/>
        <w:overflowPunct/>
        <w:topLinePunct w:val="0"/>
        <w:autoSpaceDE/>
        <w:autoSpaceDN/>
        <w:bidi w:val="0"/>
        <w:adjustRightInd/>
        <w:snapToGrid/>
        <w:spacing w:afterAutospacing="0" w:line="360" w:lineRule="auto"/>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（2）</w:t>
      </w:r>
      <w:r>
        <w:rPr>
          <w:rFonts w:hint="eastAsia" w:ascii="仿宋" w:hAnsi="仿宋" w:eastAsia="仿宋" w:cs="仿宋"/>
          <w:sz w:val="32"/>
          <w:szCs w:val="32"/>
        </w:rPr>
        <w:t>每次维护</w:t>
      </w:r>
      <w:r>
        <w:rPr>
          <w:rFonts w:hint="eastAsia" w:ascii="仿宋" w:hAnsi="仿宋" w:eastAsia="仿宋" w:cs="仿宋"/>
          <w:sz w:val="32"/>
          <w:szCs w:val="32"/>
          <w:lang w:val="en-US" w:eastAsia="zh-CN"/>
        </w:rPr>
        <w:t>后</w:t>
      </w:r>
      <w:r>
        <w:rPr>
          <w:rFonts w:hint="eastAsia" w:ascii="仿宋" w:hAnsi="仿宋" w:eastAsia="仿宋" w:cs="仿宋"/>
          <w:sz w:val="32"/>
          <w:szCs w:val="32"/>
        </w:rPr>
        <w:t>提</w:t>
      </w:r>
      <w:r>
        <w:rPr>
          <w:rFonts w:hint="eastAsia" w:ascii="仿宋" w:hAnsi="仿宋" w:eastAsia="仿宋" w:cs="仿宋"/>
          <w:sz w:val="32"/>
          <w:szCs w:val="32"/>
          <w:lang w:val="en-US" w:eastAsia="zh-CN"/>
        </w:rPr>
        <w:t>交</w:t>
      </w:r>
      <w:r>
        <w:rPr>
          <w:rFonts w:hint="eastAsia" w:ascii="仿宋" w:hAnsi="仿宋" w:eastAsia="仿宋" w:cs="仿宋"/>
          <w:sz w:val="32"/>
          <w:szCs w:val="32"/>
        </w:rPr>
        <w:t>详细报告，包括设备状态、问题</w:t>
      </w:r>
      <w:r>
        <w:rPr>
          <w:rFonts w:hint="eastAsia" w:ascii="仿宋" w:hAnsi="仿宋" w:eastAsia="仿宋" w:cs="仿宋"/>
          <w:sz w:val="32"/>
          <w:szCs w:val="32"/>
          <w:lang w:val="en-US" w:eastAsia="zh-CN"/>
        </w:rPr>
        <w:t>描述及</w:t>
      </w:r>
      <w:r>
        <w:rPr>
          <w:rFonts w:hint="eastAsia" w:ascii="仿宋" w:hAnsi="仿宋" w:eastAsia="仿宋" w:cs="仿宋"/>
          <w:sz w:val="32"/>
          <w:szCs w:val="32"/>
        </w:rPr>
        <w:t>处理措施。</w:t>
      </w:r>
    </w:p>
    <w:p w14:paraId="1EF6CB78">
      <w:pPr>
        <w:pStyle w:val="9"/>
        <w:keepNext w:val="0"/>
        <w:keepLines w:val="0"/>
        <w:pageBreakBefore w:val="0"/>
        <w:widowControl w:val="0"/>
        <w:shd w:val="clear" w:color="auto" w:fill="FFFFFF"/>
        <w:kinsoku/>
        <w:wordWrap/>
        <w:overflowPunct/>
        <w:topLinePunct w:val="0"/>
        <w:autoSpaceDE/>
        <w:autoSpaceDN/>
        <w:bidi w:val="0"/>
        <w:adjustRightInd/>
        <w:snapToGrid/>
        <w:spacing w:beforeAutospacing="1" w:afterAutospacing="0"/>
        <w:ind w:firstLine="640" w:firstLineChars="200"/>
        <w:rPr>
          <w:rFonts w:hint="eastAsia" w:ascii="仿宋" w:hAnsi="仿宋" w:eastAsia="仿宋" w:cs="仿宋"/>
          <w:kern w:val="2"/>
          <w:sz w:val="32"/>
          <w:szCs w:val="32"/>
          <w:lang w:val="en-US" w:eastAsia="zh-CN" w:bidi="ar-SA"/>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3</w:t>
      </w:r>
      <w:r>
        <w:rPr>
          <w:rFonts w:hint="eastAsia" w:ascii="仿宋" w:hAnsi="仿宋" w:eastAsia="仿宋" w:cs="仿宋"/>
          <w:sz w:val="32"/>
          <w:szCs w:val="32"/>
          <w:lang w:eastAsia="zh-CN"/>
        </w:rPr>
        <w:t>）</w:t>
      </w:r>
      <w:r>
        <w:rPr>
          <w:rFonts w:hint="eastAsia" w:ascii="仿宋" w:hAnsi="仿宋" w:eastAsia="仿宋" w:cs="仿宋"/>
          <w:kern w:val="2"/>
          <w:sz w:val="32"/>
          <w:szCs w:val="32"/>
          <w:lang w:val="en-US" w:eastAsia="zh-CN" w:bidi="ar-SA"/>
        </w:rPr>
        <w:t xml:space="preserve">维保记录、演练报告等文档需以电子版+纸质版形式存档备查。  </w:t>
      </w:r>
    </w:p>
    <w:p w14:paraId="0FAD41A3">
      <w:pPr>
        <w:pStyle w:val="11"/>
        <w:keepNext w:val="0"/>
        <w:keepLines w:val="0"/>
        <w:pageBreakBefore w:val="0"/>
        <w:numPr>
          <w:ilvl w:val="0"/>
          <w:numId w:val="3"/>
        </w:numPr>
        <w:kinsoku/>
        <w:wordWrap/>
        <w:overflowPunct/>
        <w:topLinePunct w:val="0"/>
        <w:autoSpaceDE/>
        <w:autoSpaceDN/>
        <w:bidi w:val="0"/>
        <w:adjustRightInd/>
        <w:snapToGrid/>
        <w:spacing w:afterAutospacing="0"/>
        <w:ind w:left="0" w:leftChars="0" w:firstLine="643" w:firstLineChars="200"/>
        <w:jc w:val="left"/>
        <w:rPr>
          <w:rFonts w:hint="eastAsia" w:ascii="仿宋" w:hAnsi="仿宋" w:eastAsia="仿宋" w:cs="仿宋"/>
          <w:kern w:val="2"/>
          <w:sz w:val="32"/>
          <w:szCs w:val="32"/>
          <w:lang w:val="en-US" w:eastAsia="zh-CN" w:bidi="ar-SA"/>
        </w:rPr>
      </w:pPr>
      <w:r>
        <w:rPr>
          <w:rFonts w:hint="eastAsia" w:ascii="仿宋" w:hAnsi="仿宋" w:eastAsia="仿宋" w:cs="仿宋"/>
          <w:b/>
          <w:bCs/>
          <w:kern w:val="2"/>
          <w:sz w:val="32"/>
          <w:szCs w:val="32"/>
          <w:lang w:val="en-US" w:eastAsia="zh-CN" w:bidi="ar-SA"/>
        </w:rPr>
        <w:t>付款条件</w:t>
      </w:r>
    </w:p>
    <w:p w14:paraId="59900A6D">
      <w:pPr>
        <w:pStyle w:val="9"/>
        <w:widowControl/>
        <w:shd w:val="clear" w:color="auto" w:fill="FFFFFF"/>
        <w:spacing w:beforeAutospacing="0" w:afterAutospacing="0" w:line="360" w:lineRule="auto"/>
        <w:ind w:firstLine="640" w:firstLineChars="200"/>
        <w:jc w:val="both"/>
        <w:rPr>
          <w:rFonts w:ascii="仿宋_GB2312" w:hAnsi="宋体" w:eastAsia="仿宋_GB2312"/>
          <w:kern w:val="2"/>
          <w:sz w:val="32"/>
          <w:szCs w:val="32"/>
        </w:rPr>
      </w:pPr>
      <w:r>
        <w:rPr>
          <w:rFonts w:hint="eastAsia" w:ascii="仿宋_GB2312" w:hAnsi="宋体" w:eastAsia="仿宋_GB2312"/>
          <w:kern w:val="2"/>
          <w:sz w:val="32"/>
          <w:szCs w:val="32"/>
        </w:rPr>
        <w:t>付款方式：国库集中支付</w:t>
      </w:r>
    </w:p>
    <w:p w14:paraId="1916E179">
      <w:pPr>
        <w:pStyle w:val="9"/>
        <w:widowControl/>
        <w:shd w:val="clear" w:color="auto" w:fill="FFFFFF"/>
        <w:spacing w:beforeAutospacing="0" w:afterAutospacing="0" w:line="360" w:lineRule="auto"/>
        <w:ind w:firstLine="640" w:firstLineChars="200"/>
        <w:jc w:val="both"/>
        <w:rPr>
          <w:rFonts w:hint="eastAsia" w:ascii="仿宋_GB2312" w:hAnsi="宋体" w:eastAsia="仿宋_GB2312"/>
          <w:kern w:val="2"/>
          <w:sz w:val="32"/>
          <w:szCs w:val="32"/>
        </w:rPr>
      </w:pPr>
      <w:r>
        <w:rPr>
          <w:rFonts w:hint="eastAsia" w:ascii="仿宋_GB2312" w:hAnsi="宋体" w:eastAsia="仿宋_GB2312"/>
          <w:kern w:val="2"/>
          <w:sz w:val="32"/>
          <w:szCs w:val="32"/>
        </w:rPr>
        <w:t>付款条件：</w:t>
      </w:r>
      <w:r>
        <w:rPr>
          <w:rFonts w:ascii="仿宋_GB2312" w:hAnsi="宋体" w:eastAsia="仿宋_GB2312"/>
          <w:kern w:val="2"/>
          <w:sz w:val="32"/>
          <w:szCs w:val="32"/>
        </w:rPr>
        <w:t xml:space="preserve"> </w:t>
      </w:r>
    </w:p>
    <w:p w14:paraId="7997925D">
      <w:pPr>
        <w:pStyle w:val="9"/>
        <w:widowControl/>
        <w:shd w:val="clear" w:color="auto" w:fill="FFFFFF"/>
        <w:spacing w:beforeAutospacing="0" w:afterAutospacing="0" w:line="360" w:lineRule="auto"/>
        <w:ind w:firstLine="640" w:firstLineChars="200"/>
        <w:jc w:val="both"/>
        <w:rPr>
          <w:rFonts w:hint="eastAsia" w:ascii="仿宋_GB2312" w:hAnsi="宋体" w:eastAsia="仿宋_GB2312"/>
          <w:kern w:val="2"/>
          <w:sz w:val="32"/>
          <w:szCs w:val="32"/>
        </w:rPr>
      </w:pPr>
      <w:r>
        <w:rPr>
          <w:rFonts w:hint="eastAsia" w:ascii="仿宋_GB2312" w:hAnsi="宋体" w:eastAsia="仿宋_GB2312"/>
          <w:kern w:val="2"/>
          <w:sz w:val="32"/>
          <w:szCs w:val="32"/>
          <w:lang w:val="en-US" w:eastAsia="zh-CN"/>
        </w:rPr>
        <w:t>成交供应商</w:t>
      </w:r>
      <w:r>
        <w:rPr>
          <w:rFonts w:hint="eastAsia" w:ascii="仿宋_GB2312" w:hAnsi="宋体" w:eastAsia="仿宋_GB2312"/>
          <w:kern w:val="2"/>
          <w:sz w:val="32"/>
          <w:szCs w:val="32"/>
        </w:rPr>
        <w:t>与采购人签订合同时需要缴纳合同总金额的</w:t>
      </w:r>
      <w:r>
        <w:rPr>
          <w:rFonts w:ascii="仿宋_GB2312" w:hAnsi="宋体" w:eastAsia="仿宋_GB2312"/>
          <w:kern w:val="2"/>
          <w:sz w:val="32"/>
          <w:szCs w:val="32"/>
        </w:rPr>
        <w:t>10%作为履约保证金</w:t>
      </w:r>
      <w:r>
        <w:rPr>
          <w:rFonts w:hint="eastAsia" w:ascii="仿宋_GB2312" w:hAnsi="宋体" w:eastAsia="仿宋_GB2312"/>
          <w:kern w:val="2"/>
          <w:sz w:val="32"/>
          <w:szCs w:val="32"/>
          <w:lang w:eastAsia="zh-CN"/>
        </w:rPr>
        <w:t>，</w:t>
      </w:r>
      <w:r>
        <w:rPr>
          <w:rFonts w:hint="eastAsia" w:ascii="仿宋_GB2312" w:hAnsi="宋体" w:eastAsia="仿宋_GB2312"/>
          <w:kern w:val="2"/>
          <w:sz w:val="32"/>
          <w:szCs w:val="32"/>
          <w:lang w:val="en-US" w:eastAsia="zh-CN"/>
        </w:rPr>
        <w:t>方式由双方协商</w:t>
      </w:r>
      <w:r>
        <w:rPr>
          <w:rFonts w:ascii="仿宋_GB2312" w:hAnsi="宋体" w:eastAsia="仿宋_GB2312"/>
          <w:kern w:val="2"/>
          <w:sz w:val="32"/>
          <w:szCs w:val="32"/>
        </w:rPr>
        <w:t>。具体付款</w:t>
      </w:r>
      <w:r>
        <w:rPr>
          <w:rFonts w:hint="eastAsia" w:ascii="仿宋_GB2312" w:hAnsi="宋体" w:eastAsia="仿宋_GB2312"/>
          <w:kern w:val="2"/>
          <w:sz w:val="32"/>
          <w:szCs w:val="32"/>
          <w:lang w:val="en-US" w:eastAsia="zh-CN"/>
        </w:rPr>
        <w:t>进度</w:t>
      </w:r>
      <w:r>
        <w:rPr>
          <w:rFonts w:ascii="仿宋_GB2312" w:hAnsi="宋体" w:eastAsia="仿宋_GB2312"/>
          <w:kern w:val="2"/>
          <w:sz w:val="32"/>
          <w:szCs w:val="32"/>
        </w:rPr>
        <w:t>如下：</w:t>
      </w:r>
    </w:p>
    <w:p w14:paraId="0DE4091D">
      <w:pPr>
        <w:pStyle w:val="9"/>
        <w:widowControl/>
        <w:shd w:val="clear" w:color="auto" w:fill="FFFFFF"/>
        <w:spacing w:beforeAutospacing="0" w:afterAutospacing="0" w:line="360" w:lineRule="auto"/>
        <w:ind w:firstLine="640" w:firstLineChars="200"/>
        <w:jc w:val="both"/>
        <w:rPr>
          <w:rFonts w:ascii="仿宋_GB2312" w:hAnsi="宋体" w:eastAsia="仿宋_GB2312"/>
          <w:kern w:val="2"/>
          <w:sz w:val="32"/>
          <w:szCs w:val="32"/>
        </w:rPr>
      </w:pPr>
      <w:r>
        <w:rPr>
          <w:rFonts w:hint="eastAsia" w:ascii="仿宋_GB2312" w:hAnsi="宋体" w:eastAsia="仿宋_GB2312"/>
          <w:kern w:val="2"/>
          <w:sz w:val="32"/>
          <w:szCs w:val="32"/>
        </w:rPr>
        <w:t>第一阶段付款：合同签订后的十五个工作日内，甲方向乙方支付合同金额的</w:t>
      </w:r>
      <w:r>
        <w:rPr>
          <w:rFonts w:ascii="仿宋_GB2312" w:hAnsi="宋体" w:eastAsia="仿宋_GB2312"/>
          <w:kern w:val="2"/>
          <w:sz w:val="32"/>
          <w:szCs w:val="32"/>
        </w:rPr>
        <w:t>40%；</w:t>
      </w:r>
    </w:p>
    <w:p w14:paraId="756CB5C9">
      <w:pPr>
        <w:pStyle w:val="9"/>
        <w:widowControl/>
        <w:shd w:val="clear" w:color="auto" w:fill="FFFFFF"/>
        <w:spacing w:beforeAutospacing="0" w:afterAutospacing="0" w:line="360" w:lineRule="auto"/>
        <w:ind w:firstLine="640" w:firstLineChars="200"/>
        <w:jc w:val="both"/>
        <w:rPr>
          <w:rFonts w:hint="eastAsia" w:ascii="仿宋_GB2312" w:hAnsi="宋体" w:eastAsia="仿宋_GB2312"/>
          <w:kern w:val="2"/>
          <w:sz w:val="32"/>
          <w:szCs w:val="32"/>
          <w:lang w:eastAsia="zh-CN"/>
        </w:rPr>
      </w:pPr>
      <w:r>
        <w:rPr>
          <w:rFonts w:hint="eastAsia" w:ascii="仿宋_GB2312" w:hAnsi="宋体" w:eastAsia="仿宋_GB2312"/>
          <w:kern w:val="2"/>
          <w:sz w:val="32"/>
          <w:szCs w:val="32"/>
        </w:rPr>
        <w:t>第二阶段款项支付规定如下：乙方须于2025年9月30日之前向甲方提交自中标之日起至8月的运维报告，甲方在收到报告后，将向乙方支付合同总额的40%作为款项。</w:t>
      </w:r>
    </w:p>
    <w:p w14:paraId="309E83A9">
      <w:pPr>
        <w:pStyle w:val="9"/>
        <w:widowControl/>
        <w:shd w:val="clear" w:color="auto" w:fill="FFFFFF"/>
        <w:spacing w:beforeAutospacing="0" w:afterAutospacing="0" w:line="360" w:lineRule="auto"/>
        <w:ind w:firstLine="640" w:firstLineChars="200"/>
        <w:jc w:val="both"/>
        <w:rPr>
          <w:rFonts w:hint="eastAsia" w:ascii="仿宋_GB2312" w:hAnsi="宋体" w:eastAsia="仿宋_GB2312"/>
          <w:kern w:val="2"/>
          <w:sz w:val="32"/>
          <w:szCs w:val="32"/>
        </w:rPr>
      </w:pPr>
      <w:r>
        <w:rPr>
          <w:rFonts w:hint="eastAsia" w:ascii="仿宋_GB2312" w:hAnsi="宋体" w:eastAsia="仿宋_GB2312"/>
          <w:kern w:val="2"/>
          <w:sz w:val="32"/>
          <w:szCs w:val="32"/>
        </w:rPr>
        <w:t>第三阶段付款：202</w:t>
      </w:r>
      <w:r>
        <w:rPr>
          <w:rFonts w:hint="eastAsia" w:ascii="仿宋_GB2312" w:hAnsi="宋体" w:eastAsia="仿宋_GB2312"/>
          <w:kern w:val="2"/>
          <w:sz w:val="32"/>
          <w:szCs w:val="32"/>
          <w:lang w:val="en-US" w:eastAsia="zh-CN"/>
        </w:rPr>
        <w:t>5</w:t>
      </w:r>
      <w:r>
        <w:rPr>
          <w:rFonts w:hint="eastAsia" w:ascii="仿宋_GB2312" w:hAnsi="宋体" w:eastAsia="仿宋_GB2312"/>
          <w:kern w:val="2"/>
          <w:sz w:val="32"/>
          <w:szCs w:val="32"/>
        </w:rPr>
        <w:t>年</w:t>
      </w:r>
      <w:r>
        <w:rPr>
          <w:rFonts w:hint="eastAsia" w:ascii="仿宋_GB2312" w:hAnsi="宋体" w:eastAsia="仿宋_GB2312"/>
          <w:kern w:val="2"/>
          <w:sz w:val="32"/>
          <w:szCs w:val="32"/>
          <w:lang w:val="en-US" w:eastAsia="zh-CN"/>
        </w:rPr>
        <w:t>12月31日前</w:t>
      </w:r>
      <w:r>
        <w:rPr>
          <w:rFonts w:hint="eastAsia" w:ascii="仿宋_GB2312" w:hAnsi="宋体" w:eastAsia="仿宋_GB2312"/>
          <w:kern w:val="2"/>
          <w:sz w:val="32"/>
          <w:szCs w:val="32"/>
        </w:rPr>
        <w:t>，乙方须于2025年12月30日之前向甲方提交自中标之日起至12月的运维报告后，将向乙方支付剩余20%的合同金额。</w:t>
      </w:r>
    </w:p>
    <w:p w14:paraId="011C5DD2">
      <w:pPr>
        <w:pStyle w:val="9"/>
        <w:widowControl/>
        <w:shd w:val="clear" w:color="auto" w:fill="FFFFFF"/>
        <w:spacing w:beforeAutospacing="0" w:afterAutospacing="0" w:line="360" w:lineRule="auto"/>
        <w:ind w:firstLine="640" w:firstLineChars="200"/>
        <w:jc w:val="both"/>
        <w:rPr>
          <w:rFonts w:hint="eastAsia" w:ascii="仿宋_GB2312" w:hAnsi="宋体" w:eastAsia="仿宋_GB2312"/>
          <w:kern w:val="2"/>
          <w:sz w:val="32"/>
          <w:szCs w:val="32"/>
        </w:rPr>
      </w:pPr>
      <w:r>
        <w:rPr>
          <w:rFonts w:hint="eastAsia" w:ascii="仿宋_GB2312" w:hAnsi="宋体" w:eastAsia="仿宋_GB2312"/>
          <w:kern w:val="2"/>
          <w:sz w:val="32"/>
          <w:szCs w:val="32"/>
        </w:rPr>
        <w:t>合同服务期满时，乙方向甲方提交所有运维报告、总结及项目相关材料，</w:t>
      </w:r>
      <w:r>
        <w:rPr>
          <w:rFonts w:hint="eastAsia" w:ascii="仿宋_GB2312" w:hAnsi="宋体" w:eastAsia="仿宋_GB2312"/>
          <w:kern w:val="2"/>
          <w:sz w:val="32"/>
          <w:szCs w:val="32"/>
          <w:lang w:val="en-US" w:eastAsia="zh-CN"/>
        </w:rPr>
        <w:t>验收合格，</w:t>
      </w:r>
      <w:r>
        <w:rPr>
          <w:rFonts w:hint="eastAsia" w:ascii="仿宋_GB2312" w:hAnsi="宋体" w:eastAsia="仿宋_GB2312"/>
          <w:kern w:val="2"/>
          <w:sz w:val="32"/>
          <w:szCs w:val="32"/>
        </w:rPr>
        <w:t>甲方将履约保证金或担保退还给乙方。</w:t>
      </w:r>
    </w:p>
    <w:p w14:paraId="2C78A504">
      <w:pPr>
        <w:pStyle w:val="9"/>
        <w:shd w:val="clear" w:color="auto" w:fill="FFFFFF"/>
        <w:ind w:firstLine="643" w:firstLineChars="200"/>
        <w:rPr>
          <w:rFonts w:ascii="仿宋_GB2312" w:hAnsi="仿宋_GB2312" w:eastAsia="仿宋_GB2312" w:cs="仿宋_GB2312"/>
          <w:b/>
          <w:bCs/>
          <w:color w:val="FF0000"/>
          <w:sz w:val="32"/>
          <w:szCs w:val="32"/>
        </w:rPr>
      </w:pPr>
      <w:bookmarkStart w:id="4" w:name="_GoBack"/>
      <w:bookmarkStart w:id="2" w:name="OLE_LINK2"/>
      <w:bookmarkStart w:id="3" w:name="OLE_LINK4"/>
      <w:r>
        <w:rPr>
          <w:rFonts w:hint="eastAsia" w:ascii="仿宋_GB2312" w:hAnsi="仿宋_GB2312" w:eastAsia="仿宋_GB2312" w:cs="仿宋_GB2312"/>
          <w:b/>
          <w:bCs/>
          <w:color w:val="FF0000"/>
          <w:sz w:val="32"/>
          <w:szCs w:val="32"/>
        </w:rPr>
        <w:t>采购需求所有条款，供应商需要在响应文件中逐一全部响应</w:t>
      </w:r>
      <w:r>
        <w:rPr>
          <w:rFonts w:hint="eastAsia" w:ascii="仿宋_GB2312" w:hAnsi="仿宋_GB2312" w:eastAsia="仿宋_GB2312" w:cs="仿宋_GB2312"/>
          <w:b/>
          <w:bCs/>
          <w:color w:val="FF0000"/>
          <w:sz w:val="32"/>
          <w:szCs w:val="32"/>
          <w:lang w:val="en-US" w:eastAsia="zh-CN"/>
        </w:rPr>
        <w:t>并加盖公章</w:t>
      </w:r>
      <w:r>
        <w:rPr>
          <w:rFonts w:hint="eastAsia" w:ascii="仿宋_GB2312" w:hAnsi="仿宋_GB2312" w:eastAsia="仿宋_GB2312" w:cs="仿宋_GB2312"/>
          <w:b/>
          <w:bCs/>
          <w:color w:val="FF0000"/>
          <w:sz w:val="32"/>
          <w:szCs w:val="32"/>
        </w:rPr>
        <w:t>，否则视为无效响应。</w:t>
      </w:r>
      <w:bookmarkEnd w:id="2"/>
      <w:bookmarkEnd w:id="3"/>
    </w:p>
    <w:bookmarkEnd w:id="4"/>
    <w:p w14:paraId="32F329FA">
      <w:pPr>
        <w:pStyle w:val="9"/>
        <w:widowControl w:val="0"/>
        <w:shd w:val="clear" w:color="auto" w:fill="FFFFFF"/>
        <w:spacing w:beforeAutospacing="1" w:afterAutospacing="1"/>
        <w:ind w:firstLine="640" w:firstLineChars="200"/>
        <w:rPr>
          <w:rFonts w:hint="eastAsia" w:ascii="仿宋" w:hAnsi="仿宋" w:eastAsia="仿宋" w:cs="仿宋"/>
          <w:kern w:val="2"/>
          <w:sz w:val="32"/>
          <w:szCs w:val="32"/>
          <w:lang w:val="en-US" w:eastAsia="zh-CN" w:bidi="ar-SA"/>
        </w:rPr>
      </w:pPr>
    </w:p>
    <w:p w14:paraId="72080AFC">
      <w:pPr>
        <w:pStyle w:val="9"/>
        <w:widowControl w:val="0"/>
        <w:shd w:val="clear" w:color="auto" w:fill="FFFFFF"/>
        <w:spacing w:beforeAutospacing="1" w:afterAutospacing="1"/>
        <w:ind w:firstLine="640" w:firstLineChars="200"/>
        <w:rPr>
          <w:rFonts w:hint="eastAsia" w:ascii="仿宋" w:hAnsi="仿宋" w:eastAsia="仿宋" w:cs="仿宋"/>
          <w:kern w:val="2"/>
          <w:sz w:val="32"/>
          <w:szCs w:val="32"/>
          <w:lang w:val="en-US" w:eastAsia="zh-CN" w:bidi="ar-SA"/>
        </w:rPr>
      </w:pPr>
    </w:p>
    <w:p w14:paraId="197A9385">
      <w:pPr>
        <w:pStyle w:val="11"/>
        <w:ind w:left="0" w:leftChars="0" w:firstLine="0" w:firstLineChars="0"/>
        <w:jc w:val="left"/>
        <w:rPr>
          <w:rFonts w:hint="eastAsia" w:ascii="仿宋" w:hAnsi="仿宋" w:eastAsia="仿宋" w:cs="仿宋"/>
          <w:kern w:val="2"/>
          <w:sz w:val="32"/>
          <w:szCs w:val="32"/>
          <w:lang w:val="en-US" w:eastAsia="zh-CN" w:bidi="ar-SA"/>
        </w:rPr>
      </w:pPr>
    </w:p>
    <w:sectPr>
      <w:footerReference r:id="rId5" w:type="default"/>
      <w:pgSz w:w="11906" w:h="16838"/>
      <w:pgMar w:top="1440" w:right="1800" w:bottom="1440" w:left="1800" w:header="851" w:footer="992" w:gutter="0"/>
      <w:pgNumType w:fmt="decimal"/>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endnote>
  <w:endnote w:type="continuationSeparator" w:id="1">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1"/>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方正小标宋简体">
    <w:panose1 w:val="02010601030101010101"/>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DC9C4C">
    <w:pPr>
      <w:pStyle w:val="7"/>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38B639F">
                          <w:pPr>
                            <w:pStyle w:val="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138B639F">
                    <w:pPr>
                      <w:pStyle w:val="7"/>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footnote>
  <w:footnote w:type="continuationSeparator" w:id="1">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EED25E0"/>
    <w:multiLevelType w:val="singleLevel"/>
    <w:tmpl w:val="AEED25E0"/>
    <w:lvl w:ilvl="0" w:tentative="0">
      <w:start w:val="1"/>
      <w:numFmt w:val="decimal"/>
      <w:suff w:val="nothing"/>
      <w:lvlText w:val="%1、"/>
      <w:lvlJc w:val="left"/>
    </w:lvl>
  </w:abstractNum>
  <w:abstractNum w:abstractNumId="1">
    <w:nsid w:val="7AC6286A"/>
    <w:multiLevelType w:val="singleLevel"/>
    <w:tmpl w:val="7AC6286A"/>
    <w:lvl w:ilvl="0" w:tentative="0">
      <w:start w:val="1"/>
      <w:numFmt w:val="chineseCounting"/>
      <w:suff w:val="nothing"/>
      <w:lvlText w:val="（%1）"/>
      <w:lvlJc w:val="left"/>
      <w:pPr>
        <w:ind w:left="0" w:firstLine="420"/>
      </w:pPr>
      <w:rPr>
        <w:rFonts w:hint="eastAsia"/>
      </w:rPr>
    </w:lvl>
  </w:abstractNum>
  <w:abstractNum w:abstractNumId="2">
    <w:nsid w:val="7EA35DF0"/>
    <w:multiLevelType w:val="singleLevel"/>
    <w:tmpl w:val="7EA35DF0"/>
    <w:lvl w:ilvl="0" w:tentative="0">
      <w:start w:val="1"/>
      <w:numFmt w:val="decimal"/>
      <w:suff w:val="space"/>
      <w:lvlText w:val="%1."/>
      <w:lvlJc w:val="left"/>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5"/>
  <w:bordersDoNotSurroundHeader w:val="1"/>
  <w:bordersDoNotSurroundFooter w:val="1"/>
  <w:documentProtection w:enforcement="0"/>
  <w:defaultTabStop w:val="420"/>
  <w:drawingGridVerticalSpacing w:val="156"/>
  <w:displayHorizontalDrawingGridEvery w:val="1"/>
  <w:displayVerticalDrawingGridEvery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GY2YWQ1M2Y3ZjlhYzU0OTUxOTk4ZDEzNjlkNDRmNzkifQ=="/>
  </w:docVars>
  <w:rsids>
    <w:rsidRoot w:val="0012465F"/>
    <w:rsid w:val="0000579D"/>
    <w:rsid w:val="000329C1"/>
    <w:rsid w:val="0004066A"/>
    <w:rsid w:val="00050005"/>
    <w:rsid w:val="0006114E"/>
    <w:rsid w:val="000A2AB4"/>
    <w:rsid w:val="000A7DD4"/>
    <w:rsid w:val="000B2E8B"/>
    <w:rsid w:val="000B2E92"/>
    <w:rsid w:val="000B52D2"/>
    <w:rsid w:val="000D134B"/>
    <w:rsid w:val="0012465F"/>
    <w:rsid w:val="00125BC8"/>
    <w:rsid w:val="00130824"/>
    <w:rsid w:val="00131746"/>
    <w:rsid w:val="001427F5"/>
    <w:rsid w:val="0014559A"/>
    <w:rsid w:val="00162BD3"/>
    <w:rsid w:val="00175239"/>
    <w:rsid w:val="001A0E6E"/>
    <w:rsid w:val="001B3A05"/>
    <w:rsid w:val="001B3C4B"/>
    <w:rsid w:val="002701B6"/>
    <w:rsid w:val="002A5F11"/>
    <w:rsid w:val="002B4408"/>
    <w:rsid w:val="003423D5"/>
    <w:rsid w:val="003B5FFC"/>
    <w:rsid w:val="004026AC"/>
    <w:rsid w:val="00422472"/>
    <w:rsid w:val="0043420F"/>
    <w:rsid w:val="004C7E05"/>
    <w:rsid w:val="004E38F2"/>
    <w:rsid w:val="00525348"/>
    <w:rsid w:val="00555F42"/>
    <w:rsid w:val="00575A99"/>
    <w:rsid w:val="006368B8"/>
    <w:rsid w:val="00646E75"/>
    <w:rsid w:val="00672A11"/>
    <w:rsid w:val="006B6CD3"/>
    <w:rsid w:val="006D5C2E"/>
    <w:rsid w:val="00733459"/>
    <w:rsid w:val="007503C5"/>
    <w:rsid w:val="007849E0"/>
    <w:rsid w:val="0081183C"/>
    <w:rsid w:val="008208BF"/>
    <w:rsid w:val="00844285"/>
    <w:rsid w:val="0084704D"/>
    <w:rsid w:val="00860981"/>
    <w:rsid w:val="0086424E"/>
    <w:rsid w:val="00901CC6"/>
    <w:rsid w:val="00946A88"/>
    <w:rsid w:val="00970702"/>
    <w:rsid w:val="009756AE"/>
    <w:rsid w:val="009A1BBB"/>
    <w:rsid w:val="009A2BB1"/>
    <w:rsid w:val="009A32D7"/>
    <w:rsid w:val="009B49E1"/>
    <w:rsid w:val="009C686A"/>
    <w:rsid w:val="009F3BCE"/>
    <w:rsid w:val="00A520AA"/>
    <w:rsid w:val="00B47766"/>
    <w:rsid w:val="00B602EF"/>
    <w:rsid w:val="00B60757"/>
    <w:rsid w:val="00B91CAD"/>
    <w:rsid w:val="00B94018"/>
    <w:rsid w:val="00BD5965"/>
    <w:rsid w:val="00BE6E0F"/>
    <w:rsid w:val="00BF62DA"/>
    <w:rsid w:val="00C846E4"/>
    <w:rsid w:val="00C938DF"/>
    <w:rsid w:val="00CB7DC2"/>
    <w:rsid w:val="00CD4FE7"/>
    <w:rsid w:val="00D25136"/>
    <w:rsid w:val="00D44912"/>
    <w:rsid w:val="00D510CB"/>
    <w:rsid w:val="00DD0522"/>
    <w:rsid w:val="00DE0B30"/>
    <w:rsid w:val="00DF53A8"/>
    <w:rsid w:val="00EE6D04"/>
    <w:rsid w:val="00F15707"/>
    <w:rsid w:val="00F366D2"/>
    <w:rsid w:val="00FA45FF"/>
    <w:rsid w:val="00FE092D"/>
    <w:rsid w:val="03A6446B"/>
    <w:rsid w:val="088244D8"/>
    <w:rsid w:val="0D6B31FA"/>
    <w:rsid w:val="0FE04167"/>
    <w:rsid w:val="10E13680"/>
    <w:rsid w:val="1181494C"/>
    <w:rsid w:val="136651FD"/>
    <w:rsid w:val="13B808EA"/>
    <w:rsid w:val="141E08A6"/>
    <w:rsid w:val="164D719B"/>
    <w:rsid w:val="18271E08"/>
    <w:rsid w:val="19C46227"/>
    <w:rsid w:val="1F112D96"/>
    <w:rsid w:val="20352422"/>
    <w:rsid w:val="20A008F9"/>
    <w:rsid w:val="284A592D"/>
    <w:rsid w:val="2B4D3342"/>
    <w:rsid w:val="2C4E1120"/>
    <w:rsid w:val="2E0F48DF"/>
    <w:rsid w:val="32E3660A"/>
    <w:rsid w:val="346F4329"/>
    <w:rsid w:val="37C42C9D"/>
    <w:rsid w:val="382E4E69"/>
    <w:rsid w:val="39EE20BF"/>
    <w:rsid w:val="39F41558"/>
    <w:rsid w:val="3A451ED4"/>
    <w:rsid w:val="3A982C59"/>
    <w:rsid w:val="3B2E6DBA"/>
    <w:rsid w:val="3E947C34"/>
    <w:rsid w:val="3F264703"/>
    <w:rsid w:val="3F9115F7"/>
    <w:rsid w:val="3FFF4F9E"/>
    <w:rsid w:val="40493140"/>
    <w:rsid w:val="40BF5726"/>
    <w:rsid w:val="411556D7"/>
    <w:rsid w:val="42FB3D46"/>
    <w:rsid w:val="47FD6C19"/>
    <w:rsid w:val="483B65A4"/>
    <w:rsid w:val="48901C77"/>
    <w:rsid w:val="489338EA"/>
    <w:rsid w:val="48C50447"/>
    <w:rsid w:val="490B41DB"/>
    <w:rsid w:val="4B204489"/>
    <w:rsid w:val="4C5256D4"/>
    <w:rsid w:val="4CD3564A"/>
    <w:rsid w:val="4DFE3E68"/>
    <w:rsid w:val="52103B96"/>
    <w:rsid w:val="526345BA"/>
    <w:rsid w:val="53B21B81"/>
    <w:rsid w:val="569D2D11"/>
    <w:rsid w:val="581940C4"/>
    <w:rsid w:val="58B73B8A"/>
    <w:rsid w:val="5BBF7C68"/>
    <w:rsid w:val="5BF581F2"/>
    <w:rsid w:val="5EB3E36A"/>
    <w:rsid w:val="5F3FE4B8"/>
    <w:rsid w:val="626C6275"/>
    <w:rsid w:val="63E06EDE"/>
    <w:rsid w:val="67212949"/>
    <w:rsid w:val="68480F25"/>
    <w:rsid w:val="6A1231B1"/>
    <w:rsid w:val="6BD7AADE"/>
    <w:rsid w:val="6ED924EF"/>
    <w:rsid w:val="6F4D246E"/>
    <w:rsid w:val="6F8D6E36"/>
    <w:rsid w:val="704B5BC3"/>
    <w:rsid w:val="72DF4278"/>
    <w:rsid w:val="77F62ADA"/>
    <w:rsid w:val="77FD68B5"/>
    <w:rsid w:val="78966330"/>
    <w:rsid w:val="799659B1"/>
    <w:rsid w:val="79C02EA5"/>
    <w:rsid w:val="7CF00B39"/>
    <w:rsid w:val="7DFBC244"/>
    <w:rsid w:val="7FAFE97C"/>
    <w:rsid w:val="92DBCEF6"/>
    <w:rsid w:val="DFE83F9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unhideWhenUsed="0" w:uiPriority="99" w:semiHidden="0" w:name="heading 1"/>
    <w:lsdException w:uiPriority="99" w:name="heading 2"/>
    <w:lsdException w:uiPriority="99" w:name="heading 3"/>
    <w:lsdException w:uiPriority="99" w:name="heading 4"/>
    <w:lsdException w:uiPriority="99" w:name="heading 5"/>
    <w:lsdException w:uiPriority="99" w:name="heading 6"/>
    <w:lsdException w:uiPriority="99" w:name="heading 7"/>
    <w:lsdException w:uiPriority="99" w:name="heading 8"/>
    <w:lsdException w:uiPriority="9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99" w:name="toc 1"/>
    <w:lsdException w:uiPriority="99" w:name="toc 2"/>
    <w:lsdException w:uiPriority="99" w:name="toc 3"/>
    <w:lsdException w:uiPriority="99" w:name="toc 4"/>
    <w:lsdException w:uiPriority="99" w:name="toc 5"/>
    <w:lsdException w:uiPriority="99" w:name="toc 6"/>
    <w:lsdException w:uiPriority="99" w:name="toc 7"/>
    <w:lsdException w:uiPriority="99" w:name="toc 8"/>
    <w:lsdException w:uiPriority="99" w:name="toc 9"/>
    <w:lsdException w:qFormat="1" w:unhideWhenUsed="0" w:uiPriority="0" w:semiHidden="0"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uiPriority="99"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iPriority="99"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unhideWhenUsed="0" w:uiPriority="99" w:semiHidden="0" w:name="Subtitle"/>
    <w:lsdException w:uiPriority="99" w:name="Salutation"/>
    <w:lsdException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unhideWhenUsed="0" w:uiPriority="99" w:semiHidden="0" w:name="Strong"/>
    <w:lsdException w:unhideWhenUsed="0" w:uiPriority="99" w:semiHidden="0" w:name="Emphasis"/>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13">
    <w:name w:val="Default Paragraph Font"/>
    <w:semiHidden/>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2">
    <w:name w:val="Normal Indent"/>
    <w:basedOn w:val="1"/>
    <w:qFormat/>
    <w:uiPriority w:val="0"/>
    <w:pPr>
      <w:ind w:firstLine="420"/>
    </w:pPr>
    <w:rPr>
      <w:szCs w:val="20"/>
    </w:rPr>
  </w:style>
  <w:style w:type="paragraph" w:styleId="3">
    <w:name w:val="annotation text"/>
    <w:basedOn w:val="1"/>
    <w:semiHidden/>
    <w:unhideWhenUsed/>
    <w:qFormat/>
    <w:uiPriority w:val="99"/>
    <w:pPr>
      <w:jc w:val="left"/>
    </w:pPr>
  </w:style>
  <w:style w:type="paragraph" w:styleId="4">
    <w:name w:val="Body Text"/>
    <w:basedOn w:val="1"/>
    <w:link w:val="24"/>
    <w:semiHidden/>
    <w:unhideWhenUsed/>
    <w:qFormat/>
    <w:uiPriority w:val="99"/>
    <w:pPr>
      <w:spacing w:after="120"/>
    </w:pPr>
    <w:rPr>
      <w:rFonts w:ascii="Times New Roman" w:hAnsi="Times New Roman" w:eastAsia="宋体" w:cs="Times New Roman"/>
      <w:szCs w:val="24"/>
    </w:rPr>
  </w:style>
  <w:style w:type="paragraph" w:styleId="5">
    <w:name w:val="Body Text Indent"/>
    <w:basedOn w:val="1"/>
    <w:unhideWhenUsed/>
    <w:qFormat/>
    <w:uiPriority w:val="99"/>
    <w:pPr>
      <w:spacing w:after="120"/>
      <w:ind w:left="420" w:leftChars="200"/>
    </w:pPr>
  </w:style>
  <w:style w:type="paragraph" w:styleId="6">
    <w:name w:val="Balloon Text"/>
    <w:basedOn w:val="1"/>
    <w:link w:val="20"/>
    <w:semiHidden/>
    <w:unhideWhenUsed/>
    <w:qFormat/>
    <w:uiPriority w:val="99"/>
    <w:rPr>
      <w:sz w:val="18"/>
      <w:szCs w:val="18"/>
    </w:rPr>
  </w:style>
  <w:style w:type="paragraph" w:styleId="7">
    <w:name w:val="footer"/>
    <w:basedOn w:val="1"/>
    <w:link w:val="22"/>
    <w:unhideWhenUsed/>
    <w:qFormat/>
    <w:uiPriority w:val="99"/>
    <w:pPr>
      <w:tabs>
        <w:tab w:val="center" w:pos="4153"/>
        <w:tab w:val="right" w:pos="8306"/>
      </w:tabs>
      <w:snapToGrid w:val="0"/>
      <w:jc w:val="left"/>
    </w:pPr>
    <w:rPr>
      <w:sz w:val="18"/>
      <w:szCs w:val="18"/>
    </w:rPr>
  </w:style>
  <w:style w:type="paragraph" w:styleId="8">
    <w:name w:val="header"/>
    <w:basedOn w:val="1"/>
    <w:link w:val="21"/>
    <w:unhideWhenUsed/>
    <w:qFormat/>
    <w:uiPriority w:val="99"/>
    <w:pPr>
      <w:tabs>
        <w:tab w:val="center" w:pos="4153"/>
        <w:tab w:val="right" w:pos="8306"/>
      </w:tabs>
      <w:snapToGrid w:val="0"/>
      <w:jc w:val="center"/>
    </w:pPr>
    <w:rPr>
      <w:sz w:val="18"/>
      <w:szCs w:val="18"/>
    </w:rPr>
  </w:style>
  <w:style w:type="paragraph" w:styleId="9">
    <w:name w:val="Normal (Web)"/>
    <w:basedOn w:val="1"/>
    <w:qFormat/>
    <w:uiPriority w:val="99"/>
    <w:pPr>
      <w:spacing w:beforeAutospacing="1" w:afterAutospacing="1"/>
      <w:jc w:val="left"/>
    </w:pPr>
    <w:rPr>
      <w:rFonts w:ascii="Times New Roman" w:hAnsi="Times New Roman" w:eastAsia="宋体" w:cs="Times New Roman"/>
      <w:kern w:val="0"/>
      <w:sz w:val="24"/>
      <w:szCs w:val="24"/>
    </w:rPr>
  </w:style>
  <w:style w:type="paragraph" w:styleId="10">
    <w:name w:val="Title"/>
    <w:basedOn w:val="1"/>
    <w:link w:val="15"/>
    <w:qFormat/>
    <w:uiPriority w:val="0"/>
    <w:pPr>
      <w:jc w:val="center"/>
      <w:outlineLvl w:val="0"/>
    </w:pPr>
    <w:rPr>
      <w:rFonts w:ascii="Calibri" w:hAnsi="Calibri" w:eastAsia="宋体" w:cs="Times New Roman"/>
      <w:b/>
      <w:sz w:val="32"/>
    </w:rPr>
  </w:style>
  <w:style w:type="paragraph" w:styleId="11">
    <w:name w:val="Body Text First Indent 2"/>
    <w:basedOn w:val="5"/>
    <w:qFormat/>
    <w:uiPriority w:val="0"/>
    <w:pPr>
      <w:spacing w:after="0"/>
    </w:pPr>
    <w:rPr>
      <w:rFonts w:ascii="Calibri" w:hAnsi="Calibri" w:eastAsia="宋体" w:cs="Times New Roman"/>
      <w:szCs w:val="24"/>
    </w:rPr>
  </w:style>
  <w:style w:type="paragraph" w:customStyle="1" w:styleId="14">
    <w:name w:val="Default"/>
    <w:qFormat/>
    <w:uiPriority w:val="99"/>
    <w:pPr>
      <w:widowControl w:val="0"/>
      <w:autoSpaceDE w:val="0"/>
      <w:autoSpaceDN w:val="0"/>
      <w:adjustRightInd w:val="0"/>
    </w:pPr>
    <w:rPr>
      <w:rFonts w:ascii="黑体" w:hAnsi="Times New Roman" w:eastAsia="黑体" w:cs="Times New Roman"/>
      <w:lang w:val="en-US" w:eastAsia="zh-CN" w:bidi="ar-SA"/>
    </w:rPr>
  </w:style>
  <w:style w:type="character" w:customStyle="1" w:styleId="15">
    <w:name w:val="标题 字符"/>
    <w:basedOn w:val="13"/>
    <w:link w:val="10"/>
    <w:qFormat/>
    <w:uiPriority w:val="0"/>
    <w:rPr>
      <w:rFonts w:ascii="Calibri" w:hAnsi="Calibri" w:eastAsia="宋体" w:cs="Times New Roman"/>
      <w:b/>
      <w:sz w:val="32"/>
    </w:rPr>
  </w:style>
  <w:style w:type="paragraph" w:customStyle="1" w:styleId="16">
    <w:name w:val="列出段落1"/>
    <w:basedOn w:val="1"/>
    <w:qFormat/>
    <w:uiPriority w:val="0"/>
    <w:pPr>
      <w:ind w:firstLine="420" w:firstLineChars="200"/>
    </w:pPr>
    <w:rPr>
      <w:rFonts w:ascii="Times New Roman" w:hAnsi="Times New Roman" w:eastAsia="宋体" w:cs="Times New Roman"/>
      <w:szCs w:val="20"/>
    </w:rPr>
  </w:style>
  <w:style w:type="table" w:customStyle="1" w:styleId="17">
    <w:name w:val="网格型1"/>
    <w:basedOn w:val="12"/>
    <w:qFormat/>
    <w:uiPriority w:val="0"/>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8">
    <w:name w:val="正文_6"/>
    <w:qFormat/>
    <w:uiPriority w:val="0"/>
    <w:pPr>
      <w:widowControl w:val="0"/>
      <w:jc w:val="both"/>
    </w:pPr>
    <w:rPr>
      <w:rFonts w:ascii="Calibri" w:hAnsi="Calibri" w:eastAsia="宋体" w:cs="Times New Roman"/>
      <w:kern w:val="2"/>
      <w:sz w:val="21"/>
      <w:szCs w:val="22"/>
      <w:lang w:val="en-US" w:eastAsia="zh-CN" w:bidi="ar-SA"/>
    </w:rPr>
  </w:style>
  <w:style w:type="paragraph" w:customStyle="1" w:styleId="19">
    <w:name w:val="修订1"/>
    <w:semiHidden/>
    <w:qFormat/>
    <w:uiPriority w:val="99"/>
    <w:rPr>
      <w:rFonts w:asciiTheme="minorHAnsi" w:hAnsiTheme="minorHAnsi" w:eastAsiaTheme="minorEastAsia" w:cstheme="minorBidi"/>
      <w:kern w:val="2"/>
      <w:sz w:val="21"/>
      <w:szCs w:val="22"/>
      <w:lang w:val="en-US" w:eastAsia="zh-CN" w:bidi="ar-SA"/>
    </w:rPr>
  </w:style>
  <w:style w:type="character" w:customStyle="1" w:styleId="20">
    <w:name w:val="批注框文本 字符"/>
    <w:basedOn w:val="13"/>
    <w:link w:val="6"/>
    <w:semiHidden/>
    <w:qFormat/>
    <w:uiPriority w:val="99"/>
    <w:rPr>
      <w:kern w:val="2"/>
      <w:sz w:val="18"/>
      <w:szCs w:val="18"/>
    </w:rPr>
  </w:style>
  <w:style w:type="character" w:customStyle="1" w:styleId="21">
    <w:name w:val="页眉 字符"/>
    <w:basedOn w:val="13"/>
    <w:link w:val="8"/>
    <w:qFormat/>
    <w:uiPriority w:val="99"/>
    <w:rPr>
      <w:kern w:val="2"/>
      <w:sz w:val="18"/>
      <w:szCs w:val="18"/>
    </w:rPr>
  </w:style>
  <w:style w:type="character" w:customStyle="1" w:styleId="22">
    <w:name w:val="页脚 字符"/>
    <w:basedOn w:val="13"/>
    <w:link w:val="7"/>
    <w:qFormat/>
    <w:uiPriority w:val="99"/>
    <w:rPr>
      <w:kern w:val="2"/>
      <w:sz w:val="18"/>
      <w:szCs w:val="18"/>
    </w:rPr>
  </w:style>
  <w:style w:type="paragraph" w:styleId="23">
    <w:name w:val="List Paragraph"/>
    <w:basedOn w:val="1"/>
    <w:unhideWhenUsed/>
    <w:qFormat/>
    <w:uiPriority w:val="99"/>
    <w:pPr>
      <w:ind w:firstLine="420" w:firstLineChars="200"/>
    </w:pPr>
  </w:style>
  <w:style w:type="character" w:customStyle="1" w:styleId="24">
    <w:name w:val="正文文本 字符"/>
    <w:basedOn w:val="13"/>
    <w:link w:val="4"/>
    <w:semiHidden/>
    <w:qFormat/>
    <w:uiPriority w:val="99"/>
    <w:rPr>
      <w:rFonts w:ascii="Times New Roman" w:hAnsi="Times New Roman" w:eastAsia="宋体" w:cs="Times New Roman"/>
      <w:kern w:val="2"/>
      <w:sz w:val="21"/>
      <w:szCs w:val="24"/>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lumMod val="102000"/>
                <a:satMod val="103000"/>
                <a:tint val="94000"/>
              </a:schemeClr>
            </a:gs>
            <a:gs pos="50000">
              <a:schemeClr val="phClr">
                <a:lumMod val="100000"/>
                <a:satMod val="11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satMod val="170000"/>
            <a:tint val="95000"/>
          </a:schemeClr>
        </a:solidFill>
        <a:gradFill rotWithShape="1">
          <a:gsLst>
            <a:gs pos="0">
              <a:schemeClr val="phClr">
                <a:lumMod val="102000"/>
                <a:satMod val="150000"/>
                <a:shade val="98000"/>
                <a:tint val="93000"/>
              </a:schemeClr>
            </a:gs>
            <a:gs pos="50000">
              <a:schemeClr val="phClr">
                <a:lumMod val="103000"/>
                <a:satMod val="130000"/>
                <a:shade val="90000"/>
                <a:tint val="98000"/>
              </a:schemeClr>
            </a:gs>
            <a:gs pos="100000">
              <a:schemeClr val="phClr">
                <a:satMod val="120000"/>
                <a:shade val="63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china</Company>
  <Pages>9</Pages>
  <Words>2446</Words>
  <Characters>3303</Characters>
  <Lines>29</Lines>
  <Paragraphs>8</Paragraphs>
  <TotalTime>25</TotalTime>
  <ScaleCrop>false</ScaleCrop>
  <LinksUpToDate>false</LinksUpToDate>
  <CharactersWithSpaces>3348</CharactersWithSpaces>
  <Application>WPS Office_12.1.0.17857_F1E327BC-269C-435d-A152-05C5408002CA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2024-05-16T03:21:00Z</dcterms:created>
  <dc:creator>HW CS</dc:creator>
  <cp:lastModifiedBy>y</cp:lastModifiedBy>
  <dcterms:modified xsi:type="dcterms:W3CDTF">2025-03-31T01:34:20Z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2052-12.1.0.17857</vt:lpwstr>
  </property>
  <property fmtid="{D5CDD505-2E9C-101B-9397-08002B2CF9AE}" pid="3" name="ICV">
    <vt:lpwstr>5A9693B5B4C0486B8C5FF3B432A94C4F_13</vt:lpwstr>
  </property>
  <property fmtid="{D5CDD505-2E9C-101B-9397-08002B2CF9AE}" pid="4" name="KSOTemplateDocerSaveRecord">
    <vt:lpwstr>eyJoZGlkIjoiZmM1MGRiNzE3ZDExMDgwOGZkNmZiY2Y2Mzc3YmNmMmEifQ==</vt:lpwstr>
  </property>
</Properties>
</file>