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1E9C6">
      <w:pPr>
        <w:spacing w:before="312" w:beforeLines="100" w:after="0" w:line="660" w:lineRule="exact"/>
        <w:jc w:val="center"/>
        <w:rPr>
          <w:rFonts w:hint="eastAsia" w:ascii="Times-Roman" w:hAnsi="Times-Roman" w:eastAsia="方正小标宋_GBK" w:cs="Times-Roman"/>
          <w:bCs/>
          <w:sz w:val="30"/>
          <w:szCs w:val="30"/>
          <w:highlight w:val="none"/>
          <w14:ligatures w14:val="none"/>
        </w:rPr>
      </w:pPr>
      <w:bookmarkStart w:id="0" w:name="OLE_LINK2"/>
      <w:r>
        <w:rPr>
          <w:rFonts w:hint="eastAsia" w:ascii="Times-Roman" w:hAnsi="Times-Roman" w:eastAsia="方正小标宋_GBK" w:cs="Times-Roman"/>
          <w:bCs/>
          <w:sz w:val="30"/>
          <w:szCs w:val="30"/>
          <w:highlight w:val="none"/>
          <w14:ligatures w14:val="none"/>
        </w:rPr>
        <w:t>湖南省《第一批化学物质环境风险优先评估计划》 加密监测项目</w:t>
      </w:r>
      <w:bookmarkEnd w:id="0"/>
      <w:r>
        <w:rPr>
          <w:rFonts w:hint="eastAsia" w:ascii="Times-Roman" w:hAnsi="Times-Roman" w:eastAsia="方正小标宋_GBK" w:cs="Times-Roman"/>
          <w:bCs/>
          <w:sz w:val="30"/>
          <w:szCs w:val="30"/>
          <w:highlight w:val="none"/>
          <w:lang w:val="en-US" w:eastAsia="zh-CN"/>
          <w14:ligatures w14:val="none"/>
        </w:rPr>
        <w:t>检测</w:t>
      </w:r>
      <w:r>
        <w:rPr>
          <w:rFonts w:hint="eastAsia" w:ascii="Times-Roman" w:hAnsi="Times-Roman" w:eastAsia="方正小标宋_GBK" w:cs="Times-Roman"/>
          <w:bCs/>
          <w:sz w:val="30"/>
          <w:szCs w:val="30"/>
          <w:highlight w:val="none"/>
          <w14:ligatures w14:val="none"/>
        </w:rPr>
        <w:t>采购需求</w:t>
      </w:r>
    </w:p>
    <w:p w14:paraId="610BA8E6">
      <w:p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一、项目来源</w:t>
      </w:r>
    </w:p>
    <w:p w14:paraId="5F5363F4">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both"/>
        <w:textAlignment w:val="auto"/>
        <w:rPr>
          <w:rFonts w:hint="eastAsia" w:ascii="Times-Roman" w:hAnsi="Times-Roman" w:eastAsia="FangSong_GB2312" w:cs="Times-Roman"/>
          <w:sz w:val="32"/>
          <w:szCs w:val="32"/>
        </w:rPr>
      </w:pPr>
      <w:r>
        <w:rPr>
          <w:rFonts w:hint="eastAsia" w:ascii="Times-Roman" w:hAnsi="Times-Roman" w:eastAsia="FangSong_GB2312" w:cs="Times-Roman"/>
          <w:sz w:val="32"/>
          <w:szCs w:val="32"/>
        </w:rPr>
        <w:t>为贯彻落实《新污染物治理行动方案》，推进《第一批化学物质环境风险优先评估计划》的全面落实，2023年12月生态环境部于下发了《关于做好&lt;第一批化学物质环境风险优先评估计划&gt;实施工作的通知》，要求省级“规范开展加密监测”，向生态环境部报送包含原始监测数据的加密监测数据分析报告，为优先评估化学物质的环境暴露水平和环境风险评估提供数据支撑与理论依据。同时，按计划分阶段有序开展优先评估化学物质环境风险评估工作。目前，根据生态环境部2024年度《优评计划》环境风险评估工作安排，我省已申请参与该环境风险评估工作。</w:t>
      </w:r>
    </w:p>
    <w:p w14:paraId="0AA2E48F">
      <w:pPr>
        <w:ind w:firstLine="640" w:firstLineChars="200"/>
        <w:jc w:val="both"/>
        <w:rPr>
          <w:rFonts w:hint="eastAsia" w:ascii="Times-Roman" w:hAnsi="Times-Roman" w:eastAsia="FangSong_GB2312" w:cs="Times-Roman"/>
          <w:color w:val="0000FF"/>
          <w:sz w:val="32"/>
          <w:szCs w:val="32"/>
        </w:rPr>
      </w:pPr>
      <w:r>
        <w:rPr>
          <w:rFonts w:hint="eastAsia" w:ascii="Times-Roman" w:hAnsi="Times-Roman" w:eastAsia="FangSong_GB2312" w:cs="Times-Roman"/>
          <w:sz w:val="32"/>
          <w:szCs w:val="32"/>
        </w:rPr>
        <w:t>湖南省《第一批化学物质环境风险优先评估计划》加密监测工作内容多、涉及面广</w:t>
      </w:r>
      <w:r>
        <w:rPr>
          <w:rFonts w:hint="eastAsia" w:ascii="Times-Roman" w:hAnsi="Times-Roman" w:eastAsia="FangSong_GB2312" w:cs="Times-Roman"/>
          <w:sz w:val="32"/>
          <w:szCs w:val="32"/>
          <w:lang w:eastAsia="zh-CN"/>
        </w:rPr>
        <w:t>，</w:t>
      </w:r>
      <w:r>
        <w:rPr>
          <w:rFonts w:hint="eastAsia" w:ascii="Times-Roman" w:hAnsi="Times-Roman" w:eastAsia="FangSong_GB2312" w:cs="Times-Roman"/>
          <w:sz w:val="32"/>
          <w:szCs w:val="32"/>
          <w:lang w:val="en-US" w:eastAsia="zh-CN"/>
        </w:rPr>
        <w:t>由于缺少资质</w:t>
      </w:r>
      <w:r>
        <w:rPr>
          <w:rFonts w:hint="eastAsia" w:ascii="Times-Roman" w:hAnsi="Times-Roman" w:eastAsia="FangSong_GB2312" w:cs="Times-Roman"/>
          <w:sz w:val="32"/>
          <w:szCs w:val="32"/>
        </w:rPr>
        <w:t>我院检测中心无法承担部分化学物质识别检测工作</w:t>
      </w:r>
      <w:r>
        <w:rPr>
          <w:rFonts w:hint="eastAsia" w:ascii="Times-Roman" w:hAnsi="Times-Roman" w:eastAsia="FangSong_GB2312" w:cs="Times-Roman"/>
          <w:sz w:val="32"/>
          <w:szCs w:val="32"/>
          <w:lang w:eastAsia="zh-CN"/>
        </w:rPr>
        <w:t>，</w:t>
      </w:r>
      <w:r>
        <w:rPr>
          <w:rFonts w:hint="eastAsia" w:ascii="Times-Roman" w:hAnsi="Times-Roman" w:eastAsia="FangSong_GB2312" w:cs="Times-Roman"/>
          <w:sz w:val="32"/>
          <w:szCs w:val="32"/>
        </w:rPr>
        <w:t>现就湖南省《第一批化学物质环境风险优先评估计划》加密监测项目公开询价，诚邀具有相关能力的单位参加竞价。</w:t>
      </w:r>
    </w:p>
    <w:p w14:paraId="03FA565D">
      <w:p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二、项目内容</w:t>
      </w:r>
    </w:p>
    <w:p w14:paraId="350350B8">
      <w:pPr>
        <w:adjustRightInd w:val="0"/>
        <w:snapToGrid w:val="0"/>
        <w:spacing w:line="579" w:lineRule="exact"/>
        <w:ind w:firstLine="640" w:firstLineChars="200"/>
        <w:jc w:val="both"/>
        <w:outlineLvl w:val="1"/>
        <w:rPr>
          <w:rFonts w:hint="eastAsia" w:ascii="Times-Roman" w:hAnsi="Times-Roman" w:eastAsia="FangSong_GB2312" w:cs="Times-Roman"/>
          <w:sz w:val="32"/>
          <w:szCs w:val="32"/>
        </w:rPr>
      </w:pPr>
      <w:r>
        <w:rPr>
          <w:rFonts w:hint="eastAsia" w:ascii="Times-Roman" w:hAnsi="Times-Roman" w:eastAsia="FangSong_GB2312" w:cs="Times-Roman"/>
          <w:sz w:val="32"/>
          <w:szCs w:val="32"/>
        </w:rPr>
        <w:t>针对长沙、株洲3个城镇污水处理厂开展10种优评化学物质的消费源优评化学物质加密监测；在长沙、株洲、岳阳、常德、娄底等5个市19家企业开展具有行业代表性的</w:t>
      </w:r>
      <w:r>
        <w:rPr>
          <w:rFonts w:hint="eastAsia" w:ascii="Times-Roman" w:hAnsi="Times-Roman" w:eastAsia="FangSong_GB2312" w:cs="Times-Roman"/>
          <w:sz w:val="32"/>
          <w:szCs w:val="32"/>
          <w:lang w:val="en-US" w:eastAsia="zh-CN"/>
        </w:rPr>
        <w:t>6</w:t>
      </w:r>
      <w:r>
        <w:rPr>
          <w:rFonts w:hint="eastAsia" w:ascii="Times-Roman" w:hAnsi="Times-Roman" w:eastAsia="FangSong_GB2312" w:cs="Times-Roman"/>
          <w:sz w:val="32"/>
          <w:szCs w:val="32"/>
        </w:rPr>
        <w:t>种优评化学物质的工业源优评化学物质加密监测；在5个洞庭湖国控断面开展10种优评化学物质的重点流域优评化学物质加密监测。监测介质包括地表水及废水、土壤、沉积物、环境空气等。地表水、土壤、沉积物、环境空气监测1次，根据监测内容出具检测报告。</w:t>
      </w:r>
    </w:p>
    <w:p w14:paraId="4C250F4A">
      <w:p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三、项目预算</w:t>
      </w:r>
    </w:p>
    <w:p w14:paraId="3123E1BA">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湖南省环境保护科学研究院2024年已安排该项目资金，本项目预算金额31.737988万元。供应商所报服务费应包括完成的所有工作所需的全部费用，其具体内容包括：设备、人工、差旅费、交通费、人员劳务费、税金、不可预见费用等相关费用等完成本项目所需一切费用。服务费不得超过采购人预算。</w:t>
      </w:r>
    </w:p>
    <w:p w14:paraId="20C0BFAB">
      <w:p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四、参与竞价单位的资格要求</w:t>
      </w:r>
    </w:p>
    <w:p w14:paraId="166AD47C">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1、参与单位应当符合《政府采购法》第二十二条的规定，即：</w:t>
      </w:r>
    </w:p>
    <w:p w14:paraId="090E4900">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（1）具有独立承担民事责任的能力；</w:t>
      </w:r>
    </w:p>
    <w:p w14:paraId="2A6CFB24">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（2）具有良好的商业信誉和健全的财务会计制度；</w:t>
      </w:r>
    </w:p>
    <w:p w14:paraId="244246C3">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（3）具有履行合同所必需的设备和专业技术能力；</w:t>
      </w:r>
    </w:p>
    <w:p w14:paraId="6D984ABE">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（4）有依法缴纳税收和社会保障资金的良好记录；</w:t>
      </w:r>
    </w:p>
    <w:p w14:paraId="3AA4A4DA">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（5）参加政府采购活动前三年内，在经营活动中没有重大违法记录；</w:t>
      </w:r>
    </w:p>
    <w:p w14:paraId="2691FB4E">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（6）法律、行政法规规定的其他条件。</w:t>
      </w:r>
    </w:p>
    <w:p w14:paraId="79A90AAA">
      <w:pPr>
        <w:numPr>
          <w:ilvl w:val="0"/>
          <w:numId w:val="1"/>
        </w:num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商务要求</w:t>
      </w:r>
    </w:p>
    <w:p w14:paraId="76DBC9E2">
      <w:pPr>
        <w:ind w:firstLine="640" w:firstLineChars="200"/>
        <w:rPr>
          <w:rFonts w:hint="eastAsia" w:ascii="Times-Roman" w:hAnsi="Times-Roman" w:eastAsia="FangSong_GB2312" w:cs="Times-Roman"/>
          <w:sz w:val="32"/>
          <w:szCs w:val="32"/>
        </w:rPr>
      </w:pPr>
      <w:r>
        <w:rPr>
          <w:rFonts w:ascii="Times-Roman" w:hAnsi="Times-Roman" w:eastAsia="FangSong_GB2312" w:cs="Times-Roman"/>
          <w:sz w:val="32"/>
          <w:szCs w:val="32"/>
        </w:rPr>
        <w:t>竞价供应商需</w:t>
      </w:r>
      <w:r>
        <w:rPr>
          <w:rFonts w:hint="eastAsia" w:ascii="Times-Roman" w:hAnsi="Times-Roman" w:eastAsia="FangSong_GB2312" w:cs="Times-Roman"/>
          <w:sz w:val="32"/>
          <w:szCs w:val="32"/>
        </w:rPr>
        <w:t>提供：1、</w:t>
      </w:r>
      <w:r>
        <w:rPr>
          <w:rFonts w:ascii="Times-Roman" w:hAnsi="Times-Roman" w:eastAsia="FangSong_GB2312" w:cs="Times-Roman"/>
          <w:sz w:val="32"/>
          <w:szCs w:val="32"/>
        </w:rPr>
        <w:t>营业执照</w:t>
      </w:r>
      <w:r>
        <w:rPr>
          <w:rFonts w:hint="eastAsia" w:ascii="Times-Roman" w:hAnsi="Times-Roman" w:eastAsia="FangSong_GB2312" w:cs="Times-Roman"/>
          <w:sz w:val="32"/>
          <w:szCs w:val="32"/>
        </w:rPr>
        <w:t>副本；2、</w:t>
      </w:r>
      <w:r>
        <w:rPr>
          <w:rFonts w:ascii="Times-Roman" w:hAnsi="Times-Roman" w:eastAsia="FangSong_GB2312" w:cs="Times-Roman"/>
          <w:sz w:val="32"/>
          <w:szCs w:val="32"/>
        </w:rPr>
        <w:t>针对本项目的</w:t>
      </w:r>
      <w:r>
        <w:rPr>
          <w:rFonts w:hint="eastAsia" w:ascii="Times-Roman" w:hAnsi="Times-Roman" w:eastAsia="FangSong_GB2312" w:cs="Times-Roman"/>
          <w:sz w:val="32"/>
          <w:szCs w:val="32"/>
        </w:rPr>
        <w:t>实施</w:t>
      </w:r>
      <w:r>
        <w:rPr>
          <w:rFonts w:ascii="Times-Roman" w:hAnsi="Times-Roman" w:eastAsia="FangSong_GB2312" w:cs="Times-Roman"/>
          <w:sz w:val="32"/>
          <w:szCs w:val="32"/>
        </w:rPr>
        <w:t>方案</w:t>
      </w:r>
      <w:r>
        <w:rPr>
          <w:rFonts w:hint="eastAsia" w:ascii="Times-Roman" w:hAnsi="Times-Roman" w:eastAsia="FangSong_GB2312" w:cs="Times-Roman"/>
          <w:sz w:val="32"/>
          <w:szCs w:val="32"/>
        </w:rPr>
        <w:t>；3、供应商应提供至少1名生态环境或化工类高级职称的专业技术人员（需提供本人在竞价供应商的近三个月的社保证明）。4、</w:t>
      </w:r>
      <w:r>
        <w:rPr>
          <w:rFonts w:ascii="Times-Roman" w:hAnsi="Times-Roman" w:eastAsia="FangSong_GB2312" w:cs="Times-Roman"/>
          <w:sz w:val="32"/>
          <w:szCs w:val="32"/>
        </w:rPr>
        <w:t>报价</w:t>
      </w:r>
      <w:r>
        <w:rPr>
          <w:rFonts w:hint="eastAsia" w:ascii="Times-Roman" w:hAnsi="Times-Roman" w:eastAsia="FangSong_GB2312" w:cs="Times-Roman"/>
          <w:sz w:val="32"/>
          <w:szCs w:val="32"/>
        </w:rPr>
        <w:t>单</w:t>
      </w:r>
      <w:r>
        <w:rPr>
          <w:rFonts w:ascii="Times-Roman" w:hAnsi="Times-Roman" w:eastAsia="FangSong_GB2312" w:cs="Times-Roman"/>
          <w:sz w:val="32"/>
          <w:szCs w:val="32"/>
        </w:rPr>
        <w:t>。</w:t>
      </w:r>
      <w:r>
        <w:rPr>
          <w:rFonts w:hint="eastAsia" w:ascii="Times-Roman" w:hAnsi="Times-Roman" w:eastAsia="FangSong_GB2312" w:cs="Times-Roman"/>
          <w:sz w:val="32"/>
          <w:szCs w:val="32"/>
        </w:rPr>
        <w:t>5、提供</w:t>
      </w:r>
      <w:r>
        <w:rPr>
          <w:rFonts w:ascii="Times-Roman" w:hAnsi="Times-Roman" w:eastAsia="FangSong_GB2312" w:cs="Times-Roman"/>
          <w:sz w:val="32"/>
          <w:szCs w:val="32"/>
        </w:rPr>
        <w:t>法定代表人</w:t>
      </w:r>
      <w:r>
        <w:rPr>
          <w:rFonts w:hint="eastAsia" w:ascii="Times-Roman" w:hAnsi="Times-Roman" w:eastAsia="FangSong_GB2312" w:cs="Times-Roman"/>
          <w:sz w:val="32"/>
          <w:szCs w:val="32"/>
        </w:rPr>
        <w:t>和项目负责人</w:t>
      </w:r>
      <w:r>
        <w:rPr>
          <w:rFonts w:ascii="Times-Roman" w:hAnsi="Times-Roman" w:eastAsia="FangSong_GB2312" w:cs="Times-Roman"/>
          <w:sz w:val="32"/>
          <w:szCs w:val="32"/>
        </w:rPr>
        <w:t>身份</w:t>
      </w:r>
      <w:r>
        <w:rPr>
          <w:rFonts w:hint="eastAsia" w:ascii="Times-Roman" w:hAnsi="Times-Roman" w:eastAsia="FangSong_GB2312" w:cs="Times-Roman"/>
          <w:sz w:val="32"/>
          <w:szCs w:val="32"/>
        </w:rPr>
        <w:t>证明</w:t>
      </w:r>
      <w:r>
        <w:rPr>
          <w:rFonts w:ascii="Times-Roman" w:hAnsi="Times-Roman" w:eastAsia="FangSong_GB2312" w:cs="Times-Roman"/>
          <w:sz w:val="32"/>
          <w:szCs w:val="32"/>
        </w:rPr>
        <w:t>及</w:t>
      </w:r>
      <w:r>
        <w:rPr>
          <w:rFonts w:hint="eastAsia" w:ascii="Times-Roman" w:hAnsi="Times-Roman" w:eastAsia="FangSong_GB2312" w:cs="Times-Roman"/>
          <w:sz w:val="32"/>
          <w:szCs w:val="32"/>
        </w:rPr>
        <w:t>近3个月社保证明。6、供应商</w:t>
      </w:r>
      <w:r>
        <w:rPr>
          <w:rFonts w:ascii="Times-Roman" w:hAnsi="Times-Roman" w:eastAsia="FangSong_GB2312" w:cs="Times-Roman"/>
          <w:sz w:val="32"/>
          <w:szCs w:val="32"/>
        </w:rPr>
        <w:t>三年内无重大违法记录</w:t>
      </w:r>
      <w:r>
        <w:rPr>
          <w:rFonts w:hint="eastAsia" w:ascii="Times-Roman" w:hAnsi="Times-Roman" w:eastAsia="FangSong_GB2312" w:cs="Times-Roman"/>
          <w:sz w:val="32"/>
          <w:szCs w:val="32"/>
        </w:rPr>
        <w:t>的书面声明。</w:t>
      </w:r>
      <w:r>
        <w:rPr>
          <w:rFonts w:ascii="Times-Roman" w:hAnsi="Times-Roman" w:eastAsia="FangSong_GB2312" w:cs="Times-Roman"/>
          <w:sz w:val="32"/>
          <w:szCs w:val="32"/>
        </w:rPr>
        <w:t>以上资料均需加盖公章</w:t>
      </w:r>
      <w:r>
        <w:rPr>
          <w:rFonts w:hint="eastAsia" w:ascii="Times-Roman" w:hAnsi="Times-Roman" w:eastAsia="FangSong_GB2312" w:cs="Times-Roman"/>
          <w:sz w:val="32"/>
          <w:szCs w:val="32"/>
        </w:rPr>
        <w:t>。7、因本项目的特殊性，报价单位需至少具备邻苯二甲酸苄丁酯、</w:t>
      </w:r>
      <w:bookmarkStart w:id="1" w:name="_GoBack"/>
      <w:bookmarkEnd w:id="1"/>
      <w:r>
        <w:rPr>
          <w:rFonts w:hint="eastAsia" w:ascii="Times-Roman" w:hAnsi="Times-Roman" w:eastAsia="FangSong_GB2312" w:cs="Times-Roman"/>
          <w:sz w:val="32"/>
          <w:szCs w:val="32"/>
        </w:rPr>
        <w:t>邻苯二甲酸二</w:t>
      </w:r>
      <w:r>
        <w:rPr>
          <w:rFonts w:hint="eastAsia" w:ascii="Times-Roman" w:hAnsi="Times-Roman" w:eastAsia="FangSong_GB2312" w:cs="Times-Roman"/>
          <w:sz w:val="32"/>
          <w:szCs w:val="32"/>
          <w:lang w:eastAsia="zh-CN"/>
        </w:rPr>
        <w:t>（</w:t>
      </w:r>
      <w:r>
        <w:rPr>
          <w:rFonts w:hint="eastAsia" w:ascii="Times-Roman" w:hAnsi="Times-Roman" w:eastAsia="FangSong_GB2312" w:cs="Times-Roman"/>
          <w:sz w:val="32"/>
          <w:szCs w:val="32"/>
          <w:lang w:val="en-US" w:eastAsia="zh-CN"/>
        </w:rPr>
        <w:t>α</w:t>
      </w:r>
      <w:r>
        <w:rPr>
          <w:rFonts w:hint="eastAsia" w:ascii="Times-Roman" w:hAnsi="Times-Roman" w:eastAsia="FangSong_GB2312" w:cs="Times-Roman"/>
          <w:sz w:val="32"/>
          <w:szCs w:val="32"/>
        </w:rPr>
        <w:t>-乙基已基</w:t>
      </w:r>
      <w:r>
        <w:rPr>
          <w:rFonts w:hint="eastAsia" w:ascii="Times-Roman" w:hAnsi="Times-Roman" w:eastAsia="FangSong_GB2312" w:cs="Times-Roman"/>
          <w:sz w:val="32"/>
          <w:szCs w:val="32"/>
          <w:lang w:eastAsia="zh-CN"/>
        </w:rPr>
        <w:t>）</w:t>
      </w:r>
      <w:r>
        <w:rPr>
          <w:rFonts w:hint="eastAsia" w:ascii="Times-Roman" w:hAnsi="Times-Roman" w:eastAsia="FangSong_GB2312" w:cs="Times-Roman"/>
          <w:sz w:val="32"/>
          <w:szCs w:val="32"/>
        </w:rPr>
        <w:t>酯、邻苯二甲酸二正辛酯三项资质，在采购周期内将工作具体实施方案加盖公章后，送至湖南省环境科学研究院进行审核，否则报价视为无效。</w:t>
      </w:r>
    </w:p>
    <w:p w14:paraId="530D4AAF">
      <w:pPr>
        <w:adjustRightInd w:val="0"/>
        <w:snapToGrid w:val="0"/>
        <w:spacing w:line="579" w:lineRule="exact"/>
        <w:ind w:firstLine="640" w:firstLineChars="200"/>
        <w:jc w:val="both"/>
        <w:outlineLvl w:val="1"/>
        <w:rPr>
          <w:rFonts w:hint="eastAsia" w:ascii="黑体" w:hAnsi="黑体" w:eastAsia="黑体" w:cs="黑体"/>
          <w:sz w:val="32"/>
          <w:szCs w:val="32"/>
        </w:rPr>
      </w:pPr>
      <w:r>
        <w:rPr>
          <w:rFonts w:hint="eastAsia" w:ascii="黑体" w:hAnsi="黑体" w:eastAsia="黑体" w:cs="黑体"/>
          <w:sz w:val="32"/>
          <w:szCs w:val="32"/>
        </w:rPr>
        <w:t>六、技术要求</w:t>
      </w:r>
    </w:p>
    <w:p w14:paraId="2A52BD02">
      <w:pPr>
        <w:ind w:firstLine="640" w:firstLineChars="200"/>
        <w:jc w:val="both"/>
        <w:rPr>
          <w:rFonts w:hint="eastAsia" w:ascii="Times-Roman" w:hAnsi="Times-Roman" w:eastAsia="FangSong_GB2312" w:cs="Times-Roman"/>
          <w:sz w:val="32"/>
          <w:szCs w:val="32"/>
        </w:rPr>
      </w:pPr>
      <w:r>
        <w:rPr>
          <w:rFonts w:hint="eastAsia" w:ascii="Times-Roman" w:hAnsi="Times-Roman" w:eastAsia="FangSong_GB2312" w:cs="Times-Roman"/>
          <w:sz w:val="32"/>
          <w:szCs w:val="32"/>
        </w:rPr>
        <w:t>供应商提供项目实施方案。</w:t>
      </w:r>
    </w:p>
    <w:p w14:paraId="6BAFE6C8">
      <w:pPr>
        <w:adjustRightInd w:val="0"/>
        <w:snapToGrid w:val="0"/>
        <w:spacing w:line="579" w:lineRule="exact"/>
        <w:ind w:firstLine="640" w:firstLineChars="200"/>
        <w:jc w:val="both"/>
        <w:rPr>
          <w:rFonts w:hint="eastAsia" w:ascii="FangSong_GB2312" w:hAnsi="FangSong_GB2312" w:eastAsia="FangSong_GB2312" w:cs="FangSong_GB2312"/>
          <w:b/>
          <w:bCs/>
          <w:color w:val="000000"/>
          <w:sz w:val="32"/>
          <w:szCs w:val="32"/>
        </w:rPr>
      </w:pPr>
      <w:r>
        <w:rPr>
          <w:rFonts w:hint="eastAsia" w:ascii="黑体" w:hAnsi="黑体" w:eastAsia="黑体" w:cs="黑体"/>
          <w:sz w:val="32"/>
          <w:szCs w:val="32"/>
        </w:rPr>
        <w:t>七、时间要求</w:t>
      </w:r>
    </w:p>
    <w:p w14:paraId="6FBA0B52">
      <w:pPr>
        <w:ind w:firstLine="640" w:firstLineChars="200"/>
        <w:jc w:val="both"/>
        <w:rPr>
          <w:rFonts w:hint="eastAsia" w:ascii="Times-Roman" w:hAnsi="Times-Roman" w:eastAsia="FangSong_GB2312" w:cs="Times-Roman"/>
          <w:sz w:val="32"/>
          <w:szCs w:val="32"/>
          <w:lang w:val="en-US" w:eastAsia="zh-CN"/>
        </w:rPr>
      </w:pPr>
      <w:r>
        <w:rPr>
          <w:rFonts w:hint="eastAsia" w:ascii="Times-Roman" w:hAnsi="Times-Roman" w:eastAsia="FangSong_GB2312" w:cs="Times-Roman"/>
          <w:sz w:val="32"/>
          <w:szCs w:val="32"/>
        </w:rPr>
        <w:t>2025年4月</w:t>
      </w:r>
      <w:r>
        <w:rPr>
          <w:rFonts w:hint="eastAsia" w:ascii="Times-Roman" w:hAnsi="Times-Roman" w:eastAsia="FangSong_GB2312" w:cs="Times-Roman"/>
          <w:sz w:val="32"/>
          <w:szCs w:val="32"/>
          <w:lang w:val="en-US" w:eastAsia="zh-CN"/>
        </w:rPr>
        <w:t>25</w:t>
      </w:r>
      <w:r>
        <w:rPr>
          <w:rFonts w:hint="eastAsia" w:ascii="Times-Roman" w:hAnsi="Times-Roman" w:eastAsia="FangSong_GB2312" w:cs="Times-Roman"/>
          <w:sz w:val="32"/>
          <w:szCs w:val="32"/>
        </w:rPr>
        <w:t>日前提交项目成果。</w:t>
      </w:r>
      <w:r>
        <w:rPr>
          <w:rFonts w:hint="eastAsia" w:ascii="Times-Roman" w:hAnsi="Times-Roman" w:eastAsia="FangSong_GB2312" w:cs="Times-Roman"/>
          <w:sz w:val="32"/>
          <w:szCs w:val="32"/>
          <w:lang w:val="en-US" w:eastAsia="zh-CN"/>
        </w:rPr>
        <w:t xml:space="preserve"> </w:t>
      </w:r>
    </w:p>
    <w:p w14:paraId="4E89C17D">
      <w:pPr>
        <w:adjustRightInd w:val="0"/>
        <w:snapToGrid w:val="0"/>
        <w:spacing w:line="579"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八、其他要求</w:t>
      </w:r>
    </w:p>
    <w:p w14:paraId="4EFEED7D">
      <w:pPr>
        <w:adjustRightInd w:val="0"/>
        <w:snapToGrid w:val="0"/>
        <w:spacing w:line="579" w:lineRule="exact"/>
        <w:ind w:firstLine="643" w:firstLineChars="200"/>
        <w:jc w:val="both"/>
        <w:rPr>
          <w:rFonts w:hint="eastAsia" w:ascii="Times-Roman" w:hAnsi="Times-Roman" w:eastAsia="FangSong_GB2312" w:cs="Times-Roman"/>
          <w:sz w:val="32"/>
          <w:szCs w:val="32"/>
        </w:rPr>
      </w:pPr>
      <w:r>
        <w:rPr>
          <w:rFonts w:hint="eastAsia" w:ascii="楷体" w:hAnsi="楷体" w:eastAsia="楷体" w:cs="楷体"/>
          <w:b/>
          <w:bCs/>
          <w:sz w:val="32"/>
          <w:szCs w:val="32"/>
        </w:rPr>
        <w:t>1.服务期：</w:t>
      </w:r>
      <w:r>
        <w:rPr>
          <w:rFonts w:hint="eastAsia" w:ascii="Times-Roman" w:hAnsi="Times-Roman" w:eastAsia="FangSong_GB2312" w:cs="Times-Roman"/>
          <w:sz w:val="32"/>
          <w:szCs w:val="32"/>
        </w:rPr>
        <w:t>至 202</w:t>
      </w:r>
      <w:r>
        <w:rPr>
          <w:rFonts w:hint="eastAsia" w:ascii="Times-Roman" w:hAnsi="Times-Roman" w:eastAsia="FangSong_GB2312" w:cs="Times-Roman"/>
          <w:sz w:val="32"/>
          <w:szCs w:val="32"/>
          <w:lang w:val="en-US" w:eastAsia="zh-CN"/>
        </w:rPr>
        <w:t>5</w:t>
      </w:r>
      <w:r>
        <w:rPr>
          <w:rFonts w:hint="eastAsia" w:ascii="Times-Roman" w:hAnsi="Times-Roman" w:eastAsia="FangSong_GB2312" w:cs="Times-Roman"/>
          <w:sz w:val="32"/>
          <w:szCs w:val="32"/>
        </w:rPr>
        <w:t>年</w:t>
      </w:r>
      <w:r>
        <w:rPr>
          <w:rFonts w:hint="eastAsia" w:ascii="Times-Roman" w:hAnsi="Times-Roman" w:eastAsia="FangSong_GB2312" w:cs="Times-Roman"/>
          <w:sz w:val="32"/>
          <w:szCs w:val="32"/>
          <w:lang w:val="en-US" w:eastAsia="zh-CN"/>
        </w:rPr>
        <w:t>12</w:t>
      </w:r>
      <w:r>
        <w:rPr>
          <w:rFonts w:hint="eastAsia" w:ascii="Times-Roman" w:hAnsi="Times-Roman" w:eastAsia="FangSong_GB2312" w:cs="Times-Roman"/>
          <w:sz w:val="32"/>
          <w:szCs w:val="32"/>
        </w:rPr>
        <w:t>月</w:t>
      </w:r>
      <w:r>
        <w:rPr>
          <w:rFonts w:hint="eastAsia" w:ascii="Times-Roman" w:hAnsi="Times-Roman" w:eastAsia="FangSong_GB2312" w:cs="Times-Roman"/>
          <w:sz w:val="32"/>
          <w:szCs w:val="32"/>
          <w:lang w:val="en-US" w:eastAsia="zh-CN"/>
        </w:rPr>
        <w:t>31</w:t>
      </w:r>
      <w:r>
        <w:rPr>
          <w:rFonts w:hint="eastAsia" w:ascii="Times-Roman" w:hAnsi="Times-Roman" w:eastAsia="FangSong_GB2312" w:cs="Times-Roman"/>
          <w:sz w:val="32"/>
          <w:szCs w:val="32"/>
        </w:rPr>
        <w:t>日止。</w:t>
      </w:r>
    </w:p>
    <w:p w14:paraId="0E4630B4">
      <w:pPr>
        <w:spacing w:line="579" w:lineRule="exact"/>
        <w:ind w:firstLine="643" w:firstLineChars="200"/>
        <w:jc w:val="both"/>
        <w:rPr>
          <w:rFonts w:hint="eastAsia" w:ascii="楷体" w:hAnsi="楷体" w:eastAsia="楷体" w:cs="楷体"/>
          <w:sz w:val="32"/>
          <w:szCs w:val="32"/>
        </w:rPr>
      </w:pPr>
      <w:r>
        <w:rPr>
          <w:rFonts w:hint="eastAsia" w:ascii="楷体" w:hAnsi="楷体" w:eastAsia="楷体" w:cs="楷体"/>
          <w:b/>
          <w:bCs/>
          <w:sz w:val="32"/>
          <w:szCs w:val="32"/>
        </w:rPr>
        <w:t>2.项目地点：</w:t>
      </w:r>
      <w:r>
        <w:rPr>
          <w:rFonts w:hint="eastAsia" w:ascii="Times-Roman" w:hAnsi="Times-Roman" w:eastAsia="FangSong_GB2312" w:cs="Times-Roman"/>
          <w:sz w:val="32"/>
          <w:szCs w:val="32"/>
        </w:rPr>
        <w:t>采购人指定地点</w:t>
      </w:r>
    </w:p>
    <w:p w14:paraId="2AA9C513">
      <w:pPr>
        <w:spacing w:line="579" w:lineRule="exact"/>
        <w:ind w:firstLine="643" w:firstLineChars="200"/>
        <w:jc w:val="both"/>
      </w:pPr>
      <w:r>
        <w:rPr>
          <w:rFonts w:hint="eastAsia" w:ascii="楷体" w:hAnsi="楷体" w:eastAsia="楷体" w:cs="楷体"/>
          <w:b/>
          <w:bCs/>
          <w:sz w:val="32"/>
          <w:szCs w:val="32"/>
        </w:rPr>
        <w:t>3.付款方式：</w:t>
      </w:r>
      <w:r>
        <w:rPr>
          <w:rFonts w:hint="eastAsia" w:ascii="Times-Roman" w:hAnsi="Times-Roman" w:eastAsia="FangSong_GB2312" w:cs="Times-Roman"/>
          <w:sz w:val="32"/>
          <w:szCs w:val="32"/>
        </w:rPr>
        <w:t>项目服务整体完成并经采购人验收完成后</w:t>
      </w:r>
      <w:r>
        <w:rPr>
          <w:rFonts w:hint="eastAsia" w:ascii="Times-Roman" w:hAnsi="Times-Roman" w:eastAsia="FangSong_GB2312" w:cs="Times-Roman"/>
          <w:sz w:val="32"/>
          <w:szCs w:val="32"/>
          <w:lang w:val="en"/>
        </w:rPr>
        <w:t>一次性支付全款</w:t>
      </w:r>
      <w:r>
        <w:rPr>
          <w:rFonts w:hint="eastAsia" w:ascii="Times-Roman" w:hAnsi="Times-Roman" w:eastAsia="FangSong_GB2312" w:cs="Times-Roman"/>
          <w:sz w:val="32"/>
          <w:szCs w:val="32"/>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15D11-F2A0-44C4-B4A8-99D48962070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67C44D62-DF44-454C-96F5-EF04672BB64B}"/>
  </w:font>
  <w:font w:name="等线 Light">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auto"/>
    <w:pitch w:val="default"/>
    <w:sig w:usb0="00000000" w:usb1="00000000" w:usb2="00000000" w:usb3="00000000" w:csb0="00040001" w:csb1="00000000"/>
    <w:embedRegular r:id="rId3" w:fontKey="{29788458-3CF0-4C5D-8F1A-51B37E7766C4}"/>
  </w:font>
  <w:font w:name="方正小标宋_GBK">
    <w:panose1 w:val="02000000000000000000"/>
    <w:charset w:val="86"/>
    <w:family w:val="auto"/>
    <w:pitch w:val="default"/>
    <w:sig w:usb0="A00002BF" w:usb1="38CF7CFA" w:usb2="00082016" w:usb3="00000000" w:csb0="00040001" w:csb1="00000000"/>
    <w:embedRegular r:id="rId4" w:fontKey="{AB6048EC-F8DE-44FD-A8B1-6070C8921F68}"/>
  </w:font>
  <w:font w:name="FangSong_GB2312">
    <w:altName w:val="仿宋_GB2312"/>
    <w:panose1 w:val="02010609060101010101"/>
    <w:charset w:val="86"/>
    <w:family w:val="modern"/>
    <w:pitch w:val="default"/>
    <w:sig w:usb0="00000000" w:usb1="00000000" w:usb2="00000016" w:usb3="00000000" w:csb0="00040001" w:csb1="00000000"/>
    <w:embedRegular r:id="rId5" w:fontKey="{493712A9-7E6B-459A-9774-36DF11623F9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embedRegular r:id="rId6" w:fontKey="{E8A26C54-D9A2-4D98-B87E-144E8E5584FC}"/>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69B1F5"/>
    <w:multiLevelType w:val="singleLevel"/>
    <w:tmpl w:val="C569B1F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YjFkOTNiZmFkNmZlZDc0YzY0ZWQ4Y2FmZTU1MjUifQ=="/>
    <w:docVar w:name="KSO_WPS_MARK_KEY" w:val="7746d19d-ce52-4207-8225-5ce02c413e6b"/>
  </w:docVars>
  <w:rsids>
    <w:rsidRoot w:val="0057081C"/>
    <w:rsid w:val="0003486B"/>
    <w:rsid w:val="000C1184"/>
    <w:rsid w:val="00172159"/>
    <w:rsid w:val="001C6FC1"/>
    <w:rsid w:val="00212489"/>
    <w:rsid w:val="00245EC9"/>
    <w:rsid w:val="00294005"/>
    <w:rsid w:val="00307512"/>
    <w:rsid w:val="00380F2E"/>
    <w:rsid w:val="00384774"/>
    <w:rsid w:val="003947AA"/>
    <w:rsid w:val="003E7D40"/>
    <w:rsid w:val="00436C9A"/>
    <w:rsid w:val="00506F5F"/>
    <w:rsid w:val="005412D5"/>
    <w:rsid w:val="00566E87"/>
    <w:rsid w:val="0057081C"/>
    <w:rsid w:val="0062360D"/>
    <w:rsid w:val="006520C6"/>
    <w:rsid w:val="006B7F06"/>
    <w:rsid w:val="006D1329"/>
    <w:rsid w:val="00726113"/>
    <w:rsid w:val="00740E0D"/>
    <w:rsid w:val="00821961"/>
    <w:rsid w:val="008C5A5C"/>
    <w:rsid w:val="00952A39"/>
    <w:rsid w:val="00AE1057"/>
    <w:rsid w:val="00AF76E8"/>
    <w:rsid w:val="00B50EE8"/>
    <w:rsid w:val="00B545AB"/>
    <w:rsid w:val="00B85CAB"/>
    <w:rsid w:val="00BE5B38"/>
    <w:rsid w:val="00C028AF"/>
    <w:rsid w:val="00C47F56"/>
    <w:rsid w:val="00DC6F6C"/>
    <w:rsid w:val="00DD6480"/>
    <w:rsid w:val="00E67B98"/>
    <w:rsid w:val="00E94A7D"/>
    <w:rsid w:val="00F80D68"/>
    <w:rsid w:val="00FB54C1"/>
    <w:rsid w:val="180463A4"/>
    <w:rsid w:val="1ED25796"/>
    <w:rsid w:val="36034D29"/>
    <w:rsid w:val="37E90BFF"/>
    <w:rsid w:val="4FB235F0"/>
    <w:rsid w:val="56EC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14:ligatures w14:val="none"/>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rFonts w:ascii="Calibri" w:hAnsi="Calibri" w:eastAsia="宋体" w:cs="Times New Roman"/>
      <w:sz w:val="18"/>
      <w:szCs w:val="18"/>
      <w14:ligatures w14:val="none"/>
    </w:rPr>
  </w:style>
  <w:style w:type="character" w:customStyle="1" w:styleId="36">
    <w:name w:val="页脚 字符"/>
    <w:basedOn w:val="16"/>
    <w:link w:val="11"/>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1277</Words>
  <Characters>1311</Characters>
  <Lines>34</Lines>
  <Paragraphs>26</Paragraphs>
  <TotalTime>1</TotalTime>
  <ScaleCrop>false</ScaleCrop>
  <LinksUpToDate>false</LinksUpToDate>
  <CharactersWithSpaces>1314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2025-03-12T01:30:00Z</dcterms:created>
  <dc:creator>jiao sheng</dc:creator>
  <cp:lastModifiedBy>11</cp:lastModifiedBy>
  <cp:lastPrinted>2025-04-10T07:18:00Z</cp:lastPrinted>
  <dcterms:modified xsi:type="dcterms:W3CDTF">2025-04-16T01:36:24Z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71DA0EF0B105432A9CDBFE73CF180F8B_13</vt:lpwstr>
  </property>
  <property fmtid="{D5CDD505-2E9C-101B-9397-08002B2CF9AE}" pid="4" name="KSOTemplateDocerSaveRecord">
    <vt:lpwstr>eyJoZGlkIjoiZDNmOGU5YjhjOTlkNjQ2MTlhOTJjMjFhNmE5ZDY2MGQiLCJ1c2VySWQiOiIyODA0OTY2NjEifQ==</vt:lpwstr>
  </property>
</Properties>
</file>