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C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采购需求</w:t>
      </w:r>
    </w:p>
    <w:p w14:paraId="6E764F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0" w:firstLineChars="0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</w:rPr>
        <w:t>采购项目名称：</w:t>
      </w:r>
      <w:r>
        <w:rPr>
          <w:rFonts w:hint="eastAsia" w:cs="宋体"/>
          <w:color w:val="000000"/>
          <w:sz w:val="24"/>
          <w:szCs w:val="24"/>
        </w:rPr>
        <w:t>湖南科技职业学院天心校区北院软件大楼自习室改造工程</w:t>
      </w:r>
      <w:r>
        <w:rPr>
          <w:rFonts w:hint="eastAsia" w:cs="宋体"/>
          <w:color w:val="000000"/>
          <w:sz w:val="24"/>
          <w:szCs w:val="24"/>
          <w:lang w:eastAsia="zh-CN"/>
        </w:rPr>
        <w:t>。</w:t>
      </w:r>
    </w:p>
    <w:p w14:paraId="6F80C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二</w:t>
      </w:r>
      <w:r>
        <w:rPr>
          <w:rFonts w:hint="eastAsia" w:cs="宋体"/>
          <w:b/>
          <w:bCs/>
          <w:color w:val="000000"/>
          <w:sz w:val="24"/>
          <w:szCs w:val="24"/>
        </w:rPr>
        <w:t>、工程基本情况：</w:t>
      </w:r>
    </w:p>
    <w:p w14:paraId="36197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textAlignment w:val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1</w:t>
      </w:r>
      <w:r>
        <w:rPr>
          <w:rFonts w:hint="eastAsia" w:cs="宋体"/>
          <w:color w:val="000000"/>
          <w:sz w:val="24"/>
          <w:szCs w:val="24"/>
        </w:rPr>
        <w:t>、本项目位于湖南科技职业学院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天心校区北院软件大楼</w:t>
      </w:r>
      <w:r>
        <w:rPr>
          <w:rFonts w:hint="eastAsia" w:cs="宋体"/>
          <w:color w:val="000000"/>
          <w:sz w:val="24"/>
          <w:szCs w:val="24"/>
          <w:lang w:eastAsia="zh-CN"/>
        </w:rPr>
        <w:t>。</w:t>
      </w:r>
    </w:p>
    <w:p w14:paraId="7314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0" w:firstLineChars="0"/>
        <w:textAlignment w:val="auto"/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</w:pPr>
      <w:r>
        <w:rPr>
          <w:color w:val="000000"/>
          <w:sz w:val="24"/>
          <w:szCs w:val="24"/>
          <w:highlight w:val="none"/>
        </w:rPr>
        <w:t>2</w:t>
      </w:r>
      <w:r>
        <w:rPr>
          <w:rFonts w:hint="eastAsia" w:cs="宋体"/>
          <w:color w:val="000000"/>
          <w:sz w:val="24"/>
          <w:szCs w:val="24"/>
          <w:highlight w:val="none"/>
        </w:rPr>
        <w:t>、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具体内容以招标文件附件工程量清单为准。</w:t>
      </w:r>
    </w:p>
    <w:p w14:paraId="4B8BD9BB">
      <w:pPr>
        <w:pStyle w:val="2"/>
        <w:ind w:left="0" w:leftChars="0" w:firstLine="0" w:firstLineChars="0"/>
        <w:rPr>
          <w:rFonts w:hint="default" w:ascii="Times New Roman" w:hAnsi="Times New Roman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该项目为交钥匙工程。</w:t>
      </w:r>
    </w:p>
    <w:p w14:paraId="46234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rPr>
          <w:rFonts w:hint="eastAsia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三、工期</w:t>
      </w:r>
    </w:p>
    <w:p w14:paraId="3A655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rPr>
          <w:rFonts w:hint="default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中标后25天内完工</w:t>
      </w:r>
    </w:p>
    <w:p w14:paraId="36F1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textAlignment w:val="auto"/>
        <w:rPr>
          <w:color w:val="000000"/>
          <w:sz w:val="24"/>
          <w:szCs w:val="24"/>
        </w:rPr>
      </w:pP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四、</w:t>
      </w:r>
      <w:r>
        <w:rPr>
          <w:rFonts w:hint="eastAsia" w:cs="宋体"/>
          <w:b/>
          <w:bCs/>
          <w:color w:val="000000"/>
          <w:sz w:val="24"/>
          <w:szCs w:val="24"/>
        </w:rPr>
        <w:t>工程质量</w:t>
      </w: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cs="宋体"/>
          <w:b/>
          <w:bCs/>
          <w:color w:val="000000"/>
          <w:sz w:val="24"/>
          <w:szCs w:val="24"/>
        </w:rPr>
        <w:t>保修</w:t>
      </w: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及责任</w:t>
      </w:r>
      <w:r>
        <w:rPr>
          <w:rFonts w:hint="eastAsia" w:cs="宋体"/>
          <w:color w:val="000000"/>
          <w:sz w:val="24"/>
          <w:szCs w:val="24"/>
        </w:rPr>
        <w:t>：</w:t>
      </w:r>
    </w:p>
    <w:p w14:paraId="61558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 w:cs="宋体"/>
          <w:color w:val="000000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工程质量必须按现行国家、部门、行业的有关规范或规定以及</w:t>
      </w:r>
      <w:r>
        <w:rPr>
          <w:rFonts w:hint="eastAsia" w:ascii="宋体" w:hAnsi="宋体"/>
          <w:sz w:val="24"/>
          <w:szCs w:val="24"/>
          <w:lang w:eastAsia="zh-CN"/>
        </w:rPr>
        <w:t>采购单位</w:t>
      </w:r>
      <w:r>
        <w:rPr>
          <w:rFonts w:hint="eastAsia" w:ascii="宋体" w:hAnsi="宋体"/>
          <w:sz w:val="24"/>
          <w:szCs w:val="24"/>
        </w:rPr>
        <w:t>约定的质量要求保证达到合格工程标准</w:t>
      </w:r>
      <w:r>
        <w:rPr>
          <w:rFonts w:hint="eastAsia" w:cs="宋体"/>
          <w:color w:val="000000"/>
          <w:sz w:val="24"/>
          <w:szCs w:val="24"/>
        </w:rPr>
        <w:t>，</w:t>
      </w:r>
      <w:r>
        <w:rPr>
          <w:rFonts w:hint="eastAsia" w:cs="宋体"/>
          <w:color w:val="000000"/>
          <w:sz w:val="24"/>
          <w:szCs w:val="24"/>
          <w:lang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必须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按照</w:t>
      </w:r>
      <w:r>
        <w:rPr>
          <w:rFonts w:hint="eastAsia" w:cs="宋体"/>
          <w:color w:val="000000"/>
          <w:sz w:val="24"/>
          <w:szCs w:val="24"/>
        </w:rPr>
        <w:t>专业的操作规程和技术进行施工。工程完工验收合格交付使用之日起，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对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施工</w:t>
      </w:r>
      <w:r>
        <w:rPr>
          <w:rFonts w:hint="eastAsia" w:cs="宋体"/>
          <w:color w:val="000000"/>
          <w:sz w:val="24"/>
          <w:szCs w:val="24"/>
        </w:rPr>
        <w:t>项目提供保修</w:t>
      </w:r>
      <w:r>
        <w:rPr>
          <w:rFonts w:hint="eastAsia" w:cs="宋体"/>
          <w:color w:val="000000"/>
          <w:sz w:val="24"/>
          <w:szCs w:val="24"/>
          <w:lang w:eastAsia="zh-CN"/>
        </w:rPr>
        <w:t>，属于保修范围内容的项目，供应商应当在接到采购单位报修通知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48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小时内到达现场进行服务并解决问题，供应商不在约定期限内派人保修的，采购单位可委托他人维修，费用从质保金中扣除</w:t>
      </w:r>
      <w:r>
        <w:rPr>
          <w:rFonts w:hint="eastAsia" w:cs="宋体"/>
          <w:color w:val="000000"/>
          <w:sz w:val="24"/>
          <w:szCs w:val="24"/>
        </w:rPr>
        <w:t>。</w:t>
      </w:r>
    </w:p>
    <w:p w14:paraId="26438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0" w:firstLineChars="0"/>
        <w:textAlignment w:val="auto"/>
        <w:rPr>
          <w:rFonts w:hint="eastAsia" w:cs="宋体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2</w:t>
      </w:r>
      <w:r>
        <w:rPr>
          <w:rFonts w:hint="eastAsia" w:cs="宋体"/>
          <w:color w:val="000000"/>
          <w:sz w:val="24"/>
          <w:szCs w:val="24"/>
        </w:rPr>
        <w:t>、</w:t>
      </w:r>
      <w:r>
        <w:rPr>
          <w:rFonts w:hint="eastAsia" w:cs="宋体"/>
          <w:color w:val="000000"/>
          <w:sz w:val="24"/>
          <w:szCs w:val="24"/>
          <w:lang w:eastAsia="zh-CN"/>
        </w:rPr>
        <w:t>供应商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工程所用材料应符合《建筑材料质量标准与管理规程》的规定和要求，同时要符合设计要求</w:t>
      </w:r>
      <w:r>
        <w:rPr>
          <w:rFonts w:hint="eastAsia" w:cs="宋体"/>
          <w:color w:val="000000"/>
          <w:sz w:val="24"/>
          <w:szCs w:val="24"/>
        </w:rPr>
        <w:t>，如采用不合格材料用于工程中，</w:t>
      </w:r>
      <w:r>
        <w:rPr>
          <w:rFonts w:hint="eastAsia" w:cs="宋体"/>
          <w:color w:val="000000"/>
          <w:sz w:val="24"/>
          <w:szCs w:val="24"/>
          <w:lang w:eastAsia="zh-CN"/>
        </w:rPr>
        <w:t>采购单位</w:t>
      </w:r>
      <w:r>
        <w:rPr>
          <w:rFonts w:hint="eastAsia" w:cs="宋体"/>
          <w:color w:val="000000"/>
          <w:sz w:val="24"/>
          <w:szCs w:val="24"/>
        </w:rPr>
        <w:t>有权要求重新施工，费用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由</w:t>
      </w:r>
      <w:r>
        <w:rPr>
          <w:rFonts w:hint="eastAsia" w:cs="宋体"/>
          <w:color w:val="000000"/>
          <w:sz w:val="24"/>
          <w:szCs w:val="24"/>
          <w:lang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自理。</w:t>
      </w:r>
    </w:p>
    <w:p w14:paraId="07F1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六、安全文明施工</w:t>
      </w:r>
    </w:p>
    <w:p w14:paraId="5127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0" w:firstLineChars="0"/>
        <w:textAlignment w:val="auto"/>
        <w:rPr>
          <w:rFonts w:hint="eastAsia" w:cs="宋体"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1、供应商</w:t>
      </w:r>
      <w:r>
        <w:rPr>
          <w:rFonts w:hint="eastAsia" w:cs="宋体"/>
          <w:color w:val="000000"/>
          <w:sz w:val="24"/>
          <w:szCs w:val="24"/>
        </w:rPr>
        <w:t>应遵守工程建设安全生产有关管理规定，严格按安全标准进行施工，采取必要的安全防护措施，消除事故隐患。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负责施工现场的管理，施工期间发生工伤事故或意外事故，由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自行负责，所发生的一切费用由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承担。</w:t>
      </w:r>
    </w:p>
    <w:p w14:paraId="5EA36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0" w:firstLineChars="0"/>
        <w:textAlignment w:val="auto"/>
        <w:rPr>
          <w:rFonts w:hint="eastAsia" w:cs="宋体"/>
          <w:color w:val="000000"/>
          <w:sz w:val="24"/>
          <w:szCs w:val="24"/>
          <w:lang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2、供应商</w:t>
      </w:r>
      <w:r>
        <w:rPr>
          <w:rFonts w:hint="eastAsia" w:cs="宋体"/>
          <w:color w:val="000000"/>
          <w:sz w:val="24"/>
          <w:szCs w:val="24"/>
        </w:rPr>
        <w:t>负责施工场地的清洁卫生，工程完工后及时清运基建垃圾及自有施工设备，做到完工场清，如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不能及时清理，造成的费用均由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承担并在工程款中扣除</w:t>
      </w:r>
      <w:r>
        <w:rPr>
          <w:rFonts w:hint="eastAsia" w:cs="宋体"/>
          <w:color w:val="000000"/>
          <w:sz w:val="24"/>
          <w:szCs w:val="24"/>
          <w:lang w:eastAsia="zh-CN"/>
        </w:rPr>
        <w:t>。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施工期间注意保护好</w:t>
      </w:r>
      <w:r>
        <w:rPr>
          <w:rFonts w:hint="eastAsia" w:cs="宋体"/>
          <w:color w:val="000000"/>
          <w:sz w:val="24"/>
          <w:szCs w:val="24"/>
          <w:lang w:eastAsia="zh-CN"/>
        </w:rPr>
        <w:t>采购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单位</w:t>
      </w:r>
      <w:r>
        <w:rPr>
          <w:rFonts w:hint="eastAsia" w:cs="宋体"/>
          <w:color w:val="000000"/>
          <w:sz w:val="24"/>
          <w:szCs w:val="24"/>
        </w:rPr>
        <w:t>的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绿化、建筑物、建筑物装饰、各种设备设施等</w:t>
      </w:r>
      <w:r>
        <w:rPr>
          <w:rFonts w:hint="eastAsia" w:cs="宋体"/>
          <w:color w:val="000000"/>
          <w:sz w:val="24"/>
          <w:szCs w:val="24"/>
        </w:rPr>
        <w:t>不损坏，损坏费用均由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宋体"/>
          <w:color w:val="000000"/>
          <w:sz w:val="24"/>
          <w:szCs w:val="24"/>
        </w:rPr>
        <w:t>承担并在工程款中扣除</w:t>
      </w:r>
      <w:r>
        <w:rPr>
          <w:rFonts w:hint="eastAsia" w:cs="宋体"/>
          <w:color w:val="000000"/>
          <w:sz w:val="24"/>
          <w:szCs w:val="24"/>
          <w:lang w:eastAsia="zh-CN"/>
        </w:rPr>
        <w:t>。</w:t>
      </w:r>
    </w:p>
    <w:p w14:paraId="34B81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七、投标报价依据、结算办法、付款方式</w:t>
      </w:r>
    </w:p>
    <w:p w14:paraId="2DB01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0" w:firstLineChars="0"/>
        <w:textAlignment w:val="auto"/>
        <w:rPr>
          <w:rFonts w:hint="eastAsia" w:eastAsia="宋体" w:cs="宋体"/>
          <w:color w:val="000000"/>
          <w:sz w:val="24"/>
          <w:szCs w:val="24"/>
          <w:lang w:eastAsia="zh-CN"/>
        </w:rPr>
      </w:pPr>
      <w:r>
        <w:rPr>
          <w:rFonts w:eastAsia="宋体"/>
          <w:sz w:val="24"/>
          <w:szCs w:val="24"/>
        </w:rPr>
        <w:t>1</w:t>
      </w:r>
      <w:r>
        <w:rPr>
          <w:rFonts w:hint="eastAsia" w:eastAsia="宋体" w:cs="宋体"/>
          <w:color w:val="000000"/>
          <w:sz w:val="24"/>
          <w:szCs w:val="24"/>
        </w:rPr>
        <w:t>、本工</w:t>
      </w:r>
      <w:r>
        <w:rPr>
          <w:rFonts w:hint="eastAsia" w:eastAsia="宋体" w:cs="宋体"/>
          <w:color w:val="000000"/>
          <w:sz w:val="24"/>
          <w:szCs w:val="24"/>
          <w:lang w:eastAsia="zh-CN"/>
        </w:rPr>
        <w:t>程供应商报价</w:t>
      </w:r>
      <w:r>
        <w:rPr>
          <w:rFonts w:hint="eastAsia" w:eastAsia="宋体" w:cs="宋体"/>
          <w:color w:val="000000"/>
          <w:sz w:val="24"/>
          <w:szCs w:val="24"/>
        </w:rPr>
        <w:t>采用工程量清单计价方式，具体详见《建设工程工程量清单计价规范》（GB 50500-2013）</w:t>
      </w:r>
      <w:r>
        <w:rPr>
          <w:rFonts w:hint="eastAsia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定额以套用湖南省2020年《湖南省建设工程消耗量标准》及《湖南省建设工程计价办法》，取费按与之配套的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一般计税法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。</w:t>
      </w:r>
    </w:p>
    <w:p w14:paraId="74C9F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0" w:firstLineChars="0"/>
        <w:textAlignment w:val="auto"/>
        <w:rPr>
          <w:rFonts w:hint="eastAsia" w:eastAsia="宋体" w:cs="宋体"/>
          <w:color w:val="000000"/>
          <w:sz w:val="24"/>
          <w:szCs w:val="24"/>
          <w:highlight w:val="none"/>
        </w:rPr>
      </w:pP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2、结算办法为固定综合单价（成交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单价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），工程量按实结算，结算为工程量清单计价方式，依据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：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湘建价[202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]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14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6号文、2013《建设工程工程量清单计价规范》（GB 50500-2013）、2020年《湖南省建设工程消耗量标准》及《湖南省建设工程计价办法》，现行规定计取各项费用的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一般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计税法计取，材料价格按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《长沙建设造价》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发布的同期材料价格，《长沙建设造价》预算价中未列的材料﹑设备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，参照现行市场价执行报采购人确认，供应商在电子卖场成交价不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得高于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控制价。供应商在工程竣工验收后1个月内将结算资料交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相关职能部门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初审，初审后交审计处终审，最终结算价以审计结果为准，但不能超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出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供应商成交价的10%。</w:t>
      </w:r>
    </w:p>
    <w:p w14:paraId="1A7B58AF">
      <w:pPr>
        <w:pStyle w:val="2"/>
        <w:ind w:left="0" w:leftChars="0" w:firstLine="0" w:firstLineChars="0"/>
        <w:rPr>
          <w:rFonts w:hint="eastAsia" w:cs="宋体"/>
          <w:color w:val="000000"/>
          <w:sz w:val="24"/>
          <w:szCs w:val="24"/>
          <w:lang w:eastAsia="zh-CN"/>
        </w:rPr>
      </w:pP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3、付款方式：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在施工过程中，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采购单位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不预付工程款。工程完工，经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采购单位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相关职能部门组织验收合格后，支付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合同金额的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80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%，以最终审计结果作为工程竣工结算依据</w:t>
      </w:r>
      <w:r>
        <w:rPr>
          <w:rFonts w:hint="eastAsia" w:eastAsia="宋体" w:cs="宋体"/>
          <w:color w:val="000000"/>
          <w:sz w:val="24"/>
          <w:szCs w:val="24"/>
          <w:highlight w:val="none"/>
        </w:rPr>
        <w:t>，办理完竣工结算并审核后支付至结算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总价</w:t>
      </w:r>
      <w:r>
        <w:rPr>
          <w:rFonts w:hint="eastAsia" w:eastAsia="宋体" w:cs="宋体"/>
          <w:color w:val="000000"/>
          <w:sz w:val="24"/>
          <w:szCs w:val="24"/>
          <w:highlight w:val="none"/>
        </w:rPr>
        <w:t>的 97%，余款</w:t>
      </w:r>
      <w:r>
        <w:rPr>
          <w:rFonts w:hint="eastAsia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eastAsia="宋体" w:cs="宋体"/>
          <w:color w:val="000000"/>
          <w:sz w:val="24"/>
          <w:szCs w:val="24"/>
          <w:highlight w:val="none"/>
        </w:rPr>
        <w:t>%作为质保金</w:t>
      </w:r>
      <w:r>
        <w:rPr>
          <w:rFonts w:hint="eastAsia" w:eastAsia="宋体" w:cs="宋体"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质保期一年，</w:t>
      </w:r>
      <w:r>
        <w:rPr>
          <w:rFonts w:hint="eastAsia" w:eastAsia="宋体" w:cs="宋体"/>
          <w:color w:val="000000"/>
          <w:sz w:val="24"/>
          <w:szCs w:val="24"/>
          <w:highlight w:val="none"/>
        </w:rPr>
        <w:t>质保期满后，若无扣款事项，且结算完成，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采</w:t>
      </w:r>
      <w:r>
        <w:rPr>
          <w:rFonts w:hint="eastAsia" w:cs="宋体"/>
          <w:color w:val="000000"/>
          <w:sz w:val="24"/>
          <w:szCs w:val="24"/>
          <w:lang w:eastAsia="zh-CN"/>
        </w:rPr>
        <w:t>购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单位</w:t>
      </w:r>
      <w:r>
        <w:rPr>
          <w:rFonts w:hint="eastAsia" w:eastAsia="宋体" w:cs="宋体"/>
          <w:color w:val="000000"/>
          <w:sz w:val="24"/>
          <w:szCs w:val="24"/>
        </w:rPr>
        <w:t>一次性将质保金支付给</w:t>
      </w:r>
      <w:r>
        <w:rPr>
          <w:rFonts w:hint="eastAsia" w:cs="宋体"/>
          <w:color w:val="000000"/>
          <w:sz w:val="24"/>
          <w:szCs w:val="24"/>
          <w:lang w:eastAsia="zh-CN"/>
        </w:rPr>
        <w:t>供应商</w:t>
      </w:r>
      <w:r>
        <w:rPr>
          <w:rFonts w:hint="eastAsia" w:eastAsia="宋体" w:cs="宋体"/>
          <w:color w:val="000000"/>
          <w:sz w:val="24"/>
          <w:szCs w:val="24"/>
        </w:rPr>
        <w:t>，质保金不计利息</w:t>
      </w:r>
      <w:r>
        <w:rPr>
          <w:rFonts w:hint="eastAsia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eastAsia="宋体" w:cs="宋体"/>
          <w:color w:val="000000"/>
          <w:sz w:val="24"/>
          <w:szCs w:val="24"/>
        </w:rPr>
        <w:t>所有工程款支付前，</w:t>
      </w:r>
      <w:r>
        <w:rPr>
          <w:rFonts w:hint="eastAsia" w:cs="宋体"/>
          <w:color w:val="000000"/>
          <w:sz w:val="24"/>
          <w:szCs w:val="24"/>
          <w:lang w:eastAsia="zh-CN"/>
        </w:rPr>
        <w:t>供应商</w:t>
      </w:r>
      <w:r>
        <w:rPr>
          <w:rFonts w:hint="eastAsia" w:eastAsia="宋体" w:cs="宋体"/>
          <w:color w:val="000000"/>
          <w:sz w:val="24"/>
          <w:szCs w:val="24"/>
        </w:rPr>
        <w:t>必须向</w:t>
      </w:r>
      <w:r>
        <w:rPr>
          <w:rFonts w:hint="eastAsia" w:cs="宋体"/>
          <w:color w:val="000000"/>
          <w:sz w:val="24"/>
          <w:szCs w:val="24"/>
          <w:lang w:eastAsia="zh-CN"/>
        </w:rPr>
        <w:t>采购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单位</w:t>
      </w:r>
      <w:r>
        <w:rPr>
          <w:rFonts w:hint="eastAsia" w:eastAsia="宋体" w:cs="宋体"/>
          <w:color w:val="000000"/>
          <w:sz w:val="24"/>
          <w:szCs w:val="24"/>
        </w:rPr>
        <w:t>开具符合</w:t>
      </w:r>
      <w:r>
        <w:rPr>
          <w:rFonts w:hint="eastAsia" w:cs="宋体"/>
          <w:color w:val="000000"/>
          <w:sz w:val="24"/>
          <w:szCs w:val="24"/>
          <w:lang w:eastAsia="zh-CN"/>
        </w:rPr>
        <w:t>采购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单位</w:t>
      </w:r>
      <w:r>
        <w:rPr>
          <w:rFonts w:hint="eastAsia" w:eastAsia="宋体" w:cs="宋体"/>
          <w:color w:val="000000"/>
          <w:sz w:val="24"/>
          <w:szCs w:val="24"/>
        </w:rPr>
        <w:t>财务要求的正规发票</w:t>
      </w:r>
      <w:r>
        <w:rPr>
          <w:rFonts w:hint="eastAsia" w:cs="宋体"/>
          <w:color w:val="000000"/>
          <w:sz w:val="24"/>
          <w:szCs w:val="24"/>
          <w:lang w:eastAsia="zh-CN"/>
        </w:rPr>
        <w:t>。</w:t>
      </w:r>
    </w:p>
    <w:p w14:paraId="151C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0" w:firstLineChars="0"/>
        <w:textAlignment w:val="auto"/>
        <w:rPr>
          <w:rFonts w:hint="default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cs="宋体"/>
          <w:b/>
          <w:bCs/>
          <w:color w:val="000000"/>
          <w:sz w:val="24"/>
          <w:szCs w:val="24"/>
        </w:rPr>
        <w:t>、项目</w:t>
      </w: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采购需求</w:t>
      </w:r>
    </w:p>
    <w:tbl>
      <w:tblPr>
        <w:tblStyle w:val="3"/>
        <w:tblpPr w:leftFromText="180" w:rightFromText="180" w:vertAnchor="text" w:horzAnchor="page" w:tblpX="487" w:tblpY="579"/>
        <w:tblOverlap w:val="never"/>
        <w:tblW w:w="10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6"/>
        <w:gridCol w:w="7929"/>
        <w:gridCol w:w="1066"/>
      </w:tblGrid>
      <w:tr w14:paraId="785C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规格与技术要求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6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 总价（元）</w:t>
            </w:r>
          </w:p>
        </w:tc>
      </w:tr>
      <w:tr w14:paraId="3255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自习室综合布线及文化建设</w:t>
            </w:r>
          </w:p>
        </w:tc>
        <w:tc>
          <w:tcPr>
            <w:tcW w:w="7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1.含教室内灯线、空调、视频显示设备等所有电路布线；国标优质6平方电源线，高品质插座、插线板，套管、所有空气开关、辅材、软管、扎线带、螺丝、标签线等，根据业主方现场要求实施。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标单位提供实训室布置操作注意事项、安全注意事项、实训室简介等文化挂图，明确实训室相关管理制度。挂图采用亚克力材质，透明与透光性如同玻璃，时尚美观。亚克力展示板尺寸约：780mm*580mm。具体需根据用户要求定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3.含所有材料设备搬运、垃圾清运、卫生打扫等。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</w:tr>
      <w:tr w14:paraId="50E7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静电地板</w:t>
            </w:r>
          </w:p>
        </w:tc>
        <w:tc>
          <w:tcPr>
            <w:tcW w:w="7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5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600mm*600mm，教室面积12.57*8.47平方米（2间）,8.14*8.78（1间），钢化陶瓷静电地板,含开孔与辅材等费用;扫脚线，不锈钢材质。</w:t>
            </w: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64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</w:t>
            </w:r>
          </w:p>
        </w:tc>
        <w:tc>
          <w:tcPr>
            <w:tcW w:w="7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教室面积12.57*8.47平方米（2间）,8.14*8.78（1间），轻钢龙骨，600mm*600mm铝合金扣板，含安装及所有辅材</w:t>
            </w: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60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平板灯</w:t>
            </w:r>
          </w:p>
        </w:tc>
        <w:tc>
          <w:tcPr>
            <w:tcW w:w="7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A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600mm*600mmLED平板灯</w:t>
            </w: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42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7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E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1.半周长0.5m以下配电箱 </w:t>
            </w:r>
          </w:p>
          <w:p w14:paraId="4475B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2.安装方式:嵌入式安装安装 </w:t>
            </w:r>
          </w:p>
          <w:p w14:paraId="23C6A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3.其他:含接地工作</w:t>
            </w:r>
          </w:p>
          <w:p w14:paraId="3B653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09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4位插排 </w:t>
            </w:r>
          </w:p>
        </w:tc>
        <w:tc>
          <w:tcPr>
            <w:tcW w:w="7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1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1.名称:4位插排;  </w:t>
            </w:r>
          </w:p>
          <w:p w14:paraId="68740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2.规格:尺寸 233.3*54*32mm 额定电压 </w:t>
            </w:r>
          </w:p>
          <w:p w14:paraId="3C09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250v 最大电流 10a 最大功率 2500w; </w:t>
            </w: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1A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本工程所有需求以附件工程量清单为准，该项目为交钥匙工程。</w:t>
            </w:r>
          </w:p>
        </w:tc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06603C1">
      <w:pPr>
        <w:pStyle w:val="2"/>
        <w:spacing w:line="240" w:lineRule="auto"/>
        <w:ind w:left="0" w:leftChars="0" w:firstLine="0" w:firstLineChars="0"/>
      </w:pPr>
    </w:p>
    <w:p w14:paraId="5A3485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3145A"/>
    <w:multiLevelType w:val="singleLevel"/>
    <w:tmpl w:val="34A314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DQ1NzRmYjhmNzNjNGRkZmUwODYwYjBkOGVhOTUifQ=="/>
    <w:docVar w:name="KSO_WPS_MARK_KEY" w:val="dd872209-6b3d-4d43-987f-12ca54bf853d"/>
  </w:docVars>
  <w:rsids>
    <w:rsidRoot w:val="0A00727A"/>
    <w:rsid w:val="006C3B84"/>
    <w:rsid w:val="01A36846"/>
    <w:rsid w:val="023F52A9"/>
    <w:rsid w:val="030F6088"/>
    <w:rsid w:val="034E6C2F"/>
    <w:rsid w:val="035A307B"/>
    <w:rsid w:val="045D04DB"/>
    <w:rsid w:val="05793C8D"/>
    <w:rsid w:val="05F129E8"/>
    <w:rsid w:val="06FC7C6D"/>
    <w:rsid w:val="0770527A"/>
    <w:rsid w:val="082B758C"/>
    <w:rsid w:val="08D83149"/>
    <w:rsid w:val="09866978"/>
    <w:rsid w:val="09B51008"/>
    <w:rsid w:val="0A00727A"/>
    <w:rsid w:val="0A057159"/>
    <w:rsid w:val="0A0A0F35"/>
    <w:rsid w:val="0A1C5C45"/>
    <w:rsid w:val="0A456833"/>
    <w:rsid w:val="0A5969F3"/>
    <w:rsid w:val="0C632FA1"/>
    <w:rsid w:val="0DA77B85"/>
    <w:rsid w:val="0E4724ED"/>
    <w:rsid w:val="0EEE51FF"/>
    <w:rsid w:val="0F162D50"/>
    <w:rsid w:val="0FDB1613"/>
    <w:rsid w:val="10BD69F8"/>
    <w:rsid w:val="10E175FB"/>
    <w:rsid w:val="114F61E9"/>
    <w:rsid w:val="12385D22"/>
    <w:rsid w:val="13780162"/>
    <w:rsid w:val="13A954F1"/>
    <w:rsid w:val="13E946D3"/>
    <w:rsid w:val="1465685D"/>
    <w:rsid w:val="14E05AD6"/>
    <w:rsid w:val="14E32ED1"/>
    <w:rsid w:val="14F74BCE"/>
    <w:rsid w:val="150B218C"/>
    <w:rsid w:val="158A77F0"/>
    <w:rsid w:val="15991506"/>
    <w:rsid w:val="16A03AD8"/>
    <w:rsid w:val="16ED0036"/>
    <w:rsid w:val="17721EA7"/>
    <w:rsid w:val="178A4C4F"/>
    <w:rsid w:val="18D019BE"/>
    <w:rsid w:val="197A126D"/>
    <w:rsid w:val="19ED47AF"/>
    <w:rsid w:val="1A3626EE"/>
    <w:rsid w:val="1A8A3DEE"/>
    <w:rsid w:val="1ABC044C"/>
    <w:rsid w:val="1CCB354F"/>
    <w:rsid w:val="1E0F75EF"/>
    <w:rsid w:val="1E1E31CB"/>
    <w:rsid w:val="1E936EB9"/>
    <w:rsid w:val="1F1F544D"/>
    <w:rsid w:val="1F614125"/>
    <w:rsid w:val="1F6E74C3"/>
    <w:rsid w:val="200D4A30"/>
    <w:rsid w:val="21C30312"/>
    <w:rsid w:val="21EF4A54"/>
    <w:rsid w:val="2202281C"/>
    <w:rsid w:val="23617901"/>
    <w:rsid w:val="244B6916"/>
    <w:rsid w:val="24863878"/>
    <w:rsid w:val="24FD28A9"/>
    <w:rsid w:val="25A20B86"/>
    <w:rsid w:val="26BF4B6C"/>
    <w:rsid w:val="29017971"/>
    <w:rsid w:val="29043D21"/>
    <w:rsid w:val="291560DA"/>
    <w:rsid w:val="29EE1B56"/>
    <w:rsid w:val="2A547FA4"/>
    <w:rsid w:val="2AB1414E"/>
    <w:rsid w:val="2B61238D"/>
    <w:rsid w:val="2D076769"/>
    <w:rsid w:val="30757FEC"/>
    <w:rsid w:val="32816B91"/>
    <w:rsid w:val="357E2A76"/>
    <w:rsid w:val="35BD5589"/>
    <w:rsid w:val="37B207B5"/>
    <w:rsid w:val="38091759"/>
    <w:rsid w:val="38CA5FD2"/>
    <w:rsid w:val="38EB7BEE"/>
    <w:rsid w:val="3946116B"/>
    <w:rsid w:val="3A5365BD"/>
    <w:rsid w:val="3AAB598F"/>
    <w:rsid w:val="3C4B5722"/>
    <w:rsid w:val="3C922B13"/>
    <w:rsid w:val="3DCA5B6B"/>
    <w:rsid w:val="3DF17FF3"/>
    <w:rsid w:val="3E720C9E"/>
    <w:rsid w:val="3EE55913"/>
    <w:rsid w:val="3F8C3FE1"/>
    <w:rsid w:val="3FDD38DB"/>
    <w:rsid w:val="40B37D16"/>
    <w:rsid w:val="419337E2"/>
    <w:rsid w:val="41F847CE"/>
    <w:rsid w:val="42175CC2"/>
    <w:rsid w:val="42391130"/>
    <w:rsid w:val="42BF46CD"/>
    <w:rsid w:val="43204C92"/>
    <w:rsid w:val="43800A50"/>
    <w:rsid w:val="451C56B7"/>
    <w:rsid w:val="455F7C44"/>
    <w:rsid w:val="45B47DEE"/>
    <w:rsid w:val="46102C28"/>
    <w:rsid w:val="465D4160"/>
    <w:rsid w:val="475A3D2F"/>
    <w:rsid w:val="47940D5A"/>
    <w:rsid w:val="47E27599"/>
    <w:rsid w:val="491346EF"/>
    <w:rsid w:val="495F4514"/>
    <w:rsid w:val="49972FD0"/>
    <w:rsid w:val="49BE2A0A"/>
    <w:rsid w:val="4B8B15F1"/>
    <w:rsid w:val="4EA12ED9"/>
    <w:rsid w:val="4EA91197"/>
    <w:rsid w:val="4F544BD3"/>
    <w:rsid w:val="50D9230A"/>
    <w:rsid w:val="51114346"/>
    <w:rsid w:val="51A60858"/>
    <w:rsid w:val="51ED0652"/>
    <w:rsid w:val="528B1ED6"/>
    <w:rsid w:val="533F7D5C"/>
    <w:rsid w:val="541B4F07"/>
    <w:rsid w:val="54564027"/>
    <w:rsid w:val="54866AEB"/>
    <w:rsid w:val="550F3292"/>
    <w:rsid w:val="558901B6"/>
    <w:rsid w:val="570B3C85"/>
    <w:rsid w:val="57AB3EBD"/>
    <w:rsid w:val="588C3363"/>
    <w:rsid w:val="58A76A2B"/>
    <w:rsid w:val="58F06F37"/>
    <w:rsid w:val="5A6A1180"/>
    <w:rsid w:val="5B372BFB"/>
    <w:rsid w:val="5C0E0752"/>
    <w:rsid w:val="5D097436"/>
    <w:rsid w:val="5DD26EB8"/>
    <w:rsid w:val="5E817B24"/>
    <w:rsid w:val="5EC23124"/>
    <w:rsid w:val="5ED42004"/>
    <w:rsid w:val="603666CB"/>
    <w:rsid w:val="6064055A"/>
    <w:rsid w:val="62133014"/>
    <w:rsid w:val="62614F7B"/>
    <w:rsid w:val="633D721D"/>
    <w:rsid w:val="64143FA1"/>
    <w:rsid w:val="64D4137C"/>
    <w:rsid w:val="65185858"/>
    <w:rsid w:val="66216982"/>
    <w:rsid w:val="67B64473"/>
    <w:rsid w:val="69292FCA"/>
    <w:rsid w:val="6A3750C1"/>
    <w:rsid w:val="6B3E658A"/>
    <w:rsid w:val="6C471994"/>
    <w:rsid w:val="6C6C0A53"/>
    <w:rsid w:val="6CB72562"/>
    <w:rsid w:val="6F61539D"/>
    <w:rsid w:val="706B037D"/>
    <w:rsid w:val="72D305D9"/>
    <w:rsid w:val="73AF381F"/>
    <w:rsid w:val="741C69DA"/>
    <w:rsid w:val="7423420D"/>
    <w:rsid w:val="75556648"/>
    <w:rsid w:val="75E939FA"/>
    <w:rsid w:val="76B33626"/>
    <w:rsid w:val="77187BD4"/>
    <w:rsid w:val="78342545"/>
    <w:rsid w:val="784F4362"/>
    <w:rsid w:val="78C92DA8"/>
    <w:rsid w:val="790F0B5B"/>
    <w:rsid w:val="79D35D8D"/>
    <w:rsid w:val="7A262DC1"/>
    <w:rsid w:val="7B4202C5"/>
    <w:rsid w:val="7C6B323A"/>
    <w:rsid w:val="7CDA7F23"/>
    <w:rsid w:val="7DC268B8"/>
    <w:rsid w:val="7E4454AB"/>
    <w:rsid w:val="7E6366E8"/>
    <w:rsid w:val="7F8F09A8"/>
    <w:rsid w:val="7F916CBA"/>
    <w:rsid w:val="7FD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basedOn w:val="1"/>
    <w:next w:val="1"/>
    <w:autoRedefine/>
    <w:qFormat/>
    <w:uiPriority w:val="0"/>
    <w:pPr>
      <w:spacing w:line="360" w:lineRule="auto"/>
      <w:ind w:firstLine="560" w:firstLineChars="200"/>
    </w:pPr>
    <w:rPr>
      <w:rFonts w:ascii="仿宋_GB2312" w:hAnsi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1699</Words>
  <Characters>1873</Characters>
  <Lines>0</Lines>
  <Paragraphs>0</Paragraphs>
  <TotalTime>6</TotalTime>
  <ScaleCrop>false</ScaleCrop>
  <LinksUpToDate>false</LinksUpToDate>
  <CharactersWithSpaces>1890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2022-07-21T07:34:00Z</dcterms:created>
  <dc:creator>Administrator</dc:creator>
  <cp:lastModifiedBy> 々源〃力♂</cp:lastModifiedBy>
  <dcterms:modified xsi:type="dcterms:W3CDTF">2025-07-11T06:48:38Z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098348F6AF17413B9AAC36F106400295_13</vt:lpwstr>
  </property>
  <property fmtid="{D5CDD505-2E9C-101B-9397-08002B2CF9AE}" pid="4" name="KSOTemplateDocerSaveRecord">
    <vt:lpwstr>eyJoZGlkIjoiNDgzZmFhMzIwMmIxY2U0ODBkODQxODJjZDg3NjIwNWYiLCJ1c2VySWQiOiIyNzczMzQyMTYifQ==</vt:lpwstr>
  </property>
</Properties>
</file>