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2D01F1">
      <w:pPr>
        <w:jc w:val="center"/>
        <w:rPr>
          <w:rFonts w:hint="default" w:ascii="宋体" w:hAnsi="宋体" w:eastAsia="宋体" w:cs="宋体"/>
          <w:b/>
          <w:sz w:val="36"/>
          <w:szCs w:val="36"/>
          <w:lang w:val="en-US" w:eastAsia="zh-CN"/>
        </w:rPr>
      </w:pPr>
      <w:r>
        <w:rPr>
          <w:rFonts w:hint="eastAsia" w:ascii="宋体" w:hAnsi="宋体" w:eastAsia="宋体" w:cs="宋体"/>
          <w:b/>
          <w:sz w:val="36"/>
          <w:szCs w:val="36"/>
          <w:lang w:val="en-US" w:eastAsia="zh-CN"/>
        </w:rPr>
        <w:t>采购需求</w:t>
      </w:r>
    </w:p>
    <w:p w14:paraId="35986B07">
      <w:pPr>
        <w:keepNext w:val="0"/>
        <w:keepLines w:val="0"/>
        <w:pageBreakBefore w:val="0"/>
        <w:widowControl/>
        <w:numPr>
          <w:ilvl w:val="0"/>
          <w:numId w:val="0"/>
        </w:numPr>
        <w:kinsoku w:val="0"/>
        <w:wordWrap/>
        <w:overflowPunct/>
        <w:topLinePunct w:val="0"/>
        <w:autoSpaceDE w:val="0"/>
        <w:autoSpaceDN w:val="0"/>
        <w:bidi w:val="0"/>
        <w:adjustRightInd w:val="0"/>
        <w:snapToGrid w:val="0"/>
        <w:textAlignment w:val="baseline"/>
        <w:rPr>
          <w:rFonts w:hint="eastAsia" w:ascii="宋体" w:hAnsi="宋体" w:eastAsia="宋体" w:cs="宋体"/>
          <w:b/>
          <w:sz w:val="28"/>
          <w:szCs w:val="28"/>
          <w:lang w:val="en-US" w:eastAsia="zh-CN"/>
        </w:rPr>
      </w:pPr>
    </w:p>
    <w:p w14:paraId="1DA28871">
      <w:pPr>
        <w:keepNext w:val="0"/>
        <w:keepLines w:val="0"/>
        <w:pageBreakBefore w:val="0"/>
        <w:widowControl/>
        <w:numPr>
          <w:ilvl w:val="0"/>
          <w:numId w:val="1"/>
        </w:numPr>
        <w:kinsoku w:val="0"/>
        <w:wordWrap/>
        <w:overflowPunct/>
        <w:topLinePunct w:val="0"/>
        <w:autoSpaceDE w:val="0"/>
        <w:autoSpaceDN w:val="0"/>
        <w:bidi w:val="0"/>
        <w:adjustRightInd w:val="0"/>
        <w:snapToGrid w:val="0"/>
        <w:ind w:left="562" w:hanging="562" w:hangingChars="200"/>
        <w:textAlignment w:val="baseline"/>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采购货物一览表</w:t>
      </w:r>
    </w:p>
    <w:tbl>
      <w:tblPr>
        <w:tblStyle w:val="5"/>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0"/>
        <w:gridCol w:w="1320"/>
        <w:gridCol w:w="3200"/>
        <w:gridCol w:w="1100"/>
        <w:gridCol w:w="880"/>
        <w:gridCol w:w="1180"/>
        <w:gridCol w:w="1170"/>
      </w:tblGrid>
      <w:tr w14:paraId="3415F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 w:type="dxa"/>
            <w:vAlign w:val="center"/>
          </w:tcPr>
          <w:p w14:paraId="228EDCC7">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序号</w:t>
            </w:r>
          </w:p>
        </w:tc>
        <w:tc>
          <w:tcPr>
            <w:tcW w:w="1320" w:type="dxa"/>
            <w:vAlign w:val="center"/>
          </w:tcPr>
          <w:p w14:paraId="025F7FDC">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货物名称</w:t>
            </w:r>
          </w:p>
        </w:tc>
        <w:tc>
          <w:tcPr>
            <w:tcW w:w="3200" w:type="dxa"/>
            <w:vAlign w:val="center"/>
          </w:tcPr>
          <w:p w14:paraId="6E09BF90">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技术参数</w:t>
            </w:r>
          </w:p>
        </w:tc>
        <w:tc>
          <w:tcPr>
            <w:tcW w:w="1100" w:type="dxa"/>
            <w:vAlign w:val="center"/>
          </w:tcPr>
          <w:p w14:paraId="3624A257">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预算单价（元）</w:t>
            </w:r>
          </w:p>
        </w:tc>
        <w:tc>
          <w:tcPr>
            <w:tcW w:w="880" w:type="dxa"/>
            <w:vAlign w:val="center"/>
          </w:tcPr>
          <w:p w14:paraId="3683D3AB">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数量</w:t>
            </w:r>
          </w:p>
          <w:p w14:paraId="7DCC0159">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（位）</w:t>
            </w:r>
          </w:p>
        </w:tc>
        <w:tc>
          <w:tcPr>
            <w:tcW w:w="1180" w:type="dxa"/>
            <w:vAlign w:val="center"/>
          </w:tcPr>
          <w:p w14:paraId="03502CD4">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控制总价（元）</w:t>
            </w:r>
          </w:p>
        </w:tc>
        <w:tc>
          <w:tcPr>
            <w:tcW w:w="1170" w:type="dxa"/>
            <w:vAlign w:val="center"/>
          </w:tcPr>
          <w:p w14:paraId="3AD9FA0A">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推荐品牌</w:t>
            </w:r>
          </w:p>
        </w:tc>
      </w:tr>
      <w:tr w14:paraId="18F55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 w:type="dxa"/>
            <w:vAlign w:val="center"/>
          </w:tcPr>
          <w:p w14:paraId="666FD245">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1</w:t>
            </w:r>
          </w:p>
        </w:tc>
        <w:tc>
          <w:tcPr>
            <w:tcW w:w="1320" w:type="dxa"/>
            <w:vAlign w:val="center"/>
          </w:tcPr>
          <w:p w14:paraId="2E421ED7">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rPr>
              <w:t>固定课桌椅</w:t>
            </w:r>
          </w:p>
        </w:tc>
        <w:tc>
          <w:tcPr>
            <w:tcW w:w="3200" w:type="dxa"/>
            <w:vAlign w:val="center"/>
          </w:tcPr>
          <w:p w14:paraId="5C5D6664">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1.规格：座位中距500㎜，前后中距850㎜，写字板离地760㎜。</w:t>
            </w:r>
          </w:p>
          <w:p w14:paraId="70F28187">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2.材质：立柱采用30㎜×60㎜×1.5㎜椭圆管，座板托采用25㎜×50㎜×1.5㎜方管，写字板托均采用20㎜×20㎜×1.2㎜方管。</w:t>
            </w:r>
          </w:p>
          <w:p w14:paraId="7101BE4D">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3.脚掌：采用1.5㎜厚冷轧钢板冲压成型，采用膨胀螺丝固定在地面上。</w:t>
            </w:r>
          </w:p>
          <w:p w14:paraId="26F32E55">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4.前挡板、写字板、书斗板、座板、靠背板均采用18㎜橡胶木板。</w:t>
            </w:r>
          </w:p>
          <w:p w14:paraId="1C852F34">
            <w:pPr>
              <w:keepNext w:val="0"/>
              <w:keepLines w:val="0"/>
              <w:pageBreakBefore w:val="0"/>
              <w:widowControl/>
              <w:numPr>
                <w:ilvl w:val="0"/>
                <w:numId w:val="0"/>
              </w:numPr>
              <w:kinsoku w:val="0"/>
              <w:wordWrap/>
              <w:overflowPunct/>
              <w:topLinePunct w:val="0"/>
              <w:autoSpaceDE w:val="0"/>
              <w:autoSpaceDN w:val="0"/>
              <w:bidi w:val="0"/>
              <w:adjustRightInd w:val="0"/>
              <w:snapToGrid w:val="0"/>
              <w:jc w:val="left"/>
              <w:textAlignment w:val="baseline"/>
              <w:rPr>
                <w:rFonts w:hint="eastAsia" w:ascii="宋体" w:hAnsi="宋体" w:eastAsia="宋体" w:cs="宋体"/>
                <w:b w:val="0"/>
                <w:bCs/>
                <w:sz w:val="21"/>
                <w:szCs w:val="21"/>
                <w:vertAlign w:val="baseline"/>
                <w:lang w:val="en-US" w:eastAsia="zh-CN"/>
              </w:rPr>
            </w:pPr>
            <w:r>
              <w:rPr>
                <w:rFonts w:hint="eastAsia" w:ascii="宋体" w:hAnsi="宋体" w:eastAsia="宋体" w:cs="宋体"/>
                <w:sz w:val="21"/>
                <w:szCs w:val="21"/>
                <w:lang w:val="en-US" w:eastAsia="zh-CN"/>
              </w:rPr>
              <w:t>5.所有钢架表面均采用环保环氧聚酯静电粉末（塑粉）一次性喷塑，表面无结巴耐腐蚀。</w:t>
            </w:r>
          </w:p>
        </w:tc>
        <w:tc>
          <w:tcPr>
            <w:tcW w:w="1100" w:type="dxa"/>
            <w:vAlign w:val="center"/>
          </w:tcPr>
          <w:p w14:paraId="241B1576">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358</w:t>
            </w:r>
          </w:p>
        </w:tc>
        <w:tc>
          <w:tcPr>
            <w:tcW w:w="880" w:type="dxa"/>
            <w:vAlign w:val="center"/>
          </w:tcPr>
          <w:p w14:paraId="4DF50D7E">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lang w:val="en-US" w:eastAsia="zh-CN"/>
              </w:rPr>
              <w:t>1390</w:t>
            </w:r>
          </w:p>
        </w:tc>
        <w:tc>
          <w:tcPr>
            <w:tcW w:w="1180" w:type="dxa"/>
            <w:vAlign w:val="center"/>
          </w:tcPr>
          <w:p w14:paraId="0EC81FB5">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default"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497620</w:t>
            </w:r>
          </w:p>
        </w:tc>
        <w:tc>
          <w:tcPr>
            <w:tcW w:w="1170" w:type="dxa"/>
            <w:vAlign w:val="center"/>
          </w:tcPr>
          <w:p w14:paraId="5A8E784D">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文宇</w:t>
            </w:r>
          </w:p>
          <w:p w14:paraId="615EDBDF">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、北极智星</w:t>
            </w:r>
          </w:p>
          <w:p w14:paraId="7A3F76A1">
            <w:pPr>
              <w:keepNext w:val="0"/>
              <w:keepLines w:val="0"/>
              <w:pageBreakBefore w:val="0"/>
              <w:widowControl/>
              <w:numPr>
                <w:ilvl w:val="0"/>
                <w:numId w:val="0"/>
              </w:numPr>
              <w:kinsoku w:val="0"/>
              <w:wordWrap/>
              <w:overflowPunct/>
              <w:topLinePunct w:val="0"/>
              <w:autoSpaceDE w:val="0"/>
              <w:autoSpaceDN w:val="0"/>
              <w:bidi w:val="0"/>
              <w:adjustRightInd w:val="0"/>
              <w:snapToGrid w:val="0"/>
              <w:jc w:val="center"/>
              <w:textAlignment w:val="baseline"/>
              <w:rPr>
                <w:rFonts w:hint="eastAsia" w:ascii="宋体" w:hAnsi="宋体" w:eastAsia="宋体" w:cs="宋体"/>
                <w:b w:val="0"/>
                <w:bCs/>
                <w:sz w:val="21"/>
                <w:szCs w:val="21"/>
                <w:vertAlign w:val="baseline"/>
                <w:lang w:val="en-US" w:eastAsia="zh-CN"/>
              </w:rPr>
            </w:pPr>
          </w:p>
        </w:tc>
      </w:tr>
    </w:tbl>
    <w:p w14:paraId="12FCD8DE">
      <w:pPr>
        <w:keepNext w:val="0"/>
        <w:keepLines w:val="0"/>
        <w:pageBreakBefore w:val="0"/>
        <w:widowControl/>
        <w:numPr>
          <w:ilvl w:val="0"/>
          <w:numId w:val="0"/>
        </w:numPr>
        <w:kinsoku w:val="0"/>
        <w:wordWrap/>
        <w:overflowPunct/>
        <w:topLinePunct w:val="0"/>
        <w:autoSpaceDE w:val="0"/>
        <w:autoSpaceDN w:val="0"/>
        <w:bidi w:val="0"/>
        <w:adjustRightInd w:val="0"/>
        <w:snapToGrid w:val="0"/>
        <w:ind w:leftChars="-200"/>
        <w:textAlignment w:val="baseline"/>
        <w:rPr>
          <w:rFonts w:hint="eastAsia" w:ascii="宋体" w:hAnsi="宋体" w:eastAsia="宋体" w:cs="宋体"/>
          <w:b/>
          <w:sz w:val="28"/>
          <w:szCs w:val="28"/>
          <w:lang w:val="en-US" w:eastAsia="zh-CN"/>
        </w:rPr>
      </w:pPr>
    </w:p>
    <w:p w14:paraId="6E056936">
      <w:pPr>
        <w:rPr>
          <w:rFonts w:hint="eastAsia" w:ascii="宋体" w:hAnsi="宋体" w:eastAsia="宋体" w:cs="宋体"/>
          <w:b/>
          <w:sz w:val="28"/>
          <w:szCs w:val="28"/>
        </w:rPr>
      </w:pPr>
    </w:p>
    <w:p w14:paraId="1E7DDC0D">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b/>
          <w:bCs/>
          <w:sz w:val="28"/>
          <w:szCs w:val="28"/>
          <w:lang w:val="en-US"/>
        </w:rPr>
      </w:pPr>
      <w:r>
        <w:rPr>
          <w:rFonts w:hint="eastAsia" w:ascii="宋体" w:hAnsi="宋体" w:eastAsia="宋体" w:cs="宋体"/>
          <w:b/>
          <w:bCs/>
          <w:sz w:val="28"/>
          <w:szCs w:val="28"/>
          <w:lang w:val="en-US" w:eastAsia="zh-CN"/>
        </w:rPr>
        <w:t>二、技术参数要求</w:t>
      </w:r>
    </w:p>
    <w:p w14:paraId="196B5A0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1.钢管需符合GB24820-2009和GB/T 700-2006《碳素结构钢》的标准；其中金属喷漆（塑）涂层理化性能（耐腐蚀≥360h乙酸盐雾试验ASS）等级≥10级，屈服强度、抗拉强度、断后伸长率及冷弯试验，C（碳）应≤0.05%，Si（硅）应≤0.07%，Mn（锰）应≤0.2%，P（磷）应≤0.025%，S（硫）应≤0.01%，检验结果合格并全部符合要求。</w:t>
      </w:r>
    </w:p>
    <w:p w14:paraId="7A00AD9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2.冷轧钢板需符合GB24820-2009和GB/T 700-2006《碳素结构钢》的标准：其中金属喷漆（塑）涂层理化性能（耐腐蚀≥360h乙酸盐雾试验ASS）等级≥10级，屈服强度、抗拉强度、断后伸长率及冷弯试验，C（碳）应≤0.05%，Si（硅）应≤0.07%，Mn（锰）应≤0.2%，P（磷）应≤0.025%，S（硫）应≤0.01%，检验结果合格并全部符合要求。</w:t>
      </w:r>
    </w:p>
    <w:p w14:paraId="7B2612E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3.环氧聚酯静电粉末（塑粉）需符合HG/T 2006-2006《热固性粉末涂料》HJ/T 201-2005《环境标志产品技术要求 水性涂料》的标准：①在容器中状态②硬度(擦伤）③附着力、杯突、耐碱性（5%NaOH）、耐酸性（3%HCI）、耐湿热性:500h、耐人工气候老化型性④重金属：铅（Pb）：≤90mg/kg、镉（Cd）：≤75mg/kg、铬（Cr）：≤60mg/kg、汞（Hg）：≤60mg/kg、游离甲醛：≤100mg/kg，检验结果合格并符合要求。</w:t>
      </w:r>
    </w:p>
    <w:p w14:paraId="23BD599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4.螺杆螺帽需符合GB24820-2009《实验室家具通用技术条件》的标准：其中金属电镀层耐腐蚀（360h乙酸盐雾试验ASS）等级≥8级，检验结果合格并全部符合。</w:t>
      </w:r>
    </w:p>
    <w:p w14:paraId="78CFCC8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5.自攻螺丝需符合GB24820-2009的标准：其中金属电镀层（耐腐蚀≥360h乙酸盐雾试验ASS）等级≥8级，检验结果合格并全部符合要求。</w:t>
      </w:r>
    </w:p>
    <w:p w14:paraId="58AD27B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6.木工胶水需符合GB18583-2008《室内装饰装修材料 胶粘剂中有害物质限量 》的标准：游离甲醛≤0.50g/kg、苯≤5.0g/kg、二氯甲烷≤50g/kg、总挥发性有机物含量≤650g/L、甲苯+二甲苯≤150g/kg，检验结果合格并全部符合要求。</w:t>
      </w:r>
    </w:p>
    <w:p w14:paraId="5579817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7.橡胶木直拼板需符合GB/T 3324-2017《木家具通用技术条件》GB/T 35601-2017《绿色产品评价 人造板和木质地板》GB 18584-2001《室内装饰装修材料 木家具中有害物质限量》的标准：①木制件外观（贯通裂缝、虫蛀、腐朽材，树脂囊、节子、死节、孔洞、夹皮和树脂道、树胶道、其他轻微材质缺陷）②木材含水率≤15%③甲醛释放量≤1.5mg/L、④品质属性：挥发性有机化合物（72h）：苯≤10ug/m³、；甲苯≤20ug/m³、二甲苯≤20ug/m³、总挥发性有机化合物（TVOC）≤100ug/m³、可溶性重金属（铅、镉、铬、汞）总含量≤100mg/kg，检验结果合格并全部符合要求。</w:t>
      </w:r>
    </w:p>
    <w:p w14:paraId="23930D9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8.脚套需符合抗菌 (QB/T 4371-2012)、防霉 (GB/T 24128-2018)、GB/T32487-2016 的标准：大肠杆菌抗菌率≥99％、金黄色葡萄球菌抗菌率≥99％、 肺炎克雷伯氏菌抗菌率≥99％ 、鼠伤寒沙门氏菌抗菌率≥99％ 、铜绿假单胞菌抗菌率≥ 99％ 、防霉性能 0 级、塑料件外观、塑料件硬度、耐老化 500h、邻苯二甲酸酯、重金属、多环芳烃、多溴联苯、多溴二苯醚，检验结果合格并全部符合要求。</w:t>
      </w:r>
    </w:p>
    <w:p w14:paraId="7292415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9.水性底漆、水性底漆需符合GB 18581-2020《木器涂料中有害物质限量》的国家标准：①VOC含量水性涂料（含腻子）②甲醛含量③总铅（Pb）含量、镉（Cd）、铬（Cr）、汞（Hg）④苯系物总和含量【限苯、甲苯、二甲苯（含乙苯）】⑤乙二醇醚及醚酯总和含量⑥烷基酚聚氧乙烯醚总和含量，检验结果合格并全部符合要求。</w:t>
      </w:r>
    </w:p>
    <w:p w14:paraId="6CEFAFE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10.桌钢架、椅钢架需符合QB/T 4767-2014《家具用钢结构》标准：①形状和位置公差（邻边垂直度、着地稳定性）②外观（焊接件、冲压件、喷涂件）③产品表面涂层理化性能：金属喷涂层（涂层厚度、抗盐雾10级）检验结果合格并全部符合要求。</w:t>
      </w:r>
    </w:p>
    <w:p w14:paraId="1EE4A11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11.桌面板、椅面板需符合抗菌（ QB/T4371－2012）、防霉效果评估（GB/T24128-2018）的标准：大肠杆菌≥99％、金黄色葡萄球菌≥99％、肺炎克雷伯氏菌≥99％、鼠伤寒沙门氏菌≥99％、铜绿假单胞菌抗菌率≥99％、耐霉菌性能0级，检验结果合格并全部符合要求。</w:t>
      </w:r>
    </w:p>
    <w:p w14:paraId="09506F0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以上质量要求中所涉及的检测标准均需提供相应的带CMA标识检测报告佐证，且报告需提供在国家认证认可监督管理委员会网站查询截图，中标单位还需提供原件供采购人核验真伪。</w:t>
      </w:r>
    </w:p>
    <w:p w14:paraId="178384C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p>
    <w:p w14:paraId="01102D6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p>
    <w:p w14:paraId="1E992EE4">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三、商务要求</w:t>
      </w:r>
    </w:p>
    <w:p w14:paraId="48C8AA3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（一）项目说明</w:t>
      </w:r>
    </w:p>
    <w:p w14:paraId="59A0B5D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1、本项目所有的原材料应符合相关国家标准和行业标准、相关环保和安全标准；</w:t>
      </w:r>
    </w:p>
    <w:p w14:paraId="6D45B22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2、投标人或者所投产品制造商</w:t>
      </w:r>
      <w:r>
        <w:rPr>
          <w:rFonts w:hint="eastAsia" w:ascii="宋体" w:hAnsi="宋体" w:eastAsia="宋体" w:cs="宋体"/>
          <w:b/>
          <w:bCs/>
          <w:sz w:val="24"/>
          <w:szCs w:val="24"/>
          <w:highlight w:val="none"/>
          <w:lang w:val="en-US" w:eastAsia="zh-CN"/>
        </w:rPr>
        <w:t>应具有自主生产综合能力，</w:t>
      </w:r>
      <w:r>
        <w:rPr>
          <w:rFonts w:hint="eastAsia" w:ascii="宋体" w:hAnsi="宋体" w:eastAsia="宋体" w:cs="宋体"/>
          <w:sz w:val="24"/>
          <w:szCs w:val="24"/>
          <w:lang w:val="en-US" w:eastAsia="zh-CN"/>
        </w:rPr>
        <w:t>提供相关证明材料；</w:t>
      </w:r>
    </w:p>
    <w:p w14:paraId="2FB54BE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3、采购人有权根据实际产品生产、产品质量、设计风格等情况，对产品进行调整，供应商应积极配合；</w:t>
      </w:r>
    </w:p>
    <w:p w14:paraId="52344D1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4、中标人应按照招标文件要求和投标文件响应并根据采购人的具体情况对所有家具、用具的规格尺寸进行复核，应按复核后并经采购人确认的家具、用具款式、规格尺寸、颜色及加工工艺提供完整的</w:t>
      </w:r>
      <w:r>
        <w:rPr>
          <w:rFonts w:hint="eastAsia" w:ascii="宋体" w:hAnsi="宋体" w:eastAsia="宋体" w:cs="宋体"/>
          <w:sz w:val="24"/>
          <w:szCs w:val="24"/>
          <w:highlight w:val="none"/>
          <w:lang w:val="en-US" w:eastAsia="zh-CN"/>
        </w:rPr>
        <w:t>施工图、效果图或样品，</w:t>
      </w:r>
      <w:r>
        <w:rPr>
          <w:rFonts w:hint="eastAsia" w:ascii="宋体" w:hAnsi="宋体" w:eastAsia="宋体" w:cs="宋体"/>
          <w:sz w:val="24"/>
          <w:szCs w:val="24"/>
          <w:lang w:val="en-US" w:eastAsia="zh-CN"/>
        </w:rPr>
        <w:t>经采购人确认后方可安排生产。复核后的规格尺寸如与招标货物一览表中所给的规格尺寸相差不大的，中标价格一律不予调整，供应商在报价中应充分考虑该部分误差。</w:t>
      </w:r>
    </w:p>
    <w:p w14:paraId="62AFC6A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5、投标人产品的制造、安装进度原则上应无偿地服从采购人的统一安排。</w:t>
      </w:r>
    </w:p>
    <w:p w14:paraId="56FADF8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bookmarkStart w:id="0" w:name="_GoBack"/>
      <w:bookmarkEnd w:id="0"/>
      <w:r>
        <w:rPr>
          <w:rFonts w:hint="eastAsia" w:ascii="宋体" w:hAnsi="宋体" w:eastAsia="宋体" w:cs="宋体"/>
          <w:sz w:val="24"/>
          <w:szCs w:val="24"/>
          <w:lang w:val="en-US" w:eastAsia="zh-CN"/>
        </w:rPr>
        <w:t>本项目不统一组织踏勘及招标答疑，请投标单位自行前往。踏勘现场所发生的费用由投标人自行承担，投标人并应对由此次踏勘现场而造成的死亡、人身伤害、财产损失、损害以及任何其它损失、损害和引起的费用和开支承担责任。</w:t>
      </w:r>
    </w:p>
    <w:p w14:paraId="2892725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7、本项目投标报价不能超过预算价，投标单价不能超过控制单价，否则视为无效投标。</w:t>
      </w:r>
    </w:p>
    <w:p w14:paraId="7C96185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（二）包装、运输、保管及保险</w:t>
      </w:r>
    </w:p>
    <w:p w14:paraId="7004594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中标人所供货物必须为制造商原厂包装，包装质量符合国家或行业相关标准，货物的包装均应有良好的防湿、防锈、防潮、防雨、防腐及防碰撞的措施，货物要求有包装材料保护运至现场。凡由于包装不良导致货物损坏、锈蚀等的损失和由此产生的费用均由中标人承担。</w:t>
      </w:r>
    </w:p>
    <w:p w14:paraId="3A3F409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2、中标人负责根据本项目内容各个不同的安装地点,将货物材料送到现场过程中的全部运输，包括装卸车、货物现场的搬运。</w:t>
      </w:r>
    </w:p>
    <w:p w14:paraId="748C6C5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3、各种货物，必须提供装箱清单，按装箱清单验收货物。</w:t>
      </w:r>
    </w:p>
    <w:p w14:paraId="078CD0D2">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4、货物在现场的保管由中标人负责，直至项目安装、验收完毕。</w:t>
      </w:r>
    </w:p>
    <w:p w14:paraId="1350118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5、货物在安装调试验收合格前的保险由中标人负责，中标人负责其派出的现场服务人员人身意外保险。</w:t>
      </w:r>
    </w:p>
    <w:p w14:paraId="3F04E6F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（三）安装调试</w:t>
      </w:r>
    </w:p>
    <w:p w14:paraId="6A88CB0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1、投标人应派有经验的技术人员到现场进行安装、调试，直到正常使用，其费用由投标人负担，包含在投标总价中并负责技术人员及安装过程的保险。</w:t>
      </w:r>
    </w:p>
    <w:p w14:paraId="3F6E1F6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2、严格遵守安装现场安全保卫制度和防火制度。</w:t>
      </w:r>
    </w:p>
    <w:p w14:paraId="7286197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3、产品安装调试由中标人负责, 并提出货物调试的内容、项目、指标和方法, 并提供相应的仪器和工具, 中标人有责任对用户单位的技术人员提出的问题作出解答。</w:t>
      </w:r>
    </w:p>
    <w:p w14:paraId="5E43E3A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4、用户单位技术人员应参与测试全过程。测试过程应进行详细记录，测试结果经双方确认后，由双方代表签字，交给用户单位验收。</w:t>
      </w:r>
    </w:p>
    <w:p w14:paraId="13A14BA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5、中标人应结合产品的安装、调试及运行过程，有计划对采购人派出的管理、维护人员进行产品的基本知识、使用、维护保养技术等现场技术培训， 直至采购人的技术人员能独立工作，并承担因此发生的费用。</w:t>
      </w:r>
    </w:p>
    <w:p w14:paraId="1C5E7E8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（四）质量保证</w:t>
      </w:r>
    </w:p>
    <w:p w14:paraId="2403206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1、投标</w:t>
      </w:r>
      <w:r>
        <w:rPr>
          <w:rFonts w:hint="eastAsia" w:ascii="宋体" w:hAnsi="宋体" w:eastAsia="宋体" w:cs="宋体"/>
          <w:sz w:val="24"/>
          <w:szCs w:val="24"/>
          <w:highlight w:val="none"/>
          <w:lang w:val="en-US" w:eastAsia="zh-CN"/>
        </w:rPr>
        <w:t>人应提供产品生产过程中的质量保证措施，包括质量控制目标、手段、在产品生产过程的质量保证体系、使用的材质、配件、</w:t>
      </w:r>
      <w:r>
        <w:rPr>
          <w:rFonts w:hint="eastAsia" w:ascii="宋体" w:hAnsi="宋体" w:eastAsia="宋体" w:cs="宋体"/>
          <w:sz w:val="24"/>
          <w:szCs w:val="24"/>
          <w:lang w:val="en-US" w:eastAsia="zh-CN"/>
        </w:rPr>
        <w:t>后期设备检测等；</w:t>
      </w:r>
    </w:p>
    <w:p w14:paraId="78A4139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2、中标人提供的产品应符合国家质量检测标准；</w:t>
      </w:r>
    </w:p>
    <w:p w14:paraId="52322DA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 产品免费质保期三年，投标人承诺质保期限内，应对所供货产品的质量负责，不能按照合同约定履行质保和售后服务的，采购人有权将中标人报送上级财政主管部门处按政府采购相关法律法规进行处理。质保期自验收合格之日起计算。</w:t>
      </w:r>
    </w:p>
    <w:p w14:paraId="53712EB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4、在质保期内中标人对产品质量实行三包，因设备配置、设备或零部件制造质量问题而引起的故障，由中标人负责免费维修或更换，保证设备及时恢复正常，由此引起的一切费用由中标人承担。</w:t>
      </w:r>
    </w:p>
    <w:p w14:paraId="67D0D032">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5、中标人应保证货物是全新产品、原产地、原包装、手续合法完整、渠道正规的产品，完全符合合同规定的质量、规格和性能的要求。</w:t>
      </w:r>
    </w:p>
    <w:p w14:paraId="1CE2753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6、中标人必须严格遵守《产品质量法》，在投标文件中对产品质量保证体系做出说明，并完整地履行质保期内的免费现场维修服务承诺。</w:t>
      </w:r>
    </w:p>
    <w:p w14:paraId="4D9FA6F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（五）验收标准和方法</w:t>
      </w:r>
    </w:p>
    <w:p w14:paraId="1BE1FF7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为确保所供产品完全符合中标人在投标文件中所承诺的各项技术与质量指标，采购人将对产品进行验收，验收过程中发现所供产品不符合招标文件及投标文件的相关各项技术和质量指标的，不予验收，并确认为所投产品不符合招标文件及投标文件要求，中标无效，延续第二中标候选人或依法重新采购。</w:t>
      </w:r>
    </w:p>
    <w:p w14:paraId="75ED41D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2、当满足以下条件时，招标人才向中标人签发验收文件：</w:t>
      </w:r>
    </w:p>
    <w:p w14:paraId="08F886C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（1）中标人已按照合同规定提供了与封样相同的全部产品及完整的技术资料。 提供家具材料和成品验收标准及具体检测办法，提供产品相关权威部门的检测报告。</w:t>
      </w:r>
    </w:p>
    <w:p w14:paraId="226B1E2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（2）产品符合招标文件技术规格的要求。</w:t>
      </w:r>
    </w:p>
    <w:p w14:paraId="7248699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3、由采购单位负责组建验收小组。凡投标货物必须由验收小组鉴定是否符合招 标项目的验收标准和实际需要，是否可以投入正常使用。</w:t>
      </w:r>
    </w:p>
    <w:p w14:paraId="19B278B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4、中标后，最终验收时间以签定的采购合同为准。投标人延期交货，每延期 1 天，按延期交付的货物总额 1%交付违约金，违约金最高限额不超过延期交付的货物总 额的10%。如果投标人在达到最高限额后仍不能交货，采购人有权终止合同并追究损失。</w:t>
      </w:r>
    </w:p>
    <w:p w14:paraId="343DC8F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5、中标人货物装运时，应随货物提供出厂检验单、装箱单和相关的技术文件。</w:t>
      </w:r>
    </w:p>
    <w:p w14:paraId="41A4CC0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6、货物运抵安装现场后，用户单位将与中标人共同开箱验收，用户单位可对任 意批次任意一件货物进行破拆取样，如有必要送相关质检机关进行检测，检测结果不符合招标文件要求的，不能验收，检测费用由中标人承担。如中标人届时不能到场,则验收结果应以用户单位和质检人员的验收报告为最终验收结果。验收时发现短缺、破损，中标人应立即补发和负责更换。</w:t>
      </w:r>
    </w:p>
    <w:p w14:paraId="21B9F363">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（六）售后服务</w:t>
      </w:r>
    </w:p>
    <w:p w14:paraId="23EB774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1、投标人必须提供优良的服务，在质保期内，在质保期内中标人应免费提供咨询、维修服务和更换非人为损环的零配件。</w:t>
      </w:r>
    </w:p>
    <w:p w14:paraId="2136C0F2">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2、服务响应： </w:t>
      </w:r>
    </w:p>
    <w:p w14:paraId="00B8181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（1）对重大故障提供 7×24小时的现场支援，一般故障提供 5×8小时的现场支援。</w:t>
      </w:r>
    </w:p>
    <w:p w14:paraId="23042E9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（2）1小时响应，2小时到现场，一般故障4小时内解决问题，重大问题8小时内提出解决方案。</w:t>
      </w:r>
    </w:p>
    <w:p w14:paraId="128FC4C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3、质量保证期结束后，中标人应提供终身售后服务。中标人应及时响应报修电话，并进行定期维护和修理，更换零配件时只收取零配件的成本费；并在投标文件中提供详细具体的售后服务条款及保证。</w:t>
      </w:r>
    </w:p>
    <w:p w14:paraId="542227F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（七）交货时间及付款方式</w:t>
      </w:r>
    </w:p>
    <w:p w14:paraId="23EB108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1、交货时间：合同签订后30日（日历日）内供货并安装调试完毕交采购方使用。</w:t>
      </w:r>
    </w:p>
    <w:p w14:paraId="3936388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2、中标人应根据时间要求供货并对不可预见因素的进行预测，组织相关人员配送到指定项目现场，及时协调各方，保证按进度安排及时供货。</w:t>
      </w:r>
    </w:p>
    <w:p w14:paraId="0016F61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3、除包括采购的产品外，还应包括配套的辅助设备、技术资料、产品使用说明书、车辆使用所必需的备品备件品，负责运输、安装并提供相应的技术服务与质量保证。</w:t>
      </w:r>
    </w:p>
    <w:p w14:paraId="07C7347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4、本项目采用费用包干方式建设，投标人应根据项目要求和现场情况，详细列  明项目所需的设备、材料、配件、辅材，以及运输、安装、调试、验收等人工、管理、税金等所有费用，如一旦中标，在项目实施中出现任何遗漏，均由中标人免费提供，采购人不再支付任何费用。</w:t>
      </w:r>
    </w:p>
    <w:p w14:paraId="3C37AC0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5、结算价：本项目采用按实结算，结算价=（中标人的中标单价×单价对应实际产品数量）之总和</w:t>
      </w:r>
    </w:p>
    <w:p w14:paraId="163A68C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6、付款方式：</w:t>
      </w:r>
    </w:p>
    <w:p w14:paraId="0D0C435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质量保证金:签订合同前，乙方将合同金额的5%汇入合同签章部分约定的甲方账户，作为质量保证金。项目验收合格满一年后，乙方凭甲方用户加盖公章的《质保金支付审批单》向甲方申请一次性无息退还该质量保证金。并在合同签章时出具质量保证金付款凭证。</w:t>
      </w:r>
    </w:p>
    <w:p w14:paraId="35F2BF1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报账付款:乙方将货物运至甲方指定的地点，经甲方验收合格后十五日内，乙方凭《用户验收证明单》、《质量保证金汇款单》及乙方开具的增值税专用发票报账，由甲方按合同总价款一次性汇入合同签章部分约定的乙方账户。</w:t>
      </w:r>
    </w:p>
    <w:p w14:paraId="236F5D7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乙方开具的增值税发票必须为合法有效的票据,如有虚假票据，一切后果乙方负责。乙方申请付款前，应按照合同要求向甲方开具合法发票，否则甲方有权拒绝付款，乙方不得据此延迟履行其义务，否则应承担违约责任，由此造成甲方损失的，还应承担全部赔偿责任。</w:t>
      </w:r>
    </w:p>
    <w:p w14:paraId="4E735F9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p>
    <w:p w14:paraId="1085C8A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p>
    <w:p w14:paraId="2FEC692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★对于上述项目要求，投标人应在投标文件中进行回应，作出承诺及说明。</w:t>
      </w:r>
    </w:p>
    <w:p w14:paraId="416FCAE5">
      <w:pPr>
        <w:keepNext w:val="0"/>
        <w:keepLines w:val="0"/>
        <w:pageBreakBefore w:val="0"/>
        <w:widowControl/>
        <w:kinsoku w:val="0"/>
        <w:wordWrap/>
        <w:overflowPunct/>
        <w:topLinePunct w:val="0"/>
        <w:autoSpaceDE w:val="0"/>
        <w:autoSpaceDN w:val="0"/>
        <w:bidi w:val="0"/>
        <w:adjustRightInd w:val="0"/>
        <w:snapToGrid w:val="0"/>
        <w:spacing w:line="240" w:lineRule="auto"/>
        <w:ind w:firstLine="420" w:firstLineChars="200"/>
        <w:textAlignment w:val="baseline"/>
        <w:rPr>
          <w:rFonts w:hint="eastAsia" w:ascii="宋体" w:hAnsi="宋体" w:eastAsia="宋体" w:cs="宋体"/>
          <w:sz w:val="21"/>
          <w:szCs w:val="21"/>
          <w:lang w:val="en-US" w:eastAsia="zh-CN"/>
        </w:rPr>
      </w:pPr>
    </w:p>
    <w:p w14:paraId="38082687">
      <w:pPr>
        <w:rPr>
          <w:rFonts w:hint="eastAsia" w:ascii="宋体" w:hAnsi="宋体" w:eastAsia="宋体" w:cs="宋体"/>
          <w:sz w:val="28"/>
          <w:szCs w:val="28"/>
          <w:lang w:val="en-US" w:eastAsia="zh-CN"/>
        </w:rPr>
      </w:pPr>
    </w:p>
    <w:p w14:paraId="7F16E99A">
      <w:pPr>
        <w:rPr>
          <w:rFonts w:hint="eastAsia" w:ascii="宋体" w:hAnsi="宋体" w:eastAsia="宋体" w:cs="宋体"/>
          <w:sz w:val="44"/>
          <w:szCs w:val="44"/>
          <w:lang w:val="en-US" w:eastAsia="zh-CN"/>
        </w:rPr>
      </w:pPr>
      <w:r>
        <w:rPr>
          <w:rFonts w:hint="eastAsia" w:ascii="宋体" w:hAnsi="宋体" w:eastAsia="宋体" w:cs="宋体"/>
          <w:sz w:val="44"/>
          <w:szCs w:val="44"/>
          <w:lang w:val="en-US" w:eastAsia="zh-CN"/>
        </w:rPr>
        <w:br w:type="page"/>
      </w:r>
    </w:p>
    <w:p w14:paraId="3EA2044A">
      <w:pPr>
        <w:jc w:val="center"/>
        <w:rPr>
          <w:rFonts w:hint="eastAsia" w:ascii="宋体" w:hAnsi="宋体" w:eastAsia="宋体" w:cs="宋体"/>
          <w:sz w:val="44"/>
          <w:szCs w:val="44"/>
          <w:lang w:val="en-US" w:eastAsia="zh-CN"/>
        </w:rPr>
      </w:pPr>
      <w:r>
        <w:rPr>
          <w:rFonts w:hint="eastAsia" w:ascii="宋体" w:hAnsi="宋体" w:eastAsia="宋体" w:cs="宋体"/>
          <w:sz w:val="44"/>
          <w:szCs w:val="44"/>
          <w:lang w:val="en-US" w:eastAsia="zh-CN"/>
        </w:rPr>
        <w:t>课桌椅效果图</w:t>
      </w:r>
    </w:p>
    <w:p w14:paraId="23CB17A5">
      <w:pPr>
        <w:rPr>
          <w:rFonts w:hint="eastAsia" w:ascii="宋体" w:hAnsi="宋体" w:eastAsia="宋体" w:cs="宋体"/>
          <w:lang w:val="en-US" w:eastAsia="zh-CN"/>
        </w:rPr>
      </w:pPr>
    </w:p>
    <w:p w14:paraId="2C798424">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固定课桌椅图一</w:t>
      </w:r>
    </w:p>
    <w:p w14:paraId="01579203">
      <w:pPr>
        <w:rPr>
          <w:rFonts w:hint="eastAsia" w:ascii="宋体" w:hAnsi="宋体" w:eastAsia="宋体" w:cs="宋体"/>
          <w:sz w:val="24"/>
          <w:szCs w:val="24"/>
          <w:lang w:val="en-US" w:eastAsia="zh-CN"/>
        </w:rPr>
      </w:pPr>
    </w:p>
    <w:p w14:paraId="62BF0732">
      <w:pPr>
        <w:rPr>
          <w:rFonts w:hint="eastAsia" w:ascii="宋体" w:hAnsi="宋体" w:eastAsia="宋体" w:cs="宋体"/>
          <w:lang w:val="en-US" w:eastAsia="zh-CN"/>
        </w:rPr>
      </w:pPr>
      <w:r>
        <w:rPr>
          <w:rFonts w:hint="eastAsia" w:ascii="宋体" w:hAnsi="宋体" w:eastAsia="宋体" w:cs="宋体"/>
          <w:lang w:val="en-US" w:eastAsia="zh-CN"/>
        </w:rPr>
        <w:drawing>
          <wp:inline distT="0" distB="0" distL="114300" distR="114300">
            <wp:extent cx="5264785" cy="3947160"/>
            <wp:effectExtent l="0" t="0" r="8255" b="0"/>
            <wp:docPr id="3" name="图片 3" descr="6f810d59968effbea9854655b2581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6f810d59968effbea9854655b2581c2"/>
                    <pic:cNvPicPr>
                      <a:picLocks noChangeAspect="1"/>
                    </pic:cNvPicPr>
                  </pic:nvPicPr>
                  <pic:blipFill>
                    <a:blip r:embed="rId8"/>
                    <a:stretch>
                      <a:fillRect/>
                    </a:stretch>
                  </pic:blipFill>
                  <pic:spPr>
                    <a:xfrm>
                      <a:off x="0" y="0"/>
                      <a:ext cx="5264785" cy="3947160"/>
                    </a:xfrm>
                    <a:prstGeom prst="rect">
                      <a:avLst/>
                    </a:prstGeom>
                  </pic:spPr>
                </pic:pic>
              </a:graphicData>
            </a:graphic>
          </wp:inline>
        </w:drawing>
      </w:r>
    </w:p>
    <w:p w14:paraId="59EF711A">
      <w:pPr>
        <w:rPr>
          <w:rFonts w:hint="eastAsia" w:ascii="宋体" w:hAnsi="宋体" w:eastAsia="宋体" w:cs="宋体"/>
          <w:lang w:val="en-US" w:eastAsia="zh-CN"/>
        </w:rPr>
      </w:pPr>
    </w:p>
    <w:p w14:paraId="7B1340CD">
      <w:pPr>
        <w:rPr>
          <w:rFonts w:hint="eastAsia" w:ascii="宋体" w:hAnsi="宋体" w:eastAsia="宋体" w:cs="宋体"/>
          <w:lang w:val="en-US" w:eastAsia="zh-CN"/>
        </w:rPr>
      </w:pPr>
    </w:p>
    <w:p w14:paraId="0B7FF175">
      <w:pPr>
        <w:rPr>
          <w:rFonts w:hint="eastAsia" w:ascii="宋体" w:hAnsi="宋体" w:eastAsia="宋体" w:cs="宋体"/>
          <w:lang w:val="en-US" w:eastAsia="zh-CN"/>
        </w:rPr>
      </w:pPr>
      <w:r>
        <w:rPr>
          <w:rFonts w:hint="eastAsia" w:ascii="宋体" w:hAnsi="宋体" w:eastAsia="宋体" w:cs="宋体"/>
          <w:lang w:val="en-US" w:eastAsia="zh-CN"/>
        </w:rPr>
        <w:br w:type="page"/>
      </w:r>
    </w:p>
    <w:p w14:paraId="1B6F7D45">
      <w:pPr>
        <w:rPr>
          <w:rFonts w:hint="eastAsia"/>
          <w:b/>
          <w:bCs/>
          <w:lang w:val="en-US" w:eastAsia="zh-CN"/>
        </w:rPr>
      </w:pPr>
      <w:r>
        <w:rPr>
          <w:rFonts w:hint="eastAsia"/>
          <w:b/>
          <w:bCs/>
          <w:lang w:val="en-US" w:eastAsia="zh-CN"/>
        </w:rPr>
        <w:t>课桌椅布置图：</w:t>
      </w:r>
    </w:p>
    <w:p w14:paraId="5AB1D5ED">
      <w:pPr>
        <w:rPr>
          <w:rFonts w:hint="default"/>
          <w:b/>
          <w:bCs/>
          <w:lang w:val="en-US" w:eastAsia="zh-CN"/>
        </w:rPr>
      </w:pPr>
      <w:r>
        <w:rPr>
          <w:rFonts w:hint="eastAsia"/>
          <w:b/>
          <w:bCs/>
          <w:lang w:val="en-US" w:eastAsia="zh-CN"/>
        </w:rPr>
        <w:t>一、102教室（阶梯教室）</w:t>
      </w:r>
    </w:p>
    <w:p w14:paraId="4633C91B">
      <w:r>
        <w:drawing>
          <wp:inline distT="0" distB="0" distL="114300" distR="114300">
            <wp:extent cx="5271770" cy="6607175"/>
            <wp:effectExtent l="0" t="0" r="1270" b="6985"/>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9"/>
                    <a:stretch>
                      <a:fillRect/>
                    </a:stretch>
                  </pic:blipFill>
                  <pic:spPr>
                    <a:xfrm>
                      <a:off x="0" y="0"/>
                      <a:ext cx="5271770" cy="6607175"/>
                    </a:xfrm>
                    <a:prstGeom prst="rect">
                      <a:avLst/>
                    </a:prstGeom>
                    <a:noFill/>
                    <a:ln>
                      <a:noFill/>
                    </a:ln>
                  </pic:spPr>
                </pic:pic>
              </a:graphicData>
            </a:graphic>
          </wp:inline>
        </w:drawing>
      </w:r>
    </w:p>
    <w:p w14:paraId="63521752"/>
    <w:p w14:paraId="470F6A46">
      <w:pPr>
        <w:rPr>
          <w:rFonts w:hint="eastAsia"/>
          <w:lang w:val="en-US" w:eastAsia="zh-CN"/>
        </w:rPr>
      </w:pPr>
      <w:r>
        <w:drawing>
          <wp:inline distT="0" distB="0" distL="114300" distR="114300">
            <wp:extent cx="2741295" cy="982980"/>
            <wp:effectExtent l="0" t="0" r="1905" b="762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0"/>
                    <a:stretch>
                      <a:fillRect/>
                    </a:stretch>
                  </pic:blipFill>
                  <pic:spPr>
                    <a:xfrm>
                      <a:off x="0" y="0"/>
                      <a:ext cx="2741295" cy="982980"/>
                    </a:xfrm>
                    <a:prstGeom prst="rect">
                      <a:avLst/>
                    </a:prstGeom>
                    <a:noFill/>
                    <a:ln>
                      <a:noFill/>
                    </a:ln>
                  </pic:spPr>
                </pic:pic>
              </a:graphicData>
            </a:graphic>
          </wp:inline>
        </w:drawing>
      </w:r>
    </w:p>
    <w:p w14:paraId="61EC7FB8">
      <w:pPr>
        <w:rPr>
          <w:rFonts w:hint="eastAsia"/>
          <w:lang w:val="en-US" w:eastAsia="zh-CN"/>
        </w:rPr>
      </w:pPr>
      <w:r>
        <w:rPr>
          <w:rFonts w:hint="eastAsia"/>
          <w:lang w:val="en-US" w:eastAsia="zh-CN"/>
        </w:rPr>
        <w:t>备注：前面一排平面，后面两排平面，中间6排阶梯，共计9排。</w:t>
      </w:r>
    </w:p>
    <w:p w14:paraId="17703235">
      <w:pPr>
        <w:rPr>
          <w:rFonts w:hint="default"/>
          <w:lang w:val="en-US" w:eastAsia="zh-CN"/>
        </w:rPr>
      </w:pPr>
      <w:r>
        <w:rPr>
          <w:rFonts w:hint="eastAsia"/>
          <w:lang w:val="en-US" w:eastAsia="zh-CN"/>
        </w:rPr>
        <w:t>数量：12位x9排=108位</w:t>
      </w:r>
    </w:p>
    <w:p w14:paraId="1A2A8AF6">
      <w:pPr>
        <w:rPr>
          <w:rFonts w:hint="eastAsia"/>
          <w:b/>
          <w:bCs/>
          <w:lang w:val="en-US" w:eastAsia="zh-CN"/>
        </w:rPr>
      </w:pPr>
      <w:r>
        <w:rPr>
          <w:rFonts w:hint="eastAsia"/>
          <w:b/>
          <w:bCs/>
          <w:lang w:val="en-US" w:eastAsia="zh-CN"/>
        </w:rPr>
        <w:br w:type="page"/>
      </w:r>
    </w:p>
    <w:p w14:paraId="4575310D">
      <w:pPr>
        <w:rPr>
          <w:rFonts w:hint="default"/>
          <w:b/>
          <w:bCs/>
          <w:lang w:val="en-US" w:eastAsia="zh-CN"/>
        </w:rPr>
      </w:pPr>
      <w:r>
        <w:rPr>
          <w:rFonts w:hint="eastAsia"/>
          <w:b/>
          <w:bCs/>
          <w:lang w:val="en-US" w:eastAsia="zh-CN"/>
        </w:rPr>
        <w:t>二、109教室（阶梯教室）</w:t>
      </w:r>
    </w:p>
    <w:p w14:paraId="7D1B7F50">
      <w:r>
        <w:drawing>
          <wp:inline distT="0" distB="0" distL="114300" distR="114300">
            <wp:extent cx="4923790" cy="7175500"/>
            <wp:effectExtent l="0" t="0" r="13970" b="2540"/>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11"/>
                    <a:stretch>
                      <a:fillRect/>
                    </a:stretch>
                  </pic:blipFill>
                  <pic:spPr>
                    <a:xfrm>
                      <a:off x="0" y="0"/>
                      <a:ext cx="4923790" cy="7175500"/>
                    </a:xfrm>
                    <a:prstGeom prst="rect">
                      <a:avLst/>
                    </a:prstGeom>
                    <a:noFill/>
                    <a:ln>
                      <a:noFill/>
                    </a:ln>
                  </pic:spPr>
                </pic:pic>
              </a:graphicData>
            </a:graphic>
          </wp:inline>
        </w:drawing>
      </w:r>
    </w:p>
    <w:p w14:paraId="7B8DA8BA">
      <w:pPr>
        <w:rPr>
          <w:rFonts w:hint="eastAsia"/>
          <w:lang w:val="en-US" w:eastAsia="zh-CN"/>
        </w:rPr>
      </w:pPr>
      <w:r>
        <w:drawing>
          <wp:inline distT="0" distB="0" distL="114300" distR="114300">
            <wp:extent cx="2332990" cy="589280"/>
            <wp:effectExtent l="0" t="0" r="13970" b="5080"/>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12"/>
                    <a:stretch>
                      <a:fillRect/>
                    </a:stretch>
                  </pic:blipFill>
                  <pic:spPr>
                    <a:xfrm>
                      <a:off x="0" y="0"/>
                      <a:ext cx="2332990" cy="589280"/>
                    </a:xfrm>
                    <a:prstGeom prst="rect">
                      <a:avLst/>
                    </a:prstGeom>
                    <a:noFill/>
                    <a:ln>
                      <a:noFill/>
                    </a:ln>
                  </pic:spPr>
                </pic:pic>
              </a:graphicData>
            </a:graphic>
          </wp:inline>
        </w:drawing>
      </w:r>
    </w:p>
    <w:p w14:paraId="1ECB6E2E">
      <w:pPr>
        <w:rPr>
          <w:rFonts w:hint="eastAsia"/>
          <w:lang w:val="en-US" w:eastAsia="zh-CN"/>
        </w:rPr>
      </w:pPr>
    </w:p>
    <w:p w14:paraId="00530F3B">
      <w:pPr>
        <w:rPr>
          <w:rFonts w:hint="eastAsia"/>
          <w:lang w:val="en-US" w:eastAsia="zh-CN"/>
        </w:rPr>
      </w:pPr>
      <w:r>
        <w:rPr>
          <w:rFonts w:hint="eastAsia"/>
          <w:lang w:val="en-US" w:eastAsia="zh-CN"/>
        </w:rPr>
        <w:t>备注：后面两排平面，其余9排阶梯，合计11排。</w:t>
      </w:r>
    </w:p>
    <w:p w14:paraId="61DC9755">
      <w:pPr>
        <w:rPr>
          <w:rFonts w:hint="default"/>
          <w:lang w:val="en-US" w:eastAsia="zh-CN"/>
        </w:rPr>
      </w:pPr>
      <w:r>
        <w:rPr>
          <w:rFonts w:hint="eastAsia"/>
          <w:lang w:val="en-US" w:eastAsia="zh-CN"/>
        </w:rPr>
        <w:t>数量：两边：6位x11排=66位，中间：6位x10排=60位   合计：126位</w:t>
      </w:r>
    </w:p>
    <w:p w14:paraId="48B50369">
      <w:pPr>
        <w:rPr>
          <w:rFonts w:hint="eastAsia" w:cstheme="minorBidi"/>
          <w:b/>
          <w:bCs/>
          <w:kern w:val="2"/>
          <w:sz w:val="21"/>
          <w:szCs w:val="24"/>
          <w:lang w:val="en-US" w:eastAsia="zh-CN" w:bidi="ar-SA"/>
        </w:rPr>
      </w:pPr>
      <w:r>
        <w:rPr>
          <w:rFonts w:hint="eastAsia" w:cstheme="minorBidi"/>
          <w:b/>
          <w:bCs/>
          <w:kern w:val="2"/>
          <w:sz w:val="21"/>
          <w:szCs w:val="24"/>
          <w:lang w:val="en-US" w:eastAsia="zh-CN" w:bidi="ar-SA"/>
        </w:rPr>
        <w:br w:type="page"/>
      </w:r>
    </w:p>
    <w:p w14:paraId="09B2F702">
      <w:pPr>
        <w:numPr>
          <w:ilvl w:val="0"/>
          <w:numId w:val="0"/>
        </w:numPr>
        <w:ind w:left="0" w:leftChars="0" w:firstLine="0" w:firstLineChars="0"/>
        <w:rPr>
          <w:rFonts w:hint="eastAsia" w:cstheme="minorBidi"/>
          <w:b/>
          <w:bCs/>
          <w:kern w:val="2"/>
          <w:sz w:val="21"/>
          <w:szCs w:val="24"/>
          <w:lang w:val="en-US" w:eastAsia="zh-CN" w:bidi="ar-SA"/>
        </w:rPr>
      </w:pPr>
      <w:r>
        <w:rPr>
          <w:rFonts w:hint="eastAsia" w:cstheme="minorBidi"/>
          <w:b/>
          <w:bCs/>
          <w:kern w:val="2"/>
          <w:sz w:val="21"/>
          <w:szCs w:val="24"/>
          <w:lang w:val="en-US" w:eastAsia="zh-CN" w:bidi="ar-SA"/>
        </w:rPr>
        <w:t>三、209、309、409、509、609教室</w:t>
      </w:r>
    </w:p>
    <w:p w14:paraId="2F3D1717">
      <w:pPr>
        <w:numPr>
          <w:ilvl w:val="0"/>
          <w:numId w:val="0"/>
        </w:numPr>
        <w:ind w:left="0" w:leftChars="0" w:firstLine="0" w:firstLineChars="0"/>
      </w:pPr>
      <w:r>
        <w:drawing>
          <wp:inline distT="0" distB="0" distL="114300" distR="114300">
            <wp:extent cx="5034280" cy="7781925"/>
            <wp:effectExtent l="0" t="0" r="10160" b="5715"/>
            <wp:docPr id="1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pic:cNvPicPr>
                      <a:picLocks noChangeAspect="1"/>
                    </pic:cNvPicPr>
                  </pic:nvPicPr>
                  <pic:blipFill>
                    <a:blip r:embed="rId13"/>
                    <a:stretch>
                      <a:fillRect/>
                    </a:stretch>
                  </pic:blipFill>
                  <pic:spPr>
                    <a:xfrm>
                      <a:off x="0" y="0"/>
                      <a:ext cx="5034280" cy="7781925"/>
                    </a:xfrm>
                    <a:prstGeom prst="rect">
                      <a:avLst/>
                    </a:prstGeom>
                    <a:noFill/>
                    <a:ln>
                      <a:noFill/>
                    </a:ln>
                  </pic:spPr>
                </pic:pic>
              </a:graphicData>
            </a:graphic>
          </wp:inline>
        </w:drawing>
      </w:r>
    </w:p>
    <w:p w14:paraId="2052A1AE">
      <w:pPr>
        <w:numPr>
          <w:ilvl w:val="0"/>
          <w:numId w:val="0"/>
        </w:numPr>
        <w:ind w:left="0" w:leftChars="0" w:firstLine="0" w:firstLineChars="0"/>
        <w:rPr>
          <w:rFonts w:hint="default"/>
          <w:lang w:val="en-US" w:eastAsia="zh-CN"/>
        </w:rPr>
      </w:pPr>
      <w:r>
        <w:rPr>
          <w:rFonts w:hint="eastAsia"/>
          <w:lang w:val="en-US" w:eastAsia="zh-CN"/>
        </w:rPr>
        <w:t>备注：12位x11排=132位（如需增加课桌椅，可每间教室增加9位）</w:t>
      </w:r>
    </w:p>
    <w:p w14:paraId="265E607B">
      <w:pPr>
        <w:numPr>
          <w:ilvl w:val="0"/>
          <w:numId w:val="0"/>
        </w:numPr>
        <w:ind w:left="0" w:leftChars="0" w:firstLine="0" w:firstLineChars="0"/>
        <w:rPr>
          <w:rFonts w:hint="eastAsia"/>
          <w:lang w:val="en-US" w:eastAsia="zh-CN"/>
        </w:rPr>
      </w:pPr>
      <w:r>
        <w:rPr>
          <w:rFonts w:hint="eastAsia"/>
          <w:lang w:val="en-US" w:eastAsia="zh-CN"/>
        </w:rPr>
        <w:t>132位x5间教室=660位。</w:t>
      </w:r>
    </w:p>
    <w:p w14:paraId="37082026">
      <w:pPr>
        <w:numPr>
          <w:ilvl w:val="0"/>
          <w:numId w:val="0"/>
        </w:numPr>
        <w:ind w:left="0" w:leftChars="0" w:firstLine="0" w:firstLineChars="0"/>
        <w:rPr>
          <w:rFonts w:hint="eastAsia"/>
          <w:lang w:val="en-US" w:eastAsia="zh-CN"/>
        </w:rPr>
      </w:pPr>
      <w:r>
        <w:rPr>
          <w:rFonts w:hint="eastAsia"/>
          <w:lang w:val="en-US" w:eastAsia="zh-CN"/>
        </w:rPr>
        <w:t>可增加：9位x5间教室=45位（暂不增加）</w:t>
      </w:r>
    </w:p>
    <w:p w14:paraId="12F4DA42">
      <w:pPr>
        <w:numPr>
          <w:ilvl w:val="0"/>
          <w:numId w:val="0"/>
        </w:numPr>
        <w:ind w:left="0" w:leftChars="0" w:firstLine="0" w:firstLineChars="0"/>
        <w:rPr>
          <w:rFonts w:hint="eastAsia"/>
          <w:lang w:val="en-US" w:eastAsia="zh-CN"/>
        </w:rPr>
      </w:pPr>
    </w:p>
    <w:p w14:paraId="1958848E">
      <w:pPr>
        <w:rPr>
          <w:rFonts w:hint="eastAsia"/>
          <w:b/>
          <w:bCs/>
          <w:lang w:val="en-US" w:eastAsia="zh-CN"/>
        </w:rPr>
      </w:pPr>
      <w:r>
        <w:rPr>
          <w:rFonts w:hint="eastAsia"/>
          <w:b/>
          <w:bCs/>
          <w:lang w:val="en-US" w:eastAsia="zh-CN"/>
        </w:rPr>
        <w:br w:type="page"/>
      </w:r>
    </w:p>
    <w:p w14:paraId="5FDA5843">
      <w:pPr>
        <w:numPr>
          <w:ilvl w:val="0"/>
          <w:numId w:val="0"/>
        </w:numPr>
        <w:ind w:left="0" w:leftChars="0" w:firstLine="0" w:firstLineChars="0"/>
        <w:rPr>
          <w:rFonts w:hint="default"/>
          <w:b/>
          <w:bCs/>
          <w:lang w:val="en-US" w:eastAsia="zh-CN"/>
        </w:rPr>
      </w:pPr>
      <w:r>
        <w:rPr>
          <w:rFonts w:hint="eastAsia"/>
          <w:b/>
          <w:bCs/>
          <w:lang w:val="en-US" w:eastAsia="zh-CN"/>
        </w:rPr>
        <w:t>四、308、505、507、508教室</w:t>
      </w:r>
    </w:p>
    <w:p w14:paraId="67BC9EBF">
      <w:pPr>
        <w:numPr>
          <w:ilvl w:val="0"/>
          <w:numId w:val="0"/>
        </w:numPr>
        <w:ind w:left="0" w:leftChars="0" w:firstLine="0" w:firstLineChars="0"/>
        <w:rPr>
          <w:rFonts w:hint="eastAsia"/>
          <w:lang w:val="en-US" w:eastAsia="zh-CN"/>
        </w:rPr>
      </w:pPr>
    </w:p>
    <w:p w14:paraId="18FA5777">
      <w:pPr>
        <w:numPr>
          <w:ilvl w:val="0"/>
          <w:numId w:val="0"/>
        </w:numPr>
        <w:ind w:left="0" w:leftChars="0" w:firstLine="0" w:firstLineChars="0"/>
        <w:rPr>
          <w:rFonts w:hint="default"/>
          <w:lang w:val="en-US" w:eastAsia="zh-CN"/>
        </w:rPr>
      </w:pPr>
      <w:r>
        <w:drawing>
          <wp:inline distT="0" distB="0" distL="114300" distR="114300">
            <wp:extent cx="5039995" cy="7132955"/>
            <wp:effectExtent l="0" t="0" r="4445" b="14605"/>
            <wp:docPr id="1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6"/>
                    <pic:cNvPicPr>
                      <a:picLocks noChangeAspect="1"/>
                    </pic:cNvPicPr>
                  </pic:nvPicPr>
                  <pic:blipFill>
                    <a:blip r:embed="rId14"/>
                    <a:stretch>
                      <a:fillRect/>
                    </a:stretch>
                  </pic:blipFill>
                  <pic:spPr>
                    <a:xfrm>
                      <a:off x="0" y="0"/>
                      <a:ext cx="5039995" cy="7132955"/>
                    </a:xfrm>
                    <a:prstGeom prst="rect">
                      <a:avLst/>
                    </a:prstGeom>
                    <a:noFill/>
                    <a:ln>
                      <a:noFill/>
                    </a:ln>
                  </pic:spPr>
                </pic:pic>
              </a:graphicData>
            </a:graphic>
          </wp:inline>
        </w:drawing>
      </w:r>
    </w:p>
    <w:p w14:paraId="4E654C71">
      <w:pPr>
        <w:numPr>
          <w:ilvl w:val="0"/>
          <w:numId w:val="0"/>
        </w:numPr>
        <w:ind w:leftChars="0"/>
        <w:rPr>
          <w:rFonts w:hint="eastAsia"/>
          <w:lang w:val="en-US" w:eastAsia="zh-CN"/>
        </w:rPr>
      </w:pPr>
    </w:p>
    <w:p w14:paraId="11106221">
      <w:pPr>
        <w:numPr>
          <w:ilvl w:val="0"/>
          <w:numId w:val="0"/>
        </w:numPr>
        <w:ind w:leftChars="0"/>
        <w:rPr>
          <w:rFonts w:hint="eastAsia"/>
          <w:lang w:val="en-US" w:eastAsia="zh-CN"/>
        </w:rPr>
      </w:pPr>
    </w:p>
    <w:p w14:paraId="65FF8C0A">
      <w:pPr>
        <w:numPr>
          <w:ilvl w:val="0"/>
          <w:numId w:val="0"/>
        </w:numPr>
        <w:ind w:leftChars="0"/>
        <w:rPr>
          <w:rFonts w:hint="default"/>
          <w:lang w:val="en-US" w:eastAsia="zh-CN"/>
        </w:rPr>
      </w:pPr>
      <w:r>
        <w:rPr>
          <w:rFonts w:hint="eastAsia"/>
          <w:lang w:val="en-US" w:eastAsia="zh-CN"/>
        </w:rPr>
        <w:t>备注：2位x8排=16位，4位x9排=36位，3位x9排=27位。合计：79位</w:t>
      </w:r>
    </w:p>
    <w:p w14:paraId="4F03E9BF">
      <w:pPr>
        <w:numPr>
          <w:ilvl w:val="0"/>
          <w:numId w:val="0"/>
        </w:numPr>
        <w:ind w:leftChars="0"/>
        <w:rPr>
          <w:rFonts w:hint="default"/>
          <w:lang w:val="en-US" w:eastAsia="zh-CN"/>
        </w:rPr>
      </w:pPr>
      <w:r>
        <w:rPr>
          <w:rFonts w:hint="eastAsia"/>
          <w:lang w:val="en-US" w:eastAsia="zh-CN"/>
        </w:rPr>
        <w:t xml:space="preserve">     79位x4间教室=316位</w:t>
      </w:r>
    </w:p>
    <w:p w14:paraId="138E6D3A">
      <w:pPr>
        <w:rPr>
          <w:rFonts w:hint="eastAsia" w:asciiTheme="minorEastAsia" w:hAnsiTheme="minorEastAsia"/>
          <w:b/>
          <w:bCs/>
          <w:sz w:val="28"/>
          <w:szCs w:val="28"/>
          <w:lang w:val="en-US" w:eastAsia="zh-CN"/>
        </w:rPr>
      </w:pPr>
      <w:r>
        <w:rPr>
          <w:rFonts w:hint="eastAsia" w:asciiTheme="minorEastAsia" w:hAnsiTheme="minorEastAsia"/>
          <w:b/>
          <w:bCs/>
          <w:sz w:val="28"/>
          <w:szCs w:val="28"/>
          <w:lang w:val="en-US" w:eastAsia="zh-CN"/>
        </w:rPr>
        <w:br w:type="page"/>
      </w:r>
    </w:p>
    <w:p w14:paraId="76D63472">
      <w:pPr>
        <w:rPr>
          <w:rFonts w:hint="eastAsia" w:asciiTheme="minorEastAsia" w:hAnsiTheme="minorEastAsia"/>
          <w:b/>
          <w:bCs/>
          <w:sz w:val="28"/>
          <w:szCs w:val="28"/>
          <w:lang w:val="en-US" w:eastAsia="zh-CN"/>
        </w:rPr>
      </w:pPr>
      <w:r>
        <w:rPr>
          <w:rFonts w:hint="eastAsia" w:asciiTheme="minorEastAsia" w:hAnsiTheme="minorEastAsia"/>
          <w:b/>
          <w:bCs/>
          <w:sz w:val="28"/>
          <w:szCs w:val="28"/>
          <w:lang w:val="en-US" w:eastAsia="zh-CN"/>
        </w:rPr>
        <w:t>五、401、501教室</w:t>
      </w:r>
    </w:p>
    <w:p w14:paraId="5534ACE8">
      <w:r>
        <w:drawing>
          <wp:inline distT="0" distB="0" distL="114300" distR="114300">
            <wp:extent cx="5172075" cy="7501890"/>
            <wp:effectExtent l="0" t="0" r="9525" b="11430"/>
            <wp:docPr id="1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
                    <pic:cNvPicPr>
                      <a:picLocks noChangeAspect="1"/>
                    </pic:cNvPicPr>
                  </pic:nvPicPr>
                  <pic:blipFill>
                    <a:blip r:embed="rId15"/>
                    <a:stretch>
                      <a:fillRect/>
                    </a:stretch>
                  </pic:blipFill>
                  <pic:spPr>
                    <a:xfrm>
                      <a:off x="0" y="0"/>
                      <a:ext cx="5172075" cy="7501890"/>
                    </a:xfrm>
                    <a:prstGeom prst="rect">
                      <a:avLst/>
                    </a:prstGeom>
                    <a:noFill/>
                    <a:ln>
                      <a:noFill/>
                    </a:ln>
                  </pic:spPr>
                </pic:pic>
              </a:graphicData>
            </a:graphic>
          </wp:inline>
        </w:drawing>
      </w:r>
    </w:p>
    <w:p w14:paraId="5D5E2273">
      <w:pPr>
        <w:rPr>
          <w:rFonts w:hint="default"/>
          <w:lang w:val="en-US" w:eastAsia="zh-CN"/>
        </w:rPr>
      </w:pPr>
      <w:r>
        <w:rPr>
          <w:rFonts w:hint="eastAsia"/>
          <w:lang w:val="en-US" w:eastAsia="zh-CN"/>
        </w:rPr>
        <w:t>备注：10位x9排=90位（如需增加课桌椅，可每间教室增加7位）</w:t>
      </w:r>
    </w:p>
    <w:p w14:paraId="007832F3">
      <w:pPr>
        <w:rPr>
          <w:rFonts w:hint="default"/>
          <w:lang w:val="en-US" w:eastAsia="zh-CN"/>
        </w:rPr>
      </w:pPr>
      <w:r>
        <w:rPr>
          <w:rFonts w:hint="eastAsia"/>
          <w:lang w:val="en-US" w:eastAsia="zh-CN"/>
        </w:rPr>
        <w:t>90位x2间=180位</w:t>
      </w:r>
    </w:p>
    <w:p w14:paraId="7B70BEBC">
      <w:pPr>
        <w:rPr>
          <w:rFonts w:hint="default"/>
          <w:lang w:val="en-US" w:eastAsia="zh-CN"/>
        </w:rPr>
      </w:pPr>
      <w:r>
        <w:rPr>
          <w:rFonts w:hint="eastAsia"/>
          <w:lang w:val="en-US" w:eastAsia="zh-CN"/>
        </w:rPr>
        <w:t>可增加7位x2间=14位（暂不增加）</w:t>
      </w:r>
    </w:p>
    <w:p w14:paraId="311B702C">
      <w:pPr>
        <w:rPr>
          <w:rFonts w:hint="eastAsia" w:ascii="宋体" w:hAnsi="宋体" w:eastAsia="宋体" w:cs="宋体"/>
        </w:rPr>
      </w:pPr>
    </w:p>
    <w:p w14:paraId="3BC3B12D"/>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2D686">
    <w:pPr>
      <w:pStyle w:val="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33C56">
    <w:pPr>
      <w:pStyle w:val="2"/>
      <w:spacing w:line="46"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3F3E83"/>
    <w:multiLevelType w:val="singleLevel"/>
    <w:tmpl w:val="643F3E8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5139FF"/>
    <w:rsid w:val="12DE165D"/>
    <w:rsid w:val="1E5139FF"/>
    <w:rsid w:val="696E7E1D"/>
    <w:rsid w:val="7E3145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table" w:styleId="5">
    <w:name w:val="Table Grid"/>
    <w:basedOn w:val="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5119</Words>
  <Characters>5684</Characters>
  <Lines>0</Lines>
  <Paragraphs>0</Paragraphs>
  <TotalTime>35</TotalTime>
  <ScaleCrop>false</ScaleCrop>
  <LinksUpToDate>false</LinksUpToDate>
  <CharactersWithSpaces>5737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2025-01-13T01:47:00Z</dcterms:created>
  <dc:creator>Mya</dc:creator>
  <cp:lastModifiedBy>强哥</cp:lastModifiedBy>
  <dcterms:modified xsi:type="dcterms:W3CDTF">2025-01-18T01:41:53Z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E1D5453F05E64D33B049EEEA725F2E96_11</vt:lpwstr>
  </property>
  <property fmtid="{D5CDD505-2E9C-101B-9397-08002B2CF9AE}" pid="4" name="KSOTemplateDocerSaveRecord">
    <vt:lpwstr>eyJoZGlkIjoiMjcyN2I4ZDRiMmU3NDVmYzExMTU0M2Y0ZDI1YzIyNzMiLCJ1c2VySWQiOiIzMTg0OTg3NzgifQ==</vt:lpwstr>
  </property>
</Properties>
</file>