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E3216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采购需求表</w:t>
      </w:r>
    </w:p>
    <w:p w14:paraId="6916B7B6">
      <w:pPr>
        <w:numPr>
          <w:ilvl w:val="0"/>
          <w:numId w:val="1"/>
        </w:numPr>
        <w:spacing w:line="560" w:lineRule="exact"/>
        <w:rPr>
          <w:rFonts w:hint="eastAsia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品目及技术需求</w:t>
      </w:r>
    </w:p>
    <w:tbl>
      <w:tblPr>
        <w:tblStyle w:val="12"/>
        <w:tblpPr w:leftFromText="180" w:rightFromText="180" w:vertAnchor="text" w:horzAnchor="page" w:tblpX="1735" w:tblpY="610"/>
        <w:tblOverlap w:val="never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970"/>
        <w:gridCol w:w="825"/>
        <w:gridCol w:w="960"/>
        <w:gridCol w:w="960"/>
      </w:tblGrid>
      <w:tr w14:paraId="3446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29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5E26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参数要求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A70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A22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控制金额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(万元)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A1B5"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建议品牌</w:t>
            </w:r>
          </w:p>
        </w:tc>
      </w:tr>
      <w:tr w14:paraId="2267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234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钢木实验台</w:t>
            </w:r>
          </w:p>
          <w:p w14:paraId="5A5B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C2C8450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长*宽*高（MM）4500*1400*750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05657EE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5B17CDBE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4B3305A3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6CFFA904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193391BE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4B696139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3A65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1453ABC5">
            <w:pPr>
              <w:ind w:firstLine="211" w:firstLineChars="10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8AB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9F287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5.94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8CA2E"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48E3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7D8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钢木实验台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22E8F06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长*宽*高（MM）1300*700*750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53C017E3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712777B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00BFF0E2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40CB897F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4FCB9841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6096C112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0F98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733591C7">
            <w:pPr>
              <w:ind w:firstLine="211" w:firstLineChars="10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211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F217C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0.312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14FE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50AD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A79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钢木实验台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44B6E0D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长*宽*高（MM）1800*700*750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07D94E1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399B5387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16621054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096138D6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465526E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774F8658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2200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09139AE3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472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E4039C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0.432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EEE7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2654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894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钢木实验台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44F319B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长*宽*高（MM）800*700*750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62CCB9D5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489EBDF1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6260419F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135973B2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19E3AC7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4D1E0868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6CBF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7D3B7A89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AC8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D3F9C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0.096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ADBD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232B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921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钢木实验台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BA20895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长*宽*高（MM）2000*700*750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F6E7755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水、抗细菌生长、不含任何有毒物质，无辐射；</w:t>
            </w:r>
          </w:p>
          <w:p w14:paraId="06F69DAF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20347806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1BE009A5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535B3E4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576E328D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0D31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7ACE17A7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171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C33B92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0.24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A515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0BE6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968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实验室水槽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6188E03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台面尺寸：长*宽*高（MM）1200*700*750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9FA5BD8">
            <w:pPr>
              <w:pStyle w:val="2"/>
              <w:ind w:left="0" w:leftChars="0" w:firstLine="211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水槽尺寸：长*宽*深（MM）800*450*310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23DDB54">
            <w:pPr>
              <w:pStyle w:val="2"/>
              <w:ind w:left="0" w:leftChars="0"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水槽采用高密度PP新料注塑成型，耐腐蚀、耐酸碱和有机物，如王水等； 稳定性强，并具弹性、韧性，不易老化耐划。厚度：根据强度要求设计厚度为5mm-8mm.溢水管：新款溢水管与水盆一体注塑成型，防止废水溢出水盆及台面，保障是实验室的安全性。附件：高密度PP去水；含阻水盖、PP提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 w14:paraId="1D1E58E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水龙头采用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三个独立控制的阀门和三个出水口，出水嘴设计为可以插皮管的尖嘴型，直管：采用ø26*1.2 mm管径的H63铜管制造。臂管：采用ø22*1.2mm 管径的H63铜管制造。鹅颈弯管：采ø19*1.0mm管径的H63铜管制造，可360°旋转。涂层: 高亮度环氧树脂涂层,耐腐蚀、耐热,防紫外线辐射陶瓷阀芯: 90°旋转,使用寿命开关50万次,静态最大耐压10 bar，符合GB18145-2014标开关旋钮: 高密度PP,人体工学设计,手感舒适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2E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3D25C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1.728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B2658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7A46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9F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实验台中岛五孔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CBB0613">
            <w:pPr>
              <w:ind w:firstLine="207" w:firstLineChars="10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86型10A五孔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CE74BF8">
            <w:pPr>
              <w:ind w:firstLine="207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底盒采用PP材质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9F3A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3AD54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6DC83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公牛/西门子</w:t>
            </w:r>
          </w:p>
        </w:tc>
      </w:tr>
      <w:tr w14:paraId="1CA7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50B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理化实验台面</w:t>
            </w:r>
          </w:p>
        </w:tc>
        <w:tc>
          <w:tcPr>
            <w:tcW w:w="5970" w:type="dxa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75C88FC">
            <w:pPr>
              <w:ind w:firstLine="211" w:firstLineChars="1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长*宽（MM）800*700</w:t>
            </w:r>
          </w:p>
          <w:p w14:paraId="0EA8F30D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0C5DE84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7C62D13E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5EF9AB63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34657DC2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39AB470B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71247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5D79E4BE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台面板品牌厂家需通过ISO9001:2015、ISO14001: 2015、ISO45001：2018 体系认证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4319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C00B12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656</w:t>
            </w: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A1B0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  <w:tr w14:paraId="5469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3054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理化实验台面</w:t>
            </w:r>
          </w:p>
        </w:tc>
        <w:tc>
          <w:tcPr>
            <w:tcW w:w="5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66740848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长*宽（MM）500*220</w:t>
            </w:r>
          </w:p>
          <w:p w14:paraId="788FE006">
            <w:pPr>
              <w:ind w:firstLine="211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台面采用≥12.7mm 实芯理化板，四周加边至≥25.4mm。具有耐腐蚀、耐各种强酸碱和有机溶剂的侵蚀，有韧性、耐冲击、耐高温、防水、抗细菌生长、不含任何有毒物质，无辐射；</w:t>
            </w:r>
          </w:p>
          <w:p w14:paraId="4141AE58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台面化学性能指标达到“GB/T 17657-2013”检测标准，满足 50 项化学试 剂测试要求，测试结果均为表面无明显变化，等级为 5 级。50 项化学试剂测试  要求中，化学试剂至少包含并逐一对应满足以下：37%盐酸；65%硝酸；85%磷酸；40%氢氧化钠；</w:t>
            </w:r>
          </w:p>
          <w:p w14:paraId="551DD0CF"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台面甲醛含量≤0.015mg/m³（GB18580-2017 标准）； 提供权威检测机构按 GB18580-2017 标准进行检测的检测报告；</w:t>
            </w:r>
          </w:p>
          <w:p w14:paraId="15F5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台面板依据“GB/T 17657-2013”检测方法， “密度”检测结果需 ≥1.54g/cm³，且面板握钉力≥3420N；提供权威检测机构按照“GB/T 17657-2013” 标准进行检测的检测报告；</w:t>
            </w:r>
          </w:p>
          <w:p w14:paraId="31F7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台面物理性指标达到 GB/T7911-2013 检测标准： 耐磨性能不低于 1100r、 耐沸水 5 级、耐干热 5 级、耐香烟灼伤 5 级无变化、耐光色牢度5级、耐水蒸气 5 级、耐龟裂 5 级、耐湿热 5 级、抗冲击性能表面无破损、抗拉强度测试结果： ≥120 Mpa，弯曲强度≥150 Mpa，弯曲弹性模量≥12200 Mpa；提供权威检测机构按 GB/T7911-2013 标准进行检测的检测报告；</w:t>
            </w:r>
          </w:p>
          <w:p w14:paraId="3205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理化板在浸渍剥离实验中满足 GB/T 17657-2013 标准要求：无分层情况出现；提供权威检测机构按照“GB/T 17657-2013”标准进行检测的检测报告</w:t>
            </w:r>
          </w:p>
          <w:p w14:paraId="43381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为保证实验室内部环境空气质量，要求台面板厂家须通过金牌绿色卫士（金标）认证，报告中要求其中TVOC挥发性有机物测试标准最大允许预测浓度为0.22mg/ m³</w:t>
            </w:r>
          </w:p>
          <w:p w14:paraId="578B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台面板品牌厂家需通过 ISO9001:2015、ISO14001: 2015、ISO45001：2018 体系认证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F19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7FB30ED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038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富美家/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LUSTERFUL </w:t>
            </w:r>
          </w:p>
        </w:tc>
      </w:tr>
    </w:tbl>
    <w:p w14:paraId="40FA97CD">
      <w:pPr>
        <w:rPr>
          <w:rFonts w:hint="eastAsia"/>
          <w:b/>
          <w:bCs/>
        </w:rPr>
      </w:pPr>
    </w:p>
    <w:p w14:paraId="2548CCE5"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二、商务要求</w:t>
      </w:r>
    </w:p>
    <w:tbl>
      <w:tblPr>
        <w:tblStyle w:val="1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 w14:paraId="6064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宋体" w:cs="宋体"/>
                <w:b/>
                <w:color w:val="auto"/>
                <w:sz w:val="22"/>
                <w:szCs w:val="22"/>
                <w:highlight w:val="none"/>
                <w:lang w:val="en-US" w:bidi="ar-SA"/>
              </w:rPr>
            </w:pP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val="en-US" w:eastAsia="zh-CN" w:bidi="ar-SA"/>
              </w:rPr>
              <w:t>一</w:t>
            </w: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bidi="ar-SA"/>
              </w:rPr>
              <w:t>、</w:t>
            </w: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val="en-US" w:eastAsia="zh-CN" w:bidi="ar-SA"/>
              </w:rPr>
              <w:t>交货时间及安装事项：</w:t>
            </w:r>
          </w:p>
          <w:p w14:paraId="45BC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220" w:firstLineChars="100"/>
              <w:textAlignment w:val="auto"/>
              <w:rPr>
                <w:rFonts w:hint="eastAsia" w:asci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bidi="ar-SA"/>
              </w:rPr>
              <w:t>（一）交货时间:</w:t>
            </w: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  <w:t xml:space="preserve"> 合同签订后30天内交货。</w:t>
            </w:r>
          </w:p>
          <w:p w14:paraId="5D40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20" w:firstLineChars="100"/>
              <w:textAlignment w:val="auto"/>
              <w:rPr>
                <w:rFonts w:hint="default" w:asci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bidi="ar-SA"/>
              </w:rPr>
              <w:t>（二）交货地点</w:t>
            </w: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eastAsia="zh-CN" w:bidi="ar-SA"/>
              </w:rPr>
              <w:t>：</w:t>
            </w: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  <w:t>湖南工程学院</w:t>
            </w: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bidi="ar-SA"/>
              </w:rPr>
              <w:t>指定地点</w:t>
            </w:r>
            <w:r>
              <w:rPr>
                <w:rFonts w:hint="eastAsia" w:ascii="宋体" w:cs="宋体"/>
                <w:bCs/>
                <w:color w:val="auto"/>
                <w:sz w:val="22"/>
                <w:szCs w:val="22"/>
                <w:highlight w:val="none"/>
                <w:lang w:val="en-US" w:eastAsia="zh-CN" w:bidi="ar-SA"/>
              </w:rPr>
              <w:t>完成安装。</w:t>
            </w:r>
          </w:p>
          <w:p w14:paraId="520E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宋体" w:eastAsia="宋体" w:cs="宋体"/>
                <w:b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val="en-US" w:eastAsia="zh-CN" w:bidi="ar-SA"/>
              </w:rPr>
              <w:t>二</w:t>
            </w: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bidi="ar-SA"/>
              </w:rPr>
              <w:t>、</w:t>
            </w:r>
            <w:r>
              <w:rPr>
                <w:rFonts w:hint="eastAsia" w:ascii="宋体" w:cs="宋体"/>
                <w:b/>
                <w:color w:val="auto"/>
                <w:sz w:val="22"/>
                <w:szCs w:val="22"/>
                <w:highlight w:val="none"/>
                <w:lang w:val="en-US" w:eastAsia="zh-CN" w:bidi="ar-SA"/>
              </w:rPr>
              <w:t>质量保证：</w:t>
            </w:r>
          </w:p>
          <w:p w14:paraId="4A5B9EC5"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highlight w:val="none"/>
                <w:lang w:bidi="ar-SA"/>
              </w:rPr>
              <w:t>1、</w:t>
            </w:r>
            <w:r>
              <w:rPr>
                <w:rFonts w:hint="eastAsia" w:ascii="宋体" w:hAnsi="宋体"/>
                <w:szCs w:val="21"/>
              </w:rPr>
              <w:t>供应商需安排送货上门，不接受快递物流配送；</w:t>
            </w:r>
          </w:p>
          <w:p w14:paraId="794EF616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2、须提供生产厂商对本项目的盖章授权函、售后服务承诺书函；</w:t>
            </w:r>
          </w:p>
          <w:p w14:paraId="6420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textAlignment w:val="auto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3、售后服务：整体保修一年；产品在使用过程中出现问题，必须0.5小时内上门解决，提供7*24小时上门服务；投标人在湘潭地区应有服务机构并配有常驻技术人员；竞价响应文件需提供以上要求的佐证材料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0A71B89F">
      <w:pPr>
        <w:spacing w:line="560" w:lineRule="exact"/>
        <w:ind w:firstLine="3960" w:firstLineChars="1650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CD870"/>
    <w:multiLevelType w:val="singleLevel"/>
    <w:tmpl w:val="48BCD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UwYzIxNGQxZjkwODgwNWJkYjQ0ZjA2N2Y4NDUifQ=="/>
  </w:docVars>
  <w:rsids>
    <w:rsidRoot w:val="00195F97"/>
    <w:rsid w:val="00195F97"/>
    <w:rsid w:val="002727D5"/>
    <w:rsid w:val="0028692D"/>
    <w:rsid w:val="00576AD5"/>
    <w:rsid w:val="00724552"/>
    <w:rsid w:val="00E15144"/>
    <w:rsid w:val="03395B24"/>
    <w:rsid w:val="03CC3F79"/>
    <w:rsid w:val="04784101"/>
    <w:rsid w:val="054D10EA"/>
    <w:rsid w:val="09736C45"/>
    <w:rsid w:val="0DBD26B5"/>
    <w:rsid w:val="0E796AAB"/>
    <w:rsid w:val="0F2C7FC2"/>
    <w:rsid w:val="108C6F6A"/>
    <w:rsid w:val="10973B61"/>
    <w:rsid w:val="12AF6F40"/>
    <w:rsid w:val="17034223"/>
    <w:rsid w:val="17C82534"/>
    <w:rsid w:val="1997072D"/>
    <w:rsid w:val="1D350989"/>
    <w:rsid w:val="1D3F5364"/>
    <w:rsid w:val="1D84721B"/>
    <w:rsid w:val="1ECE2E43"/>
    <w:rsid w:val="1FB45B95"/>
    <w:rsid w:val="1FE521F3"/>
    <w:rsid w:val="21B63067"/>
    <w:rsid w:val="21F720FE"/>
    <w:rsid w:val="22C97BAA"/>
    <w:rsid w:val="25031D12"/>
    <w:rsid w:val="251F7F55"/>
    <w:rsid w:val="254E4396"/>
    <w:rsid w:val="273479A5"/>
    <w:rsid w:val="277F117F"/>
    <w:rsid w:val="2A3C4613"/>
    <w:rsid w:val="2B2D06D4"/>
    <w:rsid w:val="2B3770C7"/>
    <w:rsid w:val="2E1F2D74"/>
    <w:rsid w:val="2E4E18AB"/>
    <w:rsid w:val="2E5C5D76"/>
    <w:rsid w:val="2EB801FB"/>
    <w:rsid w:val="30006BD5"/>
    <w:rsid w:val="32717916"/>
    <w:rsid w:val="3293272B"/>
    <w:rsid w:val="33954026"/>
    <w:rsid w:val="342C0DD4"/>
    <w:rsid w:val="34CC177B"/>
    <w:rsid w:val="366E4148"/>
    <w:rsid w:val="3872263A"/>
    <w:rsid w:val="393A4F06"/>
    <w:rsid w:val="3BA84A16"/>
    <w:rsid w:val="3F8E5FAB"/>
    <w:rsid w:val="4269060A"/>
    <w:rsid w:val="43B35FE0"/>
    <w:rsid w:val="46054AED"/>
    <w:rsid w:val="4712301E"/>
    <w:rsid w:val="474B29D4"/>
    <w:rsid w:val="4E391D9A"/>
    <w:rsid w:val="4E422279"/>
    <w:rsid w:val="4E9C3B15"/>
    <w:rsid w:val="4F135B85"/>
    <w:rsid w:val="4F493C9D"/>
    <w:rsid w:val="50FD6AED"/>
    <w:rsid w:val="53C03E02"/>
    <w:rsid w:val="581110D0"/>
    <w:rsid w:val="585D73B7"/>
    <w:rsid w:val="5A5A044F"/>
    <w:rsid w:val="5B737FCD"/>
    <w:rsid w:val="5BBB7CD0"/>
    <w:rsid w:val="5D415FB3"/>
    <w:rsid w:val="5E1E399A"/>
    <w:rsid w:val="5F221E14"/>
    <w:rsid w:val="60161979"/>
    <w:rsid w:val="628A21AA"/>
    <w:rsid w:val="6295656E"/>
    <w:rsid w:val="63BC2837"/>
    <w:rsid w:val="648A0340"/>
    <w:rsid w:val="668F5FE1"/>
    <w:rsid w:val="6CE376BD"/>
    <w:rsid w:val="737207E2"/>
    <w:rsid w:val="77AD276B"/>
    <w:rsid w:val="7A5D303C"/>
    <w:rsid w:val="7C174625"/>
    <w:rsid w:val="7DE14F1D"/>
    <w:rsid w:val="7E3F7E95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autoSpaceDE w:val="0"/>
      <w:autoSpaceDN w:val="0"/>
      <w:snapToGrid w:val="0"/>
      <w:jc w:val="left"/>
    </w:pPr>
    <w:rPr>
      <w:rFonts w:ascii="Arial" w:hAnsi="Arial" w:cs="宋体"/>
      <w:kern w:val="0"/>
      <w:lang w:val="zh-CN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rFonts w:ascii="Calibri" w:hAnsi="Calibri" w:eastAsia="宋体" w:cs="Times New Roman"/>
      <w:sz w:val="24"/>
      <w:szCs w:val="20"/>
      <w:lang w:bidi="ar-SA"/>
    </w:rPr>
  </w:style>
  <w:style w:type="paragraph" w:styleId="8">
    <w:name w:val="Body Text Indent 2"/>
    <w:basedOn w:val="1"/>
    <w:next w:val="7"/>
    <w:qFormat/>
    <w:uiPriority w:val="0"/>
    <w:pPr>
      <w:ind w:firstLine="420"/>
      <w:jc w:val="center"/>
    </w:pPr>
    <w:rPr>
      <w:rFonts w:ascii="宋体"/>
      <w:b/>
      <w:kern w:val="0"/>
      <w:sz w:val="24"/>
      <w:szCs w:val="20"/>
      <w:lang w:val="zh-CN" w:eastAsia="zh-CN"/>
    </w:rPr>
  </w:style>
  <w:style w:type="paragraph" w:styleId="9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"/>
    <w:basedOn w:val="7"/>
    <w:next w:val="1"/>
    <w:qFormat/>
    <w:uiPriority w:val="0"/>
    <w:pPr>
      <w:autoSpaceDE w:val="0"/>
      <w:autoSpaceDN w:val="0"/>
      <w:adjustRightInd w:val="0"/>
      <w:ind w:firstLine="100" w:firstLineChars="100"/>
      <w:jc w:val="left"/>
    </w:pPr>
    <w:rPr>
      <w:rFonts w:ascii="仿宋_GB2312" w:hAnsi="仿宋_GB2312" w:eastAsia="宋体" w:cs="Times New Roman"/>
      <w:b/>
      <w:kern w:val="0"/>
      <w:sz w:val="32"/>
      <w:szCs w:val="32"/>
      <w:lang w:bidi="ar-SA"/>
    </w:rPr>
  </w:style>
  <w:style w:type="character" w:customStyle="1" w:styleId="14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4597</Words>
  <Characters>6241</Characters>
  <Lines>2</Lines>
  <Paragraphs>1</Paragraphs>
  <TotalTime>28</TotalTime>
  <ScaleCrop>false</ScaleCrop>
  <LinksUpToDate>false</LinksUpToDate>
  <CharactersWithSpaces>6610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张玉东</dc:creator>
  <cp:lastModifiedBy>强哥</cp:lastModifiedBy>
  <dcterms:modified xsi:type="dcterms:W3CDTF">2024-11-22T08:29:42Z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04D0AD4A4B654B6FBEBE289F89DBE263_13</vt:lpwstr>
  </property>
</Properties>
</file>