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37A4">
      <w:pPr>
        <w:spacing w:line="560" w:lineRule="exact"/>
        <w:jc w:val="center"/>
        <w:rPr>
          <w:rFonts w:ascii="Times New Roman" w:hAnsi="Times New Roman"/>
          <w:b/>
          <w:bCs/>
          <w:sz w:val="28"/>
          <w:szCs w:val="28"/>
        </w:rPr>
      </w:pPr>
      <w:r>
        <w:rPr>
          <w:rFonts w:ascii="Times New Roman" w:hAnsi="Times New Roman"/>
          <w:b/>
          <w:bCs/>
          <w:sz w:val="28"/>
          <w:szCs w:val="28"/>
        </w:rPr>
        <w:t>采购需求</w:t>
      </w:r>
    </w:p>
    <w:p w14:paraId="0849EB29">
      <w:pPr>
        <w:spacing w:line="560" w:lineRule="exact"/>
        <w:rPr>
          <w:rFonts w:ascii="Times New Roman" w:hAnsi="Times New Roman"/>
          <w:b/>
          <w:bCs/>
          <w:sz w:val="28"/>
          <w:szCs w:val="28"/>
        </w:rPr>
      </w:pPr>
      <w:r>
        <w:rPr>
          <w:rFonts w:ascii="Times New Roman" w:hAnsi="Times New Roman"/>
          <w:b/>
          <w:bCs/>
          <w:sz w:val="28"/>
          <w:szCs w:val="28"/>
        </w:rPr>
        <w:t>一、品目及技术需求</w:t>
      </w:r>
    </w:p>
    <w:tbl>
      <w:tblPr>
        <w:tblStyle w:val="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5576"/>
        <w:gridCol w:w="840"/>
        <w:gridCol w:w="1144"/>
      </w:tblGrid>
      <w:tr w14:paraId="398D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058" w:type="dxa"/>
            <w:noWrap w:val="0"/>
            <w:vAlign w:val="center"/>
          </w:tcPr>
          <w:p w14:paraId="001905F1">
            <w:pPr>
              <w:spacing w:line="560" w:lineRule="exact"/>
              <w:jc w:val="center"/>
              <w:rPr>
                <w:rFonts w:ascii="Times New Roman" w:hAnsi="Times New Roman"/>
                <w:sz w:val="24"/>
              </w:rPr>
            </w:pPr>
            <w:r>
              <w:rPr>
                <w:rFonts w:ascii="Times New Roman" w:hAnsi="Times New Roman"/>
                <w:sz w:val="24"/>
              </w:rPr>
              <w:t>名  称</w:t>
            </w:r>
          </w:p>
        </w:tc>
        <w:tc>
          <w:tcPr>
            <w:tcW w:w="5576" w:type="dxa"/>
            <w:noWrap w:val="0"/>
            <w:vAlign w:val="center"/>
          </w:tcPr>
          <w:p w14:paraId="067A7EF5">
            <w:pPr>
              <w:spacing w:line="560" w:lineRule="exact"/>
              <w:jc w:val="center"/>
              <w:rPr>
                <w:rFonts w:ascii="Times New Roman" w:hAnsi="Times New Roman"/>
                <w:sz w:val="24"/>
              </w:rPr>
            </w:pPr>
            <w:r>
              <w:rPr>
                <w:rFonts w:ascii="Times New Roman" w:hAnsi="Times New Roman"/>
                <w:sz w:val="24"/>
              </w:rPr>
              <w:t>参数要求</w:t>
            </w:r>
          </w:p>
        </w:tc>
        <w:tc>
          <w:tcPr>
            <w:tcW w:w="840" w:type="dxa"/>
            <w:noWrap w:val="0"/>
            <w:vAlign w:val="center"/>
          </w:tcPr>
          <w:p w14:paraId="0F5D890B">
            <w:pPr>
              <w:spacing w:line="560" w:lineRule="exact"/>
              <w:jc w:val="center"/>
              <w:rPr>
                <w:rFonts w:ascii="Times New Roman" w:hAnsi="Times New Roman"/>
                <w:sz w:val="24"/>
              </w:rPr>
            </w:pPr>
            <w:r>
              <w:rPr>
                <w:rFonts w:ascii="Times New Roman" w:hAnsi="Times New Roman"/>
                <w:sz w:val="24"/>
              </w:rPr>
              <w:t>数量</w:t>
            </w:r>
          </w:p>
        </w:tc>
        <w:tc>
          <w:tcPr>
            <w:tcW w:w="1144" w:type="dxa"/>
            <w:noWrap w:val="0"/>
            <w:vAlign w:val="center"/>
          </w:tcPr>
          <w:p w14:paraId="6E649BD4">
            <w:pPr>
              <w:jc w:val="center"/>
              <w:rPr>
                <w:rFonts w:hint="default" w:eastAsia="宋体"/>
                <w:lang w:val="en-US" w:eastAsia="zh-CN"/>
              </w:rPr>
            </w:pPr>
            <w:r>
              <w:rPr>
                <w:rFonts w:hint="eastAsia"/>
                <w:lang w:val="en-US" w:eastAsia="zh-CN"/>
              </w:rPr>
              <w:t>推荐品牌</w:t>
            </w:r>
          </w:p>
        </w:tc>
      </w:tr>
      <w:tr w14:paraId="38BB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58" w:type="dxa"/>
            <w:noWrap w:val="0"/>
            <w:vAlign w:val="center"/>
          </w:tcPr>
          <w:p w14:paraId="1135352B">
            <w:pPr>
              <w:keepNext w:val="0"/>
              <w:keepLines w:val="0"/>
              <w:widowControl/>
              <w:suppressLineNumbers w:val="0"/>
              <w:jc w:val="center"/>
              <w:textAlignment w:val="center"/>
              <w:rPr>
                <w:rFonts w:hint="default" w:ascii="Times New Roman" w:hAnsi="Times New Roman" w:eastAsia="宋体"/>
                <w:sz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激光投影仪</w:t>
            </w:r>
          </w:p>
        </w:tc>
        <w:tc>
          <w:tcPr>
            <w:tcW w:w="5576" w:type="dxa"/>
            <w:noWrap w:val="0"/>
            <w:vAlign w:val="center"/>
          </w:tcPr>
          <w:p w14:paraId="09E8D98C">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采用ALPD单色激光四色荧光粉色轮成像技术，纯激光光源。</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2、DLP投影技术，DMD芯片面板尺寸0.47寸。</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3、单机物理分辨率1920×1080；长宽比16:9，播放1080P视频画面无变形或者缩小。</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4、画面投射比0.25；投影90吋16:9标准画面距离：镜头到画面距离47CM。</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5、电动聚焦镜头，避免调整聚焦时碰触机身，使机身位移。</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6、对比度500000:1。</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7、色域：色域覆盖面积大于REC.709标准。</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8、亮度4300ANSI流明，整机能效比12流明/瓦。</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9、整机IP5X级增压防尘设计，光源系统IP6X级密闭设计，整机无滤网。</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10、3D技术：多种3D模式，支持DLP link3D，支持3D课堂。</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11、散热系统：采用铜管液冷散热技术。</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12、光源寿命25000小时。</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13、照度均匀性85%。</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14、功耗：功耗340W，待机功耗0.5W；整机噪音32bd。</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★15、平均无故障时间大于等于100000小时。（提供相关证明材料，如产品检测报告并加盖公章）</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16、垂直方向自动梯形校正功能，具备水平梯形校正及四角校正功能。</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17、控制方式：支持无线遥控器，网络RJ45和RS-232控制。</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18、接口丰富：输入：HDMI*2; RGB*2; Video(RCA)*1; Audio in(L/R)；RCA*1; Audio in（mini jack,3.5mm）*1; MIC*1</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输出：RBG*1（与RGB in 2共用）；Audio*1（3.5mini jack）；3D SYNC*1</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控制：USB-B*1；RS232*1；RJ45*1</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19、多种功能：镜头居中，内置测试图片模板，单机3D显示，自动信号搜索，360°投影，自动梯形校正±40度（垂直方向），画面拼接功能（支持2*2拼接）。</w:t>
            </w:r>
          </w:p>
          <w:p w14:paraId="020028E9">
            <w:pPr>
              <w:pStyle w:val="7"/>
              <w:numPr>
                <w:ilvl w:val="0"/>
                <w:numId w:val="0"/>
              </w:numPr>
              <w:ind w:left="0" w:leftChars="0" w:firstLine="0" w:firstLineChars="0"/>
              <w:jc w:val="left"/>
              <w:rPr>
                <w:rFonts w:ascii="Times New Roman" w:hAnsi="Times New Roman"/>
                <w:sz w:val="24"/>
              </w:rPr>
            </w:pPr>
            <w:r>
              <w:rPr>
                <w:rFonts w:hint="eastAsia" w:asciiTheme="minorEastAsia" w:hAnsiTheme="minorEastAsia" w:eastAsiaTheme="minorEastAsia" w:cstheme="minorEastAsia"/>
                <w:sz w:val="22"/>
                <w:szCs w:val="22"/>
                <w:lang w:val="en-US" w:eastAsia="zh-CN"/>
              </w:rPr>
              <w:t>20、</w:t>
            </w:r>
            <w:r>
              <w:rPr>
                <w:rFonts w:hint="eastAsia" w:asciiTheme="minorEastAsia" w:hAnsiTheme="minorEastAsia" w:eastAsiaTheme="minorEastAsia" w:cstheme="minorEastAsia"/>
                <w:i w:val="0"/>
                <w:iCs w:val="0"/>
                <w:color w:val="000000"/>
                <w:kern w:val="0"/>
                <w:sz w:val="22"/>
                <w:szCs w:val="22"/>
                <w:u w:val="none"/>
                <w:lang w:val="en-US" w:eastAsia="zh-CN" w:bidi="ar"/>
              </w:rPr>
              <w:t>需提供厂家对本项目的授权函及售后承诺书并加盖公章。</w:t>
            </w:r>
          </w:p>
        </w:tc>
        <w:tc>
          <w:tcPr>
            <w:tcW w:w="840" w:type="dxa"/>
            <w:noWrap w:val="0"/>
            <w:vAlign w:val="center"/>
          </w:tcPr>
          <w:p w14:paraId="6FC71063">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台</w:t>
            </w:r>
          </w:p>
        </w:tc>
        <w:tc>
          <w:tcPr>
            <w:tcW w:w="1144" w:type="dxa"/>
            <w:noWrap w:val="0"/>
            <w:vAlign w:val="center"/>
          </w:tcPr>
          <w:p w14:paraId="3FCCBC07">
            <w:pPr>
              <w:jc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光峰、</w:t>
            </w:r>
            <w:r>
              <w:rPr>
                <w:rFonts w:hint="eastAsia" w:ascii="宋体" w:hAnsi="宋体" w:cs="宋体"/>
                <w:i w:val="0"/>
                <w:iCs w:val="0"/>
                <w:color w:val="000000"/>
                <w:kern w:val="0"/>
                <w:sz w:val="22"/>
                <w:szCs w:val="22"/>
                <w:u w:val="none"/>
                <w:lang w:val="en-US" w:eastAsia="zh-CN" w:bidi="ar"/>
              </w:rPr>
              <w:t>东泰合</w:t>
            </w:r>
          </w:p>
        </w:tc>
      </w:tr>
      <w:tr w14:paraId="34AD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58" w:type="dxa"/>
            <w:noWrap w:val="0"/>
            <w:vAlign w:val="center"/>
          </w:tcPr>
          <w:p w14:paraId="337B1F8D">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球形摄像头</w:t>
            </w:r>
          </w:p>
        </w:tc>
        <w:tc>
          <w:tcPr>
            <w:tcW w:w="5576" w:type="dxa"/>
            <w:noWrap w:val="0"/>
            <w:vAlign w:val="center"/>
          </w:tcPr>
          <w:p w14:paraId="5925F79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传感器类型：1/3英寸CMOS；</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像素：400万；</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最大分辨率：2560x1440；</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最低照度：彩色：0.05lux/F1.6黑白：0.005lux/F1.60Lux（补光灯开启）；</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最大补光距离：30m,30m（红外+白光）；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补光类型：红外+白光；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镜头焦距：4mm；</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通用行为分析：支持绊线入侵；支持区域入侵；支持联动跟踪；</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人形检测：支持；</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音频输入：1路（内置Mic）；</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音频输出：1路（内置扬声器）；</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语音对讲：支持；</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供电方式：DC12V/1.5A±10%PoE（802.3af）；</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球机尺寸：271.7mm×124.1mm×142.5mm；</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接口类型：RJ45接口;供电</w:t>
            </w:r>
          </w:p>
        </w:tc>
        <w:tc>
          <w:tcPr>
            <w:tcW w:w="840" w:type="dxa"/>
            <w:noWrap w:val="0"/>
            <w:vAlign w:val="center"/>
          </w:tcPr>
          <w:p w14:paraId="3B5BA157">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24</w:t>
            </w:r>
            <w:r>
              <w:rPr>
                <w:rFonts w:hint="eastAsia" w:ascii="宋体" w:hAnsi="宋体" w:cs="宋体"/>
                <w:i w:val="0"/>
                <w:iCs w:val="0"/>
                <w:color w:val="000000"/>
                <w:kern w:val="0"/>
                <w:sz w:val="22"/>
                <w:szCs w:val="22"/>
                <w:u w:val="none"/>
                <w:lang w:val="en-US" w:eastAsia="zh-CN" w:bidi="ar"/>
              </w:rPr>
              <w:t>个</w:t>
            </w:r>
          </w:p>
        </w:tc>
        <w:tc>
          <w:tcPr>
            <w:tcW w:w="1144" w:type="dxa"/>
            <w:noWrap w:val="0"/>
            <w:vAlign w:val="center"/>
          </w:tcPr>
          <w:p w14:paraId="2EA48641">
            <w:pPr>
              <w:keepNext w:val="0"/>
              <w:keepLines w:val="0"/>
              <w:pageBreakBefore w:val="0"/>
              <w:widowControl/>
              <w:kinsoku/>
              <w:wordWrap/>
              <w:overflowPunct/>
              <w:topLinePunct w:val="0"/>
              <w:autoSpaceDE/>
              <w:autoSpaceDN/>
              <w:bidi w:val="0"/>
              <w:spacing w:after="0" w:line="300" w:lineRule="exact"/>
              <w:jc w:val="both"/>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大华、</w:t>
            </w:r>
          </w:p>
          <w:p w14:paraId="31D99D3F">
            <w:pPr>
              <w:jc w:val="center"/>
              <w:rPr>
                <w:rFonts w:hint="default" w:ascii="宋体" w:hAnsi="宋体" w:eastAsia="宋体" w:cs="宋体"/>
                <w:lang w:val="en-US" w:eastAsia="zh-CN"/>
              </w:rPr>
            </w:pPr>
            <w:r>
              <w:rPr>
                <w:rFonts w:hint="eastAsia" w:cs="Times New Roman" w:asciiTheme="minorEastAsia" w:hAnsiTheme="minorEastAsia" w:eastAsiaTheme="minorEastAsia"/>
                <w:sz w:val="21"/>
                <w:szCs w:val="21"/>
                <w:lang w:val="en-US" w:eastAsia="zh-CN"/>
              </w:rPr>
              <w:t>宇视</w:t>
            </w:r>
          </w:p>
        </w:tc>
      </w:tr>
      <w:tr w14:paraId="1009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jc w:val="center"/>
        </w:trPr>
        <w:tc>
          <w:tcPr>
            <w:tcW w:w="1058" w:type="dxa"/>
            <w:noWrap w:val="0"/>
            <w:vAlign w:val="center"/>
          </w:tcPr>
          <w:p w14:paraId="6D8EB3C1">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网络中控主机</w:t>
            </w:r>
          </w:p>
        </w:tc>
        <w:tc>
          <w:tcPr>
            <w:tcW w:w="5576" w:type="dxa"/>
            <w:noWrap w:val="0"/>
            <w:vAlign w:val="center"/>
          </w:tcPr>
          <w:p w14:paraId="7BCEF7DF">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1、支持设备固件网络远程升级维护，支持设备运行参数网络远程一键读取，支持一键写入；</w:t>
            </w:r>
          </w:p>
          <w:p w14:paraId="689C3FF0">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2、支持电脑开关机管理，即使电脑在软关机状态下，也支持中控面板操作按键开机，无需额外开启机柜操作电脑开机；</w:t>
            </w:r>
          </w:p>
          <w:p w14:paraId="2F9BB6AD">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3、支持常用中控操作面板控制命令可编程，命令包括但不限于“上课”、“下课”、开投影、关投影、幕布升降、音量控制、信号切换等；</w:t>
            </w:r>
          </w:p>
          <w:p w14:paraId="2B4291BA">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支持可编程命令设置联动控制功能，包括联动执行的动作、执行动作的顺序和间隔时间，可联动的功能(动作)包括但不限于投影机电源，投影串口发码，幕布升降，开关电脑，开关设备电源，信号切换，编程串口发码，开关灯光、窗帘、空调等；</w:t>
            </w:r>
          </w:p>
          <w:p w14:paraId="523C6285">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5、支持3进3出HDMI视音频矩阵切换信号处理，支持教师机显示器和投影机(或大屏)异步显示，显示器和投影机显示不同的信号源画面，也支持同步显示，显示器和投影机显示同一信号源画面；</w:t>
            </w:r>
          </w:p>
          <w:p w14:paraId="40A5E90D">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6、笔记本HDMI信号输入支持HDCP及自动识别并切换功能，接入笔记本HDMI信号源即自动切换到笔记本通道，无需额外手动切换操作；</w:t>
            </w:r>
          </w:p>
          <w:p w14:paraId="12509C54">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7、支持4路USB信号输入，2路USB输出，支持USB信号反向控制功能，无需主机端键鼠操作，在触摸显示屏上即可操作主机，方便互动教学；</w:t>
            </w:r>
          </w:p>
          <w:p w14:paraId="16B4F55F">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8、支持跨网段远程控制管理，具有6路10/100/1000M网络接口；</w:t>
            </w:r>
          </w:p>
          <w:p w14:paraId="5D103187">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9、具有2组12V直流电锁控制接口，支持讲台电子锁或门禁控制功能，每组均有LED工作状态指示，可直观了解端口工作状态，便于排查故障；</w:t>
            </w:r>
          </w:p>
          <w:p w14:paraId="795DA895">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10、具有6组I/O检测接口，每组接口的状态支持分别编程与联动控制，包括联动的执行动作、执行动作的顺序和间隔时间，每路均有LED工作状态指示，可直观了解端口工作状态，便于排查故障；</w:t>
            </w:r>
          </w:p>
          <w:p w14:paraId="462A7BFA">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11、支持投影机及电动幕控制管理，可设置幕布联动控制时间，在幕布下降或上升到位时自动停电，防止因幕布限位开关失灵而造成幕布损坏；</w:t>
            </w:r>
          </w:p>
          <w:p w14:paraId="00B2CD7D">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12、支持投影用时检测，可检测所有支持串行检测的各品牌投影灯泡用时，统计用时与投影菜单显示完全一致；在同一个管理平台上支持教室端不同品牌不同型号的投影设备用时检测；</w:t>
            </w:r>
          </w:p>
          <w:p w14:paraId="02E27EB7">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13、支持屏幕冻结功能，可以在使用过程中冻结当前画面；冻结后投影机显示内容不变，电脑可以做其它操作而不影响投影机显示；</w:t>
            </w:r>
          </w:p>
          <w:p w14:paraId="5303066B">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14、支持板书功能，在不关闭投影机状态下，可使投影机不显示任何画面，升起幕布，使用整个黑板，在需要投影机的情况下可以一键恢复正常使用状态，使板书教学和多媒体教学有机结合、灵活切换；</w:t>
            </w:r>
          </w:p>
          <w:p w14:paraId="074C7201">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15、支持听课模式与监听模式自动切换，使用麦克风扩音时自动切换到听课模式，关闭麦克风扩音时自动回到监听模式，同时支持平台端远程控制切换；</w:t>
            </w:r>
          </w:p>
          <w:p w14:paraId="46E7974A">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16、支持音量控制，支持麦克风与线路音量分别独立控制，支持静音功能；支持2路麦克风输入；</w:t>
            </w:r>
          </w:p>
          <w:p w14:paraId="3618EB8B">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具有7路独立的232串口，除控制面板，计算机等基本的串口控制以外，具备4路用户可编程串口，支持波特率9600/19200/38400/57600/115200，以支持数字功放，读卡器，投影机及录播等常用设备的控制；支持扩展双投影串口分别控制；</w:t>
            </w:r>
          </w:p>
          <w:p w14:paraId="6B04A694">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18、具有4路独立的电源控制接口，包括投影机电源、投影幕升降电源、计算机电源及设备电源，每一路电源控制均有状态指示，也支持可编程命令、可编程IO联动控制设定；</w:t>
            </w:r>
          </w:p>
          <w:p w14:paraId="4FC76952">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19、具有1路开关控制接口，支持该接口用于黑板灯/信号屏蔽仪等控制；</w:t>
            </w:r>
          </w:p>
          <w:p w14:paraId="70DF2378">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20、支持物联网设备接入，实现环境数据采集，通过平台环境策略设置，可实现统一管控及联动控制功能；</w:t>
            </w:r>
          </w:p>
          <w:p w14:paraId="6F55843C">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21、支持二维码扫码，支持IC卡管理功能，支持刷卡/插卡管理模式，支持本地存储10000个用户白名单和10000条使用记录；</w:t>
            </w:r>
          </w:p>
          <w:p w14:paraId="1553DEC7">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22、插卡管理模式支持多节次课连上功能，课间拔卡支持拔卡倒计时显示，插卡后即可恢复至正常上课状态，避免多节次课连上，课间拔卡导致设备关闭的问题；</w:t>
            </w:r>
          </w:p>
          <w:p w14:paraId="0B3481A3">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23、支持控制面板密码解锁，支持平台远程设置面板解锁密码，最长密码位数支持8位；</w:t>
            </w:r>
          </w:p>
          <w:p w14:paraId="7944288A">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支持面板锁定，支持断网自动解锁面板，支持教室端权限管制，管制后本地读卡器及扫码器等权限设备的使用权限失效，仅远程平台可解锁教室端控制面板，直到解除管制，教室端权限管理设备才能恢复正常使用；</w:t>
            </w:r>
          </w:p>
          <w:p w14:paraId="036855AD">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25、主机其他接口：RCA音频输入×4；RCA音频输出×2；MIC输入×2；拾音器输入×1；监听输入×1；监听输出×1；</w:t>
            </w:r>
          </w:p>
          <w:p w14:paraId="7FDE3B1B">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★26、兼容学校现有多媒体管理平台，实现统一管理，统一控制，出具兼容承诺函并加盖制造商公章。</w:t>
            </w:r>
          </w:p>
          <w:p w14:paraId="125FA889">
            <w:pPr>
              <w:pStyle w:val="7"/>
              <w:numPr>
                <w:ilvl w:val="0"/>
                <w:numId w:val="0"/>
              </w:numPr>
              <w:ind w:left="0" w:leftChars="0" w:firstLine="0" w:firstLineChars="0"/>
              <w:jc w:val="left"/>
              <w:rPr>
                <w:rFonts w:hint="eastAsia" w:ascii="宋体" w:hAnsi="宋体" w:eastAsia="宋体" w:cs="宋体"/>
                <w:sz w:val="21"/>
                <w:szCs w:val="21"/>
                <w:lang w:val="en-US" w:eastAsia="zh-CN"/>
              </w:rPr>
            </w:pPr>
          </w:p>
        </w:tc>
        <w:tc>
          <w:tcPr>
            <w:tcW w:w="840" w:type="dxa"/>
            <w:noWrap w:val="0"/>
            <w:vAlign w:val="center"/>
          </w:tcPr>
          <w:p w14:paraId="32EA9ED9">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台</w:t>
            </w:r>
          </w:p>
        </w:tc>
        <w:tc>
          <w:tcPr>
            <w:tcW w:w="1144" w:type="dxa"/>
            <w:noWrap w:val="0"/>
            <w:vAlign w:val="center"/>
          </w:tcPr>
          <w:p w14:paraId="272DE529">
            <w:pPr>
              <w:jc w:val="center"/>
              <w:rPr>
                <w:rFonts w:hint="default" w:ascii="宋体" w:hAnsi="宋体" w:eastAsia="宋体" w:cs="宋体"/>
                <w:lang w:val="en-US" w:eastAsia="zh-CN"/>
              </w:rPr>
            </w:pPr>
            <w:r>
              <w:rPr>
                <w:rFonts w:hint="eastAsia" w:asciiTheme="minorEastAsia" w:hAnsiTheme="minorEastAsia" w:eastAsiaTheme="minorEastAsia"/>
                <w:sz w:val="21"/>
                <w:szCs w:val="21"/>
                <w:lang w:val="en-US" w:eastAsia="zh-CN"/>
              </w:rPr>
              <w:t>铭记新圆、华璨</w:t>
            </w:r>
          </w:p>
        </w:tc>
      </w:tr>
      <w:tr w14:paraId="1911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4" w:hRule="atLeast"/>
          <w:jc w:val="center"/>
        </w:trPr>
        <w:tc>
          <w:tcPr>
            <w:tcW w:w="1058" w:type="dxa"/>
            <w:noWrap w:val="0"/>
            <w:vAlign w:val="center"/>
          </w:tcPr>
          <w:p w14:paraId="7ED9510A">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液晶控制面板</w:t>
            </w:r>
          </w:p>
        </w:tc>
        <w:tc>
          <w:tcPr>
            <w:tcW w:w="5576" w:type="dxa"/>
            <w:noWrap w:val="0"/>
            <w:vAlign w:val="center"/>
          </w:tcPr>
          <w:p w14:paraId="038B20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1、设备需采用工业级标准，屏幕正面支持IP65级防护；</w:t>
            </w:r>
          </w:p>
          <w:p w14:paraId="1678F9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2、液晶显示屏要求为电容式液晶屏，尺寸不低于8寸，屏幕可实现0°、90°、180°、270°旋转；</w:t>
            </w:r>
          </w:p>
          <w:p w14:paraId="11FE7C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3、界面风格、使用模式、控制功能等支持可编程，界面灵活方便，功能清晰简明；</w:t>
            </w:r>
          </w:p>
          <w:p w14:paraId="01CE49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4、支持单界面或多级界面跳转等多种触控及显示方式；</w:t>
            </w:r>
          </w:p>
          <w:p w14:paraId="321B63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5、支持倒计时提示功能，操作过程中显示等待剩余时间；</w:t>
            </w:r>
          </w:p>
          <w:p w14:paraId="100A6F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6、需内置RTC时钟，支持日期及时间显示，支持网络管理平台远程校时；</w:t>
            </w:r>
          </w:p>
          <w:p w14:paraId="19DE89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7、支持远程网络管理平台对屏幕进行亮度调节及屏幕保护等操作；</w:t>
            </w:r>
          </w:p>
          <w:p w14:paraId="0CA6CA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8、支持面板锁定，锁定界面可定制，可显示提示信息或操作说明等；</w:t>
            </w:r>
          </w:p>
          <w:p w14:paraId="78B316B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★9、面板支持蓝牙麦克风连接后显示蓝牙麦克风电量（提供产品彩页，并加盖公章）。</w:t>
            </w:r>
          </w:p>
        </w:tc>
        <w:tc>
          <w:tcPr>
            <w:tcW w:w="840" w:type="dxa"/>
            <w:noWrap w:val="0"/>
            <w:vAlign w:val="center"/>
          </w:tcPr>
          <w:p w14:paraId="37FBC5A1">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台</w:t>
            </w:r>
          </w:p>
        </w:tc>
        <w:tc>
          <w:tcPr>
            <w:tcW w:w="1144" w:type="dxa"/>
            <w:noWrap w:val="0"/>
            <w:vAlign w:val="center"/>
          </w:tcPr>
          <w:p w14:paraId="20668EB5">
            <w:pPr>
              <w:jc w:val="center"/>
              <w:rPr>
                <w:rFonts w:hint="default" w:ascii="宋体" w:hAnsi="宋体" w:eastAsia="宋体" w:cs="宋体"/>
                <w:lang w:val="en-US" w:eastAsia="zh-CN"/>
              </w:rPr>
            </w:pPr>
            <w:r>
              <w:rPr>
                <w:rFonts w:hint="eastAsia" w:asciiTheme="minorEastAsia" w:hAnsiTheme="minorEastAsia" w:eastAsiaTheme="minorEastAsia"/>
                <w:sz w:val="21"/>
                <w:szCs w:val="21"/>
                <w:lang w:val="en-US" w:eastAsia="zh-CN"/>
              </w:rPr>
              <w:t>铭记新圆、华璨</w:t>
            </w:r>
          </w:p>
        </w:tc>
      </w:tr>
      <w:tr w14:paraId="5A45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1058" w:type="dxa"/>
            <w:noWrap w:val="0"/>
            <w:vAlign w:val="center"/>
          </w:tcPr>
          <w:p w14:paraId="28BB9A9C">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高档壁挂音箱</w:t>
            </w:r>
          </w:p>
        </w:tc>
        <w:tc>
          <w:tcPr>
            <w:tcW w:w="5576" w:type="dxa"/>
            <w:noWrap w:val="0"/>
            <w:vAlign w:val="center"/>
          </w:tcPr>
          <w:p w14:paraId="7D36E73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1、额定功率：10W/20W</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2、最大功率：40W</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3、阻抗：黑：Com/红：400Ω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4、定压输入：70/100V</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5、灵敏度（1W/1M)：90dB±3dB</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6、频率响应：100-14KHz</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7、喇叭单元：4''x1+1''x1</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8、产品尺寸：165x155x275mm</w:t>
            </w:r>
          </w:p>
        </w:tc>
        <w:tc>
          <w:tcPr>
            <w:tcW w:w="840" w:type="dxa"/>
            <w:noWrap w:val="0"/>
            <w:vAlign w:val="center"/>
          </w:tcPr>
          <w:p w14:paraId="0F0C2869">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24</w:t>
            </w:r>
            <w:r>
              <w:rPr>
                <w:rFonts w:hint="eastAsia" w:ascii="宋体" w:hAnsi="宋体" w:cs="宋体"/>
                <w:i w:val="0"/>
                <w:iCs w:val="0"/>
                <w:color w:val="000000"/>
                <w:kern w:val="0"/>
                <w:sz w:val="22"/>
                <w:szCs w:val="22"/>
                <w:u w:val="none"/>
                <w:lang w:val="en-US" w:eastAsia="zh-CN" w:bidi="ar"/>
              </w:rPr>
              <w:t>支</w:t>
            </w:r>
          </w:p>
        </w:tc>
        <w:tc>
          <w:tcPr>
            <w:tcW w:w="1144" w:type="dxa"/>
            <w:noWrap w:val="0"/>
            <w:vAlign w:val="center"/>
          </w:tcPr>
          <w:p w14:paraId="70D2A53F">
            <w:pPr>
              <w:jc w:val="center"/>
              <w:rPr>
                <w:rFonts w:hint="default" w:ascii="宋体" w:hAnsi="宋体" w:eastAsia="宋体" w:cs="宋体"/>
                <w:lang w:val="en-US" w:eastAsia="zh-CN"/>
              </w:rPr>
            </w:pPr>
            <w:r>
              <w:rPr>
                <w:rFonts w:hint="eastAsia" w:asciiTheme="minorEastAsia" w:hAnsiTheme="minorEastAsia" w:eastAsiaTheme="minorEastAsia"/>
                <w:sz w:val="21"/>
                <w:szCs w:val="21"/>
                <w:lang w:val="en-US" w:eastAsia="zh-CN"/>
              </w:rPr>
              <w:t>SONBS、美至尊</w:t>
            </w:r>
          </w:p>
        </w:tc>
      </w:tr>
      <w:tr w14:paraId="4F7D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2" w:hRule="atLeast"/>
          <w:jc w:val="center"/>
        </w:trPr>
        <w:tc>
          <w:tcPr>
            <w:tcW w:w="1058" w:type="dxa"/>
            <w:noWrap w:val="0"/>
            <w:vAlign w:val="center"/>
          </w:tcPr>
          <w:p w14:paraId="72F22363">
            <w:pPr>
              <w:keepNext w:val="0"/>
              <w:keepLines w:val="0"/>
              <w:widowControl/>
              <w:suppressLineNumbers w:val="0"/>
              <w:jc w:val="center"/>
              <w:textAlignment w:val="center"/>
              <w:rPr>
                <w:rFonts w:hint="eastAsia" w:ascii="Times New Roman" w:hAnsi="Times New Roman"/>
                <w:sz w:val="21"/>
                <w:szCs w:val="21"/>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带前置合并式广播功放</w:t>
            </w:r>
          </w:p>
        </w:tc>
        <w:tc>
          <w:tcPr>
            <w:tcW w:w="5576" w:type="dxa"/>
            <w:noWrap w:val="0"/>
            <w:vAlign w:val="center"/>
          </w:tcPr>
          <w:p w14:paraId="0D9FAE37">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功能特点：</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1、黑色拉丝面板，1U机架式，19英寸工业机箱设计。</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2、3通道麦克风输入（TRS端子），2通道线路输入（Aux），1通道EMC输入（凤凰插）。</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3、带3级优先功能，其中Mic1具有最高优先级别，EMC属第二优先级别，其他通道属第三优先级别。</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4、2通道MICLine输入（MIC2/MIC3通道的线路输入，灵敏度为775mV）；</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5、MIC和Aux输入附有独立音量调节旋钮，输出附有总音量调节旋钮和高音、低音音调调节旋钮；</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6、产品具有良好的短路、过载、过热等自我保护；</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7、具有2种功率输出方式：定压输出100V、70V和定阻输出4～16Ω。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8、额定输出功率：70W</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技术参数：</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1、功率70W</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2、功耗100W</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3、灵敏度线路250mV话筒2mV </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4、音调Bass：±10dBat100HzTreble：±10dBat10Hz</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5、信噪比线路70dB话筒66dB</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6、输出70V/100V/4-16Ω</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7、频率100HZ-18KHZ</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8、失真度＜1%</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9、输入电源AC220-240V/50-60Hz</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10、尺寸(mm):484(宽)×44(高)×366(深)</w:t>
            </w:r>
          </w:p>
        </w:tc>
        <w:tc>
          <w:tcPr>
            <w:tcW w:w="840" w:type="dxa"/>
            <w:noWrap w:val="0"/>
            <w:vAlign w:val="center"/>
          </w:tcPr>
          <w:p w14:paraId="7B02DC51">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台</w:t>
            </w:r>
          </w:p>
        </w:tc>
        <w:tc>
          <w:tcPr>
            <w:tcW w:w="1144" w:type="dxa"/>
            <w:noWrap w:val="0"/>
            <w:vAlign w:val="center"/>
          </w:tcPr>
          <w:p w14:paraId="16B85591">
            <w:pPr>
              <w:jc w:val="center"/>
              <w:rPr>
                <w:rFonts w:hint="default" w:ascii="宋体" w:hAnsi="宋体" w:eastAsia="宋体" w:cs="宋体"/>
                <w:lang w:val="en-US" w:eastAsia="zh-CN"/>
              </w:rPr>
            </w:pPr>
            <w:r>
              <w:rPr>
                <w:rFonts w:hint="eastAsia" w:asciiTheme="minorEastAsia" w:hAnsiTheme="minorEastAsia" w:eastAsiaTheme="minorEastAsia"/>
                <w:sz w:val="21"/>
                <w:szCs w:val="21"/>
                <w:lang w:val="en-US" w:eastAsia="zh-CN"/>
              </w:rPr>
              <w:t>SONBS、美至尊</w:t>
            </w:r>
          </w:p>
        </w:tc>
      </w:tr>
      <w:tr w14:paraId="20D7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058" w:type="dxa"/>
            <w:noWrap w:val="0"/>
            <w:vAlign w:val="center"/>
          </w:tcPr>
          <w:p w14:paraId="08FE54B4">
            <w:pPr>
              <w:keepNext w:val="0"/>
              <w:keepLines w:val="0"/>
              <w:widowControl/>
              <w:suppressLineNumbers w:val="0"/>
              <w:jc w:val="center"/>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木质讲台地垫</w:t>
            </w:r>
          </w:p>
        </w:tc>
        <w:tc>
          <w:tcPr>
            <w:tcW w:w="5576" w:type="dxa"/>
            <w:noWrap w:val="0"/>
            <w:vAlign w:val="center"/>
          </w:tcPr>
          <w:p w14:paraId="5A497877">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u w:val="none"/>
                <w:lang w:val="en-US" w:eastAsia="zh-CN" w:bidi="ar"/>
                <w14:textFill>
                  <w14:solidFill>
                    <w14:schemeClr w14:val="tx1"/>
                  </w14:solidFill>
                </w14:textFill>
              </w:rPr>
              <w:t>指定木质定制讲台地垫：1060*630*120 1组，具体尺寸可根据教室实际情况适当调整。</w:t>
            </w:r>
          </w:p>
        </w:tc>
        <w:tc>
          <w:tcPr>
            <w:tcW w:w="840" w:type="dxa"/>
            <w:noWrap w:val="0"/>
            <w:vAlign w:val="center"/>
          </w:tcPr>
          <w:p w14:paraId="2334AB5B">
            <w:pPr>
              <w:keepNext w:val="0"/>
              <w:keepLines w:val="0"/>
              <w:widowControl/>
              <w:suppressLineNumbers w:val="0"/>
              <w:jc w:val="center"/>
              <w:textAlignment w:val="cente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12</w:t>
            </w:r>
            <w:bookmarkStart w:id="0" w:name="_GoBack"/>
            <w:bookmarkEnd w:id="0"/>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个</w:t>
            </w:r>
          </w:p>
        </w:tc>
        <w:tc>
          <w:tcPr>
            <w:tcW w:w="1144" w:type="dxa"/>
            <w:noWrap w:val="0"/>
            <w:vAlign w:val="center"/>
          </w:tcPr>
          <w:p w14:paraId="04608FCE">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定制</w:t>
            </w:r>
          </w:p>
        </w:tc>
      </w:tr>
      <w:tr w14:paraId="6F44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058" w:type="dxa"/>
            <w:noWrap w:val="0"/>
            <w:vAlign w:val="center"/>
          </w:tcPr>
          <w:p w14:paraId="7F812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综合布线</w:t>
            </w:r>
          </w:p>
        </w:tc>
        <w:tc>
          <w:tcPr>
            <w:tcW w:w="5576" w:type="dxa"/>
            <w:noWrap w:val="0"/>
            <w:vAlign w:val="center"/>
          </w:tcPr>
          <w:p w14:paraId="277BB531">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1、12间教室投影仪、教室网络中控、控制面板等涉及的强电、音频线、网线、高清线、电源线、插排等线路改造；</w:t>
            </w:r>
          </w:p>
          <w:p w14:paraId="2BCFF7B2">
            <w:pPr>
              <w:pStyle w:val="7"/>
              <w:numPr>
                <w:ilvl w:val="0"/>
                <w:numId w:val="0"/>
              </w:numPr>
              <w:ind w:left="0" w:leftChars="0" w:firstLine="0" w:firstLineChars="0"/>
              <w:jc w:val="left"/>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2、教室原有设备的拆除及环境清理与复原；</w:t>
            </w:r>
          </w:p>
          <w:p w14:paraId="14EFCDE0">
            <w:pPr>
              <w:pStyle w:val="7"/>
              <w:numPr>
                <w:ilvl w:val="0"/>
                <w:numId w:val="0"/>
              </w:numPr>
              <w:ind w:left="0" w:leftChars="0" w:firstLine="0" w:firstLineChars="0"/>
              <w:jc w:val="left"/>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3、按照学校现有网络情况设计，集成包含但不限于以下容：服务器六类线，网络面板到桌面、光纤线缆等线材，软硬件联调,环境改造、网络综合布线。</w:t>
            </w:r>
          </w:p>
        </w:tc>
        <w:tc>
          <w:tcPr>
            <w:tcW w:w="840" w:type="dxa"/>
            <w:noWrap w:val="0"/>
            <w:vAlign w:val="center"/>
          </w:tcPr>
          <w:p w14:paraId="3791DE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144" w:type="dxa"/>
            <w:noWrap w:val="0"/>
            <w:vAlign w:val="center"/>
          </w:tcPr>
          <w:p w14:paraId="53BFCCAA">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r>
    </w:tbl>
    <w:p w14:paraId="37860978">
      <w:pPr>
        <w:rPr>
          <w:rFonts w:ascii="Times New Roman" w:hAnsi="Times New Roman"/>
          <w:b/>
          <w:bCs/>
          <w:sz w:val="28"/>
          <w:szCs w:val="28"/>
        </w:rPr>
      </w:pPr>
      <w:r>
        <w:rPr>
          <w:rFonts w:ascii="Times New Roman" w:hAnsi="Times New Roman"/>
          <w:b/>
          <w:bCs/>
          <w:sz w:val="28"/>
          <w:szCs w:val="28"/>
        </w:rPr>
        <w:br w:type="page"/>
      </w:r>
    </w:p>
    <w:p w14:paraId="19309FA0">
      <w:pPr>
        <w:spacing w:line="560" w:lineRule="exact"/>
        <w:rPr>
          <w:rFonts w:ascii="Times New Roman" w:hAnsi="Times New Roman"/>
          <w:b/>
          <w:bCs/>
          <w:sz w:val="28"/>
          <w:szCs w:val="28"/>
        </w:rPr>
      </w:pPr>
      <w:r>
        <w:rPr>
          <w:rFonts w:ascii="Times New Roman" w:hAnsi="Times New Roman"/>
          <w:b/>
          <w:bCs/>
          <w:sz w:val="28"/>
          <w:szCs w:val="28"/>
        </w:rPr>
        <w:t>二、商务要求</w:t>
      </w:r>
    </w:p>
    <w:tbl>
      <w:tblPr>
        <w:tblStyle w:val="4"/>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9"/>
      </w:tblGrid>
      <w:tr w14:paraId="606B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639" w:type="dxa"/>
            <w:tcBorders>
              <w:bottom w:val="single" w:color="auto" w:sz="4" w:space="0"/>
            </w:tcBorders>
            <w:noWrap w:val="0"/>
            <w:vAlign w:val="center"/>
          </w:tcPr>
          <w:p w14:paraId="35B6DA36">
            <w:pPr>
              <w:rPr>
                <w:color w:val="auto"/>
                <w:sz w:val="24"/>
              </w:rPr>
            </w:pPr>
            <w:r>
              <w:rPr>
                <w:color w:val="auto"/>
              </w:rPr>
              <w:t>（主要是指：交货期，安装、安全管理、培训、质保期、售后服务要求等）</w:t>
            </w:r>
          </w:p>
        </w:tc>
      </w:tr>
      <w:tr w14:paraId="7AF3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639" w:type="dxa"/>
            <w:tcBorders>
              <w:top w:val="single" w:color="auto" w:sz="4" w:space="0"/>
            </w:tcBorders>
            <w:noWrap w:val="0"/>
            <w:vAlign w:val="top"/>
          </w:tcPr>
          <w:p w14:paraId="4B2504F1">
            <w:pPr>
              <w:spacing w:line="288" w:lineRule="auto"/>
              <w:rPr>
                <w:color w:val="auto"/>
              </w:rPr>
            </w:pPr>
            <w:r>
              <w:rPr>
                <w:rFonts w:hint="eastAsia"/>
                <w:color w:val="auto"/>
              </w:rPr>
              <w:t>1、供应商用于本项目的所有原材料必须为合格产品。</w:t>
            </w:r>
          </w:p>
          <w:p w14:paraId="201BBE97">
            <w:pPr>
              <w:spacing w:line="288" w:lineRule="auto"/>
              <w:rPr>
                <w:color w:val="auto"/>
              </w:rPr>
            </w:pPr>
            <w:r>
              <w:rPr>
                <w:rFonts w:hint="eastAsia"/>
                <w:color w:val="auto"/>
              </w:rPr>
              <w:t>2、供应商必须严格按照设计要求于签订合同后</w:t>
            </w:r>
            <w:r>
              <w:rPr>
                <w:rFonts w:hint="eastAsia"/>
                <w:color w:val="auto"/>
                <w:lang w:val="en-US" w:eastAsia="zh-CN"/>
              </w:rPr>
              <w:t>30</w:t>
            </w:r>
            <w:r>
              <w:rPr>
                <w:rFonts w:hint="eastAsia"/>
                <w:color w:val="auto"/>
              </w:rPr>
              <w:t>个有效工作日内完成全部工程施工。建设过程中，涉及到工程项目变更的，以采购人意见为准。</w:t>
            </w:r>
          </w:p>
          <w:p w14:paraId="0D8F21C4">
            <w:pPr>
              <w:spacing w:line="288" w:lineRule="auto"/>
              <w:rPr>
                <w:color w:val="auto"/>
              </w:rPr>
            </w:pPr>
            <w:r>
              <w:rPr>
                <w:rFonts w:hint="eastAsia"/>
                <w:color w:val="auto"/>
                <w:lang w:val="en-US" w:eastAsia="zh-CN"/>
              </w:rPr>
              <w:t>3</w:t>
            </w:r>
            <w:r>
              <w:rPr>
                <w:rFonts w:hint="eastAsia"/>
                <w:color w:val="auto"/>
              </w:rPr>
              <w:t>、供应商响应报价需上传报价清单，此价为到岸含税价，报价中含施工材料、人工、机械费以及运输、搬运等费用。为保证工程质量，供应商响应报价总金额低于工程控制价80%（含）者，必须上传报价合理性说明文件，文件内容包含响应报价计算方式、折扣依据、工程质量保证依据等，以供采购人评审。响应报价总金额低于工程控制价80%（含）且未提交报价合理性说明文件者，评审视为无效报价。</w:t>
            </w:r>
          </w:p>
          <w:p w14:paraId="2F0AE93F">
            <w:pPr>
              <w:jc w:val="left"/>
              <w:rPr>
                <w:rFonts w:hint="eastAsia" w:ascii="Calibri" w:hAnsi="Calibri" w:eastAsia="宋体" w:cs="Times New Roman"/>
                <w:color w:val="auto"/>
              </w:rPr>
            </w:pPr>
            <w:r>
              <w:rPr>
                <w:rFonts w:hint="eastAsia"/>
                <w:color w:val="auto"/>
                <w:lang w:val="en-US" w:eastAsia="zh-CN"/>
              </w:rPr>
              <w:t>4</w:t>
            </w:r>
            <w:r>
              <w:rPr>
                <w:rFonts w:hint="eastAsia"/>
                <w:color w:val="auto"/>
              </w:rPr>
              <w:t>、</w:t>
            </w:r>
            <w:r>
              <w:rPr>
                <w:rFonts w:hint="eastAsia" w:ascii="Calibri" w:hAnsi="Calibri" w:eastAsia="宋体" w:cs="Times New Roman"/>
                <w:color w:val="auto"/>
              </w:rPr>
              <w:t>供应商所投产品应提供</w:t>
            </w:r>
            <w:r>
              <w:rPr>
                <w:rFonts w:hint="eastAsia" w:ascii="Calibri" w:hAnsi="Calibri" w:eastAsia="宋体" w:cs="Times New Roman"/>
                <w:color w:val="auto"/>
                <w:lang w:val="en-US" w:eastAsia="zh-CN"/>
              </w:rPr>
              <w:t>相应</w:t>
            </w:r>
            <w:r>
              <w:rPr>
                <w:rFonts w:hint="eastAsia" w:ascii="Calibri" w:hAnsi="Calibri" w:eastAsia="宋体" w:cs="Times New Roman"/>
                <w:color w:val="auto"/>
              </w:rPr>
              <w:t>资质材料</w:t>
            </w:r>
            <w:r>
              <w:rPr>
                <w:rFonts w:hint="eastAsia" w:ascii="Calibri" w:hAnsi="Calibri" w:eastAsia="宋体" w:cs="Times New Roman"/>
                <w:color w:val="auto"/>
                <w:lang w:eastAsia="zh-CN"/>
              </w:rPr>
              <w:t>：</w:t>
            </w:r>
            <w:r>
              <w:rPr>
                <w:rFonts w:hint="eastAsia" w:eastAsia="宋体" w:cs="Times New Roman"/>
                <w:color w:val="auto"/>
              </w:rPr>
              <w:t>①</w:t>
            </w:r>
            <w:r>
              <w:rPr>
                <w:rFonts w:hint="eastAsia" w:cs="Times New Roman"/>
                <w:color w:val="auto"/>
                <w:lang w:val="en-US" w:eastAsia="zh-CN"/>
              </w:rPr>
              <w:t>激光投影仪</w:t>
            </w:r>
            <w:r>
              <w:rPr>
                <w:rFonts w:hint="eastAsia" w:eastAsia="宋体" w:cs="Times New Roman"/>
                <w:color w:val="auto"/>
              </w:rPr>
              <w:t>平均无故障时间大于等于100000小时。（提供相关证明材料，如产品检测报告并加盖公章）②</w:t>
            </w:r>
            <w:r>
              <w:rPr>
                <w:rFonts w:hint="eastAsia" w:cs="Times New Roman"/>
                <w:color w:val="auto"/>
                <w:lang w:val="en-US" w:eastAsia="zh-CN"/>
              </w:rPr>
              <w:t>网络中控主机</w:t>
            </w:r>
            <w:r>
              <w:rPr>
                <w:rFonts w:hint="eastAsia" w:eastAsia="宋体" w:cs="Times New Roman"/>
                <w:color w:val="auto"/>
                <w:lang w:val="en-US" w:eastAsia="zh-CN"/>
              </w:rPr>
              <w:t>兼容学校现有多媒体管理平台，实现统一管理，统一控制，出具兼容承诺函并加盖制造商公章。</w:t>
            </w:r>
            <w:r>
              <w:rPr>
                <w:rFonts w:hint="eastAsia" w:eastAsia="宋体" w:cs="Times New Roman"/>
                <w:color w:val="auto"/>
              </w:rPr>
              <w:t>③</w:t>
            </w:r>
            <w:r>
              <w:rPr>
                <w:rFonts w:hint="eastAsia" w:cs="Times New Roman"/>
                <w:color w:val="auto"/>
                <w:lang w:val="en-US" w:eastAsia="zh-CN"/>
              </w:rPr>
              <w:t>液晶控制</w:t>
            </w:r>
            <w:r>
              <w:rPr>
                <w:rFonts w:hint="eastAsia" w:eastAsia="宋体" w:cs="Times New Roman"/>
                <w:color w:val="auto"/>
                <w:lang w:val="en-US" w:eastAsia="zh-CN"/>
              </w:rPr>
              <w:t>面板支持蓝牙麦克风连接后显示蓝牙麦克风电量（提供产品彩页，并加盖公章）。以上</w:t>
            </w:r>
            <w:r>
              <w:rPr>
                <w:rFonts w:hint="eastAsia" w:eastAsia="宋体" w:cs="Times New Roman"/>
                <w:color w:val="auto"/>
              </w:rPr>
              <w:t>作为附件上传，不提供者视</w:t>
            </w:r>
            <w:r>
              <w:rPr>
                <w:rFonts w:hint="eastAsia" w:ascii="Calibri" w:hAnsi="Calibri" w:eastAsia="宋体" w:cs="Times New Roman"/>
                <w:color w:val="auto"/>
              </w:rPr>
              <w:t>为无效竞价。</w:t>
            </w:r>
          </w:p>
          <w:p w14:paraId="30FFF4B5">
            <w:pPr>
              <w:spacing w:line="288" w:lineRule="auto"/>
              <w:rPr>
                <w:color w:val="auto"/>
              </w:rPr>
            </w:pPr>
            <w:r>
              <w:rPr>
                <w:rFonts w:hint="eastAsia"/>
                <w:color w:val="auto"/>
                <w:lang w:val="en-US" w:eastAsia="zh-CN"/>
              </w:rPr>
              <w:t>5</w:t>
            </w:r>
            <w:r>
              <w:rPr>
                <w:rFonts w:hint="eastAsia"/>
                <w:color w:val="auto"/>
              </w:rPr>
              <w:t>、承诺不少于1年的质保期，后期质保服务时间不得超过1天，并出具承诺函。</w:t>
            </w:r>
          </w:p>
        </w:tc>
      </w:tr>
    </w:tbl>
    <w:p w14:paraId="16093AE6">
      <w:pPr>
        <w:spacing w:line="560" w:lineRule="exact"/>
        <w:rPr>
          <w:rFonts w:ascii="Times New Roman" w:hAnsi="Times New Roman"/>
          <w:sz w:val="24"/>
        </w:rPr>
      </w:pPr>
    </w:p>
    <w:p w14:paraId="311AF0CE"/>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B623D"/>
    <w:multiLevelType w:val="singleLevel"/>
    <w:tmpl w:val="D57B62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N2I4ZDRiMmU3NDVmYzExMTU0M2Y0ZDI1YzIyNzMifQ=="/>
  </w:docVars>
  <w:rsids>
    <w:rsidRoot w:val="31ED7D79"/>
    <w:rsid w:val="002A0612"/>
    <w:rsid w:val="04FD1729"/>
    <w:rsid w:val="069408DC"/>
    <w:rsid w:val="08C14B9D"/>
    <w:rsid w:val="25AA113F"/>
    <w:rsid w:val="2D500C88"/>
    <w:rsid w:val="30D27979"/>
    <w:rsid w:val="31ED7D79"/>
    <w:rsid w:val="3CD858AB"/>
    <w:rsid w:val="43664B49"/>
    <w:rsid w:val="613965CF"/>
    <w:rsid w:val="6F4A7F22"/>
    <w:rsid w:val="725808CB"/>
    <w:rsid w:val="725A2DE1"/>
    <w:rsid w:val="762361D0"/>
    <w:rsid w:val="7CFA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34"/>
    <w:pPr>
      <w:ind w:firstLine="420" w:firstLineChars="200"/>
    </w:pPr>
    <w:rPr>
      <w:color w:val="59595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3861</Words>
  <Characters>4525</Characters>
  <Lines>0</Lines>
  <Paragraphs>0</Paragraphs>
  <TotalTime>0</TotalTime>
  <ScaleCrop>false</ScaleCrop>
  <LinksUpToDate>false</LinksUpToDate>
  <CharactersWithSpaces>4542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2024-09-05T00:49:00Z</dcterms:created>
  <dc:creator>朗朗18627317890</dc:creator>
  <cp:lastModifiedBy>强哥</cp:lastModifiedBy>
  <dcterms:modified xsi:type="dcterms:W3CDTF">2024-10-29T01:15:33Z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579771194FBF440A9FB7A9145E46C20A_13</vt:lpwstr>
  </property>
</Properties>
</file>