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b/>
          <w:bCs/>
          <w:sz w:val="28"/>
          <w:szCs w:val="28"/>
        </w:rPr>
      </w:pPr>
      <w:bookmarkStart w:id="0" w:name="_GoBack"/>
      <w:bookmarkEnd w:id="0"/>
      <w:r>
        <w:rPr>
          <w:rFonts w:ascii="Times New Roman" w:hAnsi="Times New Roman"/>
          <w:b/>
          <w:bCs/>
          <w:sz w:val="28"/>
          <w:szCs w:val="28"/>
        </w:rPr>
        <w:t>采购需求</w:t>
      </w:r>
    </w:p>
    <w:p>
      <w:pPr>
        <w:spacing w:line="560" w:lineRule="exact"/>
        <w:outlineLvl w:val="0"/>
        <w:rPr>
          <w:rStyle w:val="15"/>
          <w:rFonts w:ascii="Times New Roman" w:hAnsi="Times New Roman"/>
          <w:b/>
          <w:bCs/>
          <w:sz w:val="28"/>
          <w:szCs w:val="28"/>
        </w:rPr>
      </w:pPr>
      <w:r>
        <w:rPr>
          <w:rFonts w:ascii="Times New Roman" w:hAnsi="Times New Roman"/>
          <w:b/>
          <w:bCs/>
          <w:sz w:val="28"/>
          <w:szCs w:val="28"/>
        </w:rPr>
        <w:t>一、品目及技术需求</w:t>
      </w:r>
    </w:p>
    <w:tbl>
      <w:tblPr>
        <w:tblStyle w:val="10"/>
        <w:tblW w:w="10706" w:type="dxa"/>
        <w:jc w:val="center"/>
        <w:tblLayout w:type="fixed"/>
        <w:tblCellMar>
          <w:top w:w="0" w:type="dxa"/>
          <w:left w:w="0" w:type="dxa"/>
          <w:bottom w:w="0" w:type="dxa"/>
          <w:right w:w="0" w:type="dxa"/>
        </w:tblCellMar>
      </w:tblPr>
      <w:tblGrid>
        <w:gridCol w:w="652"/>
        <w:gridCol w:w="551"/>
        <w:gridCol w:w="6804"/>
        <w:gridCol w:w="647"/>
        <w:gridCol w:w="425"/>
        <w:gridCol w:w="771"/>
        <w:gridCol w:w="856"/>
      </w:tblGrid>
      <w:tr>
        <w:tblPrEx>
          <w:tblCellMar>
            <w:top w:w="0" w:type="dxa"/>
            <w:left w:w="0" w:type="dxa"/>
            <w:bottom w:w="0" w:type="dxa"/>
            <w:right w:w="0" w:type="dxa"/>
          </w:tblCellMar>
        </w:tblPrEx>
        <w:trPr>
          <w:trHeight w:val="634"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序号</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货物名称</w:t>
            </w:r>
          </w:p>
        </w:tc>
        <w:tc>
          <w:tcPr>
            <w:tcW w:w="6804"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设备主要技术参数</w:t>
            </w:r>
          </w:p>
        </w:tc>
        <w:tc>
          <w:tcPr>
            <w:tcW w:w="647"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数量</w:t>
            </w:r>
          </w:p>
        </w:tc>
        <w:tc>
          <w:tcPr>
            <w:tcW w:w="425"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单位</w:t>
            </w:r>
          </w:p>
        </w:tc>
        <w:tc>
          <w:tcPr>
            <w:tcW w:w="771" w:type="dxa"/>
            <w:tcBorders>
              <w:top w:val="single" w:color="000000" w:sz="4" w:space="0"/>
              <w:left w:val="nil"/>
              <w:bottom w:val="single" w:color="000000" w:sz="4" w:space="0"/>
              <w:right w:val="single" w:color="000000" w:sz="4" w:space="0"/>
            </w:tcBorders>
            <w:vAlign w:val="center"/>
          </w:tcPr>
          <w:p>
            <w:pPr>
              <w:jc w:val="center"/>
              <w:rPr>
                <w:rStyle w:val="15"/>
                <w:b/>
                <w:bCs/>
                <w:kern w:val="0"/>
              </w:rPr>
            </w:pPr>
            <w:r>
              <w:rPr>
                <w:rStyle w:val="15"/>
                <w:b/>
                <w:bCs/>
                <w:kern w:val="0"/>
              </w:rPr>
              <w:t>控制</w:t>
            </w:r>
          </w:p>
          <w:p>
            <w:pPr>
              <w:jc w:val="center"/>
              <w:rPr>
                <w:rStyle w:val="15"/>
                <w:rFonts w:ascii="宋体" w:hAnsi="宋体" w:cs="宋体"/>
                <w:b/>
                <w:bCs/>
                <w:kern w:val="0"/>
                <w:szCs w:val="21"/>
              </w:rPr>
            </w:pPr>
            <w:r>
              <w:rPr>
                <w:rStyle w:val="15"/>
                <w:b/>
                <w:bCs/>
                <w:kern w:val="0"/>
              </w:rPr>
              <w:t>金额</w:t>
            </w:r>
          </w:p>
        </w:tc>
        <w:tc>
          <w:tcPr>
            <w:tcW w:w="856"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推荐品牌</w:t>
            </w:r>
          </w:p>
        </w:tc>
      </w:tr>
      <w:tr>
        <w:tblPrEx>
          <w:tblCellMar>
            <w:top w:w="0" w:type="dxa"/>
            <w:left w:w="0" w:type="dxa"/>
            <w:bottom w:w="0" w:type="dxa"/>
            <w:right w:w="0" w:type="dxa"/>
          </w:tblCellMar>
        </w:tblPrEx>
        <w:trPr>
          <w:trHeight w:val="394"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1</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激光投影机</w:t>
            </w:r>
          </w:p>
        </w:tc>
        <w:tc>
          <w:tcPr>
            <w:tcW w:w="6804" w:type="dxa"/>
            <w:tcBorders>
              <w:top w:val="single" w:color="000000" w:sz="4" w:space="0"/>
              <w:left w:val="nil"/>
              <w:bottom w:val="single" w:color="000000" w:sz="4" w:space="0"/>
              <w:right w:val="single" w:color="000000" w:sz="4" w:space="0"/>
            </w:tcBorders>
            <w:vAlign w:val="center"/>
          </w:tcPr>
          <w:p>
            <w:r>
              <w:rPr>
                <w:rFonts w:hint="eastAsia"/>
              </w:rPr>
              <w:t>1、液晶板≥0.62英寸含微透镜，白色亮度和色彩亮度≥4100流明及以上（ISO21118标准）；</w:t>
            </w:r>
          </w:p>
          <w:p>
            <w:pPr>
              <w:outlineLvl w:val="0"/>
            </w:pPr>
            <w:r>
              <w:rPr>
                <w:rFonts w:hint="eastAsia"/>
              </w:rPr>
              <w:t>2、标准分辨率≥1920x1080；对比度≥2500000：1；</w:t>
            </w:r>
          </w:p>
          <w:p>
            <w:r>
              <w:rPr>
                <w:rFonts w:hint="eastAsia"/>
              </w:rPr>
              <w:t>3、镜头：手动聚焦，1.35倍数字变焦；焦距：F=1.60/f=3.7mm；投射比：0.25（广角）-0.35（长焦）；</w:t>
            </w:r>
          </w:p>
          <w:p>
            <w:r>
              <w:rPr>
                <w:rFonts w:hint="eastAsia"/>
              </w:rPr>
              <w:t>4、 +/-3度水平/垂直梯形校正，具有Quick Corner功能，方便快速调整投影图像；</w:t>
            </w:r>
          </w:p>
          <w:p>
            <w:r>
              <w:rPr>
                <w:rFonts w:hint="eastAsia"/>
              </w:rPr>
              <w:t>5、89.3cm内的距离投射出150英寸16:9大画面（镜头中心到墙面的距离）；并且最大可支持140英寸16:6和142英寸21:9的超宽画面投影；（提供官网功能截图）</w:t>
            </w:r>
          </w:p>
          <w:p>
            <w:pPr>
              <w:outlineLvl w:val="0"/>
            </w:pPr>
            <w:r>
              <w:rPr>
                <w:rFonts w:hint="eastAsia"/>
              </w:rPr>
              <w:t>6、★纯激光光源：激光二极管,使用寿命≥20000小时(标准模式)；</w:t>
            </w:r>
          </w:p>
          <w:p>
            <w:r>
              <w:rPr>
                <w:rFonts w:hint="eastAsia"/>
              </w:rPr>
              <w:t>7、5秒快速启动模式，即时冷却；</w:t>
            </w:r>
          </w:p>
          <w:p>
            <w:pPr>
              <w:widowControl w:val="0"/>
              <w:numPr>
                <w:ilvl w:val="0"/>
                <w:numId w:val="1"/>
              </w:numPr>
              <w:textAlignment w:val="auto"/>
            </w:pPr>
            <w:r>
              <w:rPr>
                <w:rFonts w:hint="eastAsia"/>
              </w:rPr>
              <w:t>为满足多种设备连接需求：要求配置3个HDMI 接口；带麦克风接口；（提供实物接口图）</w:t>
            </w:r>
          </w:p>
          <w:p>
            <w:pPr>
              <w:widowControl w:val="0"/>
              <w:numPr>
                <w:ilvl w:val="0"/>
                <w:numId w:val="1"/>
              </w:numPr>
              <w:textAlignment w:val="auto"/>
            </w:pPr>
            <w:r>
              <w:rPr>
                <w:rFonts w:hint="eastAsia"/>
              </w:rPr>
              <w:t>具有细节增强功能：</w:t>
            </w:r>
            <w:r>
              <w:rPr>
                <w:rFonts w:hint="eastAsia" w:cs="宋体"/>
              </w:rPr>
              <w:t>细节处理技术通过改善图像细节区域的对比度，提供更加清晰锐利的图像；</w:t>
            </w:r>
            <w:r>
              <w:rPr>
                <w:rFonts w:hint="eastAsia"/>
              </w:rPr>
              <w:t>（提供官网功能截图）</w:t>
            </w:r>
          </w:p>
          <w:p>
            <w:pPr>
              <w:widowControl w:val="0"/>
              <w:numPr>
                <w:ilvl w:val="0"/>
                <w:numId w:val="1"/>
              </w:numPr>
              <w:textAlignment w:val="auto"/>
            </w:pPr>
            <w:r>
              <w:rPr>
                <w:rFonts w:hint="eastAsia"/>
              </w:rPr>
              <w:t>支持Miracast 功能, 可以将手机或智能终端（仅安卓系统）上的画面直接镜像至投影屏幕, 无需任何连接线即可实现高清信号的传输；（提供官网功能截图）</w:t>
            </w:r>
          </w:p>
          <w:p>
            <w:pPr>
              <w:widowControl w:val="0"/>
              <w:numPr>
                <w:ilvl w:val="0"/>
                <w:numId w:val="1"/>
              </w:numPr>
              <w:textAlignment w:val="auto"/>
            </w:pPr>
            <w:r>
              <w:rPr>
                <w:rFonts w:hint="eastAsia" w:cs="宋体"/>
                <w:kern w:val="0"/>
                <w:szCs w:val="24"/>
              </w:rPr>
              <w:t>内置Wi-Fi支持无线投影，通过免费软件iProjection，可在电脑或移动设备上轻松实现无线连接，支持Windows、MacOS、Android、iOS等多种平台；</w:t>
            </w:r>
            <w:r>
              <w:rPr>
                <w:rFonts w:hint="eastAsia"/>
              </w:rPr>
              <w:t>（提供官网功能截图）</w:t>
            </w:r>
          </w:p>
          <w:p>
            <w:pPr>
              <w:widowControl w:val="0"/>
              <w:numPr>
                <w:ilvl w:val="0"/>
                <w:numId w:val="1"/>
              </w:numPr>
              <w:ind w:left="420" w:hanging="420"/>
              <w:textAlignment w:val="auto"/>
              <w:rPr>
                <w:rFonts w:cs="宋体"/>
                <w:kern w:val="0"/>
                <w:szCs w:val="24"/>
              </w:rPr>
            </w:pPr>
            <w:r>
              <w:rPr>
                <w:rFonts w:hint="eastAsia" w:cs="宋体"/>
              </w:rPr>
              <w:t>支持主画面屏幕无线分享至其他投影机，实现画面广播的功能。同时，也支持接收多种信号源，呈现四分屏。在多小组教学的场景下，让师生互动的模</w:t>
            </w:r>
            <w:r>
              <w:rPr>
                <w:rFonts w:hint="eastAsia" w:cs="宋体"/>
                <w:kern w:val="0"/>
                <w:szCs w:val="24"/>
              </w:rPr>
              <w:t>式更加多样化；（提供官网功能截图）</w:t>
            </w:r>
          </w:p>
          <w:p>
            <w:pPr>
              <w:widowControl w:val="0"/>
              <w:numPr>
                <w:ilvl w:val="0"/>
                <w:numId w:val="1"/>
              </w:numPr>
              <w:textAlignment w:val="auto"/>
              <w:rPr>
                <w:rFonts w:cs="宋体"/>
                <w:kern w:val="0"/>
                <w:szCs w:val="24"/>
              </w:rPr>
            </w:pPr>
            <w:r>
              <w:rPr>
                <w:rFonts w:hint="eastAsia" w:cs="宋体"/>
                <w:kern w:val="0"/>
                <w:szCs w:val="24"/>
              </w:rPr>
              <w:t>提供原厂供货证明。</w:t>
            </w:r>
          </w:p>
          <w:p>
            <w:pPr>
              <w:widowControl w:val="0"/>
              <w:numPr>
                <w:ilvl w:val="0"/>
                <w:numId w:val="1"/>
              </w:numPr>
              <w:textAlignment w:val="auto"/>
              <w:rPr>
                <w:rFonts w:cs="宋体"/>
                <w:kern w:val="0"/>
                <w:szCs w:val="24"/>
              </w:rPr>
            </w:pPr>
            <w:r>
              <w:rPr>
                <w:rFonts w:hint="eastAsia" w:cs="宋体"/>
                <w:kern w:val="0"/>
                <w:szCs w:val="24"/>
              </w:rPr>
              <w:t>视频输入：2xD-sub 15p,1xRCA，3xHDMI；视频输出：1xD-sub 15p；音频输入：3xStereo mini；音频输出：1xStereo mini；1×USB-A（支持5V/2A供电），1×USB-B；RJ45×1，RS232C×1；整机重量≤5.9kg；</w:t>
            </w:r>
          </w:p>
          <w:p>
            <w:pPr>
              <w:widowControl w:val="0"/>
              <w:numPr>
                <w:ilvl w:val="0"/>
                <w:numId w:val="1"/>
              </w:numPr>
              <w:textAlignment w:val="auto"/>
            </w:pPr>
            <w:r>
              <w:rPr>
                <w:rFonts w:hint="eastAsia" w:cs="宋体"/>
                <w:kern w:val="0"/>
                <w:szCs w:val="24"/>
              </w:rPr>
              <w:t>投标人承诺中标后签订合同前必须提供厂家针对本项目的授权书和售后服务承诺书原件。</w:t>
            </w:r>
          </w:p>
        </w:tc>
        <w:tc>
          <w:tcPr>
            <w:tcW w:w="647"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1</w:t>
            </w:r>
          </w:p>
        </w:tc>
        <w:tc>
          <w:tcPr>
            <w:tcW w:w="425"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台</w:t>
            </w:r>
          </w:p>
        </w:tc>
        <w:tc>
          <w:tcPr>
            <w:tcW w:w="771" w:type="dxa"/>
            <w:tcBorders>
              <w:top w:val="single" w:color="000000" w:sz="4" w:space="0"/>
              <w:left w:val="nil"/>
              <w:bottom w:val="single" w:color="000000" w:sz="4" w:space="0"/>
              <w:right w:val="single" w:color="000000" w:sz="4" w:space="0"/>
            </w:tcBorders>
            <w:vAlign w:val="center"/>
          </w:tcPr>
          <w:p>
            <w:pPr>
              <w:pStyle w:val="12"/>
              <w:jc w:val="center"/>
              <w:rPr>
                <w:rFonts w:ascii="宋体" w:hAnsi="宋体" w:cs="宋体"/>
                <w:b/>
                <w:bCs/>
                <w:kern w:val="0"/>
                <w:szCs w:val="21"/>
              </w:rPr>
            </w:pPr>
            <w:r>
              <w:rPr>
                <w:rFonts w:hint="eastAsia" w:ascii="宋体" w:hAnsi="宋体" w:cs="宋体"/>
                <w:b/>
                <w:bCs/>
                <w:kern w:val="0"/>
                <w:szCs w:val="21"/>
              </w:rPr>
              <w:t>24000</w:t>
            </w:r>
          </w:p>
        </w:tc>
        <w:tc>
          <w:tcPr>
            <w:tcW w:w="856"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Fonts w:hint="eastAsia" w:ascii="宋体" w:hAnsi="宋体" w:cs="宋体"/>
                <w:b/>
                <w:bCs/>
                <w:kern w:val="0"/>
                <w:szCs w:val="21"/>
              </w:rPr>
              <w:t>爱普生、惠普</w:t>
            </w:r>
          </w:p>
        </w:tc>
      </w:tr>
      <w:tr>
        <w:tblPrEx>
          <w:tblCellMar>
            <w:top w:w="0" w:type="dxa"/>
            <w:left w:w="0" w:type="dxa"/>
            <w:bottom w:w="0" w:type="dxa"/>
            <w:right w:w="0" w:type="dxa"/>
          </w:tblCellMar>
        </w:tblPrEx>
        <w:trPr>
          <w:trHeight w:val="394"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5"/>
                <w:rFonts w:ascii="宋体" w:hAnsi="宋体" w:cs="宋体"/>
                <w:bCs/>
                <w:kern w:val="0"/>
                <w:szCs w:val="21"/>
              </w:rPr>
            </w:pPr>
            <w:r>
              <w:rPr>
                <w:rStyle w:val="15"/>
                <w:rFonts w:hint="eastAsia" w:ascii="宋体" w:hAnsi="宋体" w:cs="宋体"/>
                <w:bCs/>
                <w:kern w:val="0"/>
                <w:szCs w:val="21"/>
              </w:rPr>
              <w:t>2</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cs="Tahoma" w:asciiTheme="minorEastAsia" w:hAnsiTheme="minorEastAsia" w:eastAsiaTheme="minorEastAsia"/>
                <w:color w:val="000000"/>
                <w:szCs w:val="21"/>
              </w:rPr>
            </w:pPr>
            <w:r>
              <w:rPr>
                <w:rFonts w:hint="eastAsia" w:cs="Tahoma" w:asciiTheme="minorEastAsia" w:hAnsiTheme="minorEastAsia" w:eastAsiaTheme="minorEastAsia"/>
                <w:color w:val="000000"/>
                <w:szCs w:val="21"/>
              </w:rPr>
              <w:t>高清画框幕</w:t>
            </w:r>
          </w:p>
        </w:tc>
        <w:tc>
          <w:tcPr>
            <w:tcW w:w="6804" w:type="dxa"/>
            <w:tcBorders>
              <w:top w:val="single" w:color="000000" w:sz="4" w:space="0"/>
              <w:left w:val="nil"/>
              <w:bottom w:val="single" w:color="000000" w:sz="4" w:space="0"/>
              <w:right w:val="single" w:color="000000" w:sz="4" w:space="0"/>
            </w:tcBorders>
            <w:vAlign w:val="center"/>
          </w:tcPr>
          <w:p>
            <w:r>
              <w:rPr>
                <w:rFonts w:hint="eastAsia"/>
              </w:rPr>
              <w:t>1.四面镶嵌式铝合金边框组成，幕面四周采用平面定位处理，确保幕布受力均匀，有效消除四周区“水波纹”及“V 形纹”，完美体现镜面般纯平画面，铝合金外框。</w:t>
            </w:r>
          </w:p>
          <w:p>
            <w:r>
              <w:rPr>
                <w:rFonts w:hint="eastAsia"/>
              </w:rPr>
              <w:t>2.PVC白软幕，纯聚乙烯幕布材料，前白后黑，抗UV、防静电，不沾灰。</w:t>
            </w:r>
          </w:p>
          <w:p>
            <w:r>
              <w:rPr>
                <w:rFonts w:hint="eastAsia"/>
              </w:rPr>
              <w:t>3.尺寸≥120英寸，软幕，画面显示16:9。</w:t>
            </w:r>
          </w:p>
          <w:p>
            <w:r>
              <w:rPr>
                <w:rFonts w:hint="eastAsia"/>
              </w:rPr>
              <w:t>4.增益≥1.2倍，视角≥160°。</w:t>
            </w:r>
          </w:p>
          <w:p>
            <w:r>
              <w:rPr>
                <w:rFonts w:hint="eastAsia"/>
              </w:rPr>
              <w:t>5.铝合金烤漆边框。</w:t>
            </w:r>
          </w:p>
          <w:p>
            <w:r>
              <w:rPr>
                <w:rFonts w:hint="eastAsia"/>
              </w:rPr>
              <w:t>6.含安装调试</w:t>
            </w:r>
          </w:p>
        </w:tc>
        <w:tc>
          <w:tcPr>
            <w:tcW w:w="647"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1</w:t>
            </w:r>
          </w:p>
        </w:tc>
        <w:tc>
          <w:tcPr>
            <w:tcW w:w="425"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套</w:t>
            </w:r>
          </w:p>
        </w:tc>
        <w:tc>
          <w:tcPr>
            <w:tcW w:w="771" w:type="dxa"/>
            <w:tcBorders>
              <w:top w:val="single" w:color="000000" w:sz="4" w:space="0"/>
              <w:left w:val="nil"/>
              <w:bottom w:val="single" w:color="000000" w:sz="4" w:space="0"/>
              <w:right w:val="single" w:color="000000" w:sz="4" w:space="0"/>
            </w:tcBorders>
            <w:vAlign w:val="center"/>
          </w:tcPr>
          <w:p>
            <w:pPr>
              <w:pStyle w:val="12"/>
              <w:jc w:val="center"/>
              <w:rPr>
                <w:rFonts w:ascii="宋体" w:hAnsi="宋体" w:cs="宋体"/>
                <w:b/>
                <w:bCs/>
                <w:kern w:val="0"/>
                <w:szCs w:val="21"/>
              </w:rPr>
            </w:pPr>
            <w:r>
              <w:rPr>
                <w:rFonts w:hint="eastAsia" w:ascii="宋体" w:hAnsi="宋体" w:cs="宋体"/>
                <w:b/>
                <w:bCs/>
                <w:kern w:val="0"/>
                <w:szCs w:val="21"/>
              </w:rPr>
              <w:t>1600</w:t>
            </w:r>
          </w:p>
        </w:tc>
        <w:tc>
          <w:tcPr>
            <w:tcW w:w="856" w:type="dxa"/>
            <w:tcBorders>
              <w:top w:val="single" w:color="000000" w:sz="4" w:space="0"/>
              <w:left w:val="nil"/>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
                <w:bCs/>
                <w:kern w:val="0"/>
                <w:szCs w:val="21"/>
              </w:rPr>
              <w:t>红叶、丽虹</w:t>
            </w:r>
          </w:p>
        </w:tc>
      </w:tr>
      <w:tr>
        <w:tblPrEx>
          <w:tblCellMar>
            <w:top w:w="0" w:type="dxa"/>
            <w:left w:w="0" w:type="dxa"/>
            <w:bottom w:w="0" w:type="dxa"/>
            <w:right w:w="0" w:type="dxa"/>
          </w:tblCellMar>
        </w:tblPrEx>
        <w:trPr>
          <w:trHeight w:val="1103"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5"/>
                <w:rFonts w:ascii="宋体" w:hAnsi="宋体" w:cs="宋体"/>
                <w:szCs w:val="21"/>
              </w:rPr>
            </w:pPr>
            <w:r>
              <w:rPr>
                <w:rStyle w:val="15"/>
                <w:rFonts w:hint="eastAsia" w:ascii="宋体" w:hAnsi="宋体" w:cs="宋体"/>
                <w:szCs w:val="21"/>
              </w:rPr>
              <w:t>3</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Style w:val="15"/>
                <w:rFonts w:hint="eastAsia" w:ascii="宋体" w:hAnsi="宋体" w:cs="宋体"/>
                <w:szCs w:val="21"/>
              </w:rPr>
              <w:t>教师终端电脑</w:t>
            </w:r>
          </w:p>
        </w:tc>
        <w:tc>
          <w:tcPr>
            <w:tcW w:w="6804" w:type="dxa"/>
            <w:tcBorders>
              <w:top w:val="single" w:color="000000" w:sz="4" w:space="0"/>
              <w:left w:val="nil"/>
              <w:bottom w:val="single" w:color="000000" w:sz="4" w:space="0"/>
              <w:right w:val="single" w:color="000000" w:sz="4" w:space="0"/>
            </w:tcBorders>
            <w:vAlign w:val="center"/>
          </w:tcPr>
          <w:p>
            <w:pPr>
              <w:outlineLvl w:val="0"/>
            </w:pPr>
            <w:r>
              <w:rPr>
                <w:rFonts w:hint="eastAsia"/>
              </w:rPr>
              <w:t>1.处理器：酷睿第十二代i5-12500处理器或以上；</w:t>
            </w:r>
          </w:p>
          <w:p>
            <w:r>
              <w:rPr>
                <w:rFonts w:hint="eastAsia"/>
              </w:rPr>
              <w:t>2.主板：Intel H670系列芯片组或以上，支持中文BIOS操作界面；</w:t>
            </w:r>
          </w:p>
          <w:p>
            <w:r>
              <w:rPr>
                <w:rFonts w:hint="eastAsia"/>
              </w:rPr>
              <w:t>3.内存：≥16GB DDR4 3200，最高支持64GB内存拓展；</w:t>
            </w:r>
          </w:p>
          <w:p>
            <w:r>
              <w:rPr>
                <w:rFonts w:hint="eastAsia"/>
              </w:rPr>
              <w:t>4.硬盘：≥512GB 固态硬盘；</w:t>
            </w:r>
          </w:p>
          <w:p>
            <w:r>
              <w:rPr>
                <w:rFonts w:hint="eastAsia"/>
              </w:rPr>
              <w:t>5.显卡：高性能集成显卡；</w:t>
            </w:r>
          </w:p>
          <w:p>
            <w:r>
              <w:rPr>
                <w:rFonts w:hint="eastAsia"/>
              </w:rPr>
              <w:t>6.网卡：板载千兆以太网卡；</w:t>
            </w:r>
          </w:p>
          <w:p>
            <w:r>
              <w:rPr>
                <w:rFonts w:hint="eastAsia"/>
              </w:rPr>
              <w:t>7. 机箱：标准立式机箱，为方便散热，要求体积大于15升；</w:t>
            </w:r>
          </w:p>
          <w:p>
            <w:r>
              <w:rPr>
                <w:rFonts w:hint="eastAsia"/>
              </w:rPr>
              <w:t>8. 电源：≥350W高效节能电源；</w:t>
            </w:r>
          </w:p>
          <w:p>
            <w:r>
              <w:rPr>
                <w:rFonts w:hint="eastAsia"/>
              </w:rPr>
              <w:t>9.接口：≥8个USB接口（其中至少含4个USB3.1），≥1个HDMI接口，≥1个VGA接口，≥1个二合一音频接口；</w:t>
            </w:r>
          </w:p>
          <w:p>
            <w:r>
              <w:rPr>
                <w:rFonts w:hint="eastAsia"/>
              </w:rPr>
              <w:t>10.扩展：≥1个PCIex1插槽，≥1个PCIex16插槽，≥2个M.2插槽；</w:t>
            </w:r>
          </w:p>
          <w:p>
            <w:r>
              <w:rPr>
                <w:rFonts w:hint="eastAsia"/>
              </w:rPr>
              <w:t>11.键盘鼠标：同品牌抗菌USB键盘，抗菌USB光电鼠标；</w:t>
            </w:r>
          </w:p>
          <w:p>
            <w:r>
              <w:rPr>
                <w:rFonts w:hint="eastAsia"/>
              </w:rPr>
              <w:t>12.显示器：≥21.5寸与主机同品牌商用液晶显示器，分辨率：≥1920*1080；</w:t>
            </w:r>
          </w:p>
          <w:p>
            <w:r>
              <w:rPr>
                <w:rFonts w:hint="eastAsia"/>
              </w:rPr>
              <w:t>13.操作系统：预装win11 home或以上正版操作系统；</w:t>
            </w:r>
          </w:p>
          <w:p>
            <w:r>
              <w:rPr>
                <w:rFonts w:hint="eastAsia"/>
              </w:rPr>
              <w:t>14.★要求带网络同传功能：具有网络同传功能，采用基于UEFI技术开发，支持系统分区硬盘保护，网络故障定位，IP及计算机名自动分配，远程重启唤醒关机，数据传输加密（提供加密传输截图证明）；</w:t>
            </w:r>
          </w:p>
          <w:p>
            <w:r>
              <w:rPr>
                <w:rFonts w:hint="eastAsia"/>
              </w:rPr>
              <w:t>资质认证：</w:t>
            </w:r>
          </w:p>
          <w:p>
            <w:r>
              <w:rPr>
                <w:rFonts w:hint="eastAsia"/>
              </w:rPr>
              <w:t>15.为节能省电，所投电脑电源典型效率≥90%，提供国家能效中心出具的证书复印件并加盖公章</w:t>
            </w:r>
          </w:p>
          <w:p>
            <w:r>
              <w:rPr>
                <w:rFonts w:hint="eastAsia"/>
              </w:rPr>
              <w:t>16.产品国家电子计算机质量监督检验中心≥105万小时平均无故障运行认证，提供复印件并加盖公章；</w:t>
            </w:r>
          </w:p>
          <w:p>
            <w:r>
              <w:rPr>
                <w:rFonts w:hint="eastAsia"/>
              </w:rPr>
              <w:t xml:space="preserve">17.为保证工作站不受气象因素而影响运行，产品要求具备双重防雷认证，提供复印件并加盖公章；                                                    </w:t>
            </w:r>
          </w:p>
          <w:p>
            <w:r>
              <w:rPr>
                <w:rFonts w:hint="eastAsia"/>
              </w:rPr>
              <w:t>18.★需提供原厂商三年免费上门保修服务，提供证明材料佐证。</w:t>
            </w:r>
          </w:p>
          <w:p>
            <w:r>
              <w:rPr>
                <w:rFonts w:hint="eastAsia"/>
              </w:rPr>
              <w:t>19.</w:t>
            </w:r>
            <w:r>
              <w:rPr>
                <w:szCs w:val="21"/>
              </w:rPr>
              <w:t xml:space="preserve"> 投标人承诺中标后签订合同前须提供原厂针对本项目售后服务承诺函原件</w:t>
            </w:r>
            <w:r>
              <w:rPr>
                <w:rFonts w:hint="eastAsia"/>
              </w:rPr>
              <w:t>。</w:t>
            </w:r>
          </w:p>
          <w:p>
            <w:pPr>
              <w:rPr>
                <w:szCs w:val="21"/>
              </w:rPr>
            </w:pPr>
            <w:r>
              <w:rPr>
                <w:rFonts w:hint="eastAsia"/>
                <w:szCs w:val="21"/>
              </w:rPr>
              <w:t>20.还原管理软件：</w:t>
            </w:r>
          </w:p>
          <w:p>
            <w:pPr>
              <w:rPr>
                <w:szCs w:val="21"/>
              </w:rPr>
            </w:pPr>
            <w:r>
              <w:rPr>
                <w:rFonts w:hint="eastAsia"/>
                <w:szCs w:val="21"/>
              </w:rPr>
              <w:t>★20.1支持从WINDOWS界面对1000台以上的电脑进行数据差异拷贝，非增量拷贝、变量拷贝、进度同步等上一代部署方式。根据网络状况可选择广播、组播、单播等方式（提供支持1000台机位的界面截图）</w:t>
            </w:r>
          </w:p>
          <w:p>
            <w:pPr>
              <w:rPr>
                <w:szCs w:val="21"/>
              </w:rPr>
            </w:pPr>
            <w:r>
              <w:rPr>
                <w:rFonts w:hint="eastAsia"/>
                <w:szCs w:val="21"/>
              </w:rPr>
              <w:t>20.2支持操作系统分权管理，可分配不同的管理员管理不同的操作系统。(提供功能界面截图)</w:t>
            </w:r>
          </w:p>
          <w:p>
            <w:pPr>
              <w:rPr>
                <w:szCs w:val="21"/>
              </w:rPr>
            </w:pPr>
            <w:r>
              <w:rPr>
                <w:rFonts w:hint="eastAsia"/>
                <w:szCs w:val="21"/>
              </w:rPr>
              <w:t>20.3支持对Ubuntu、Redhat、Centos、Fedora等系统的立即还原和ip地址自动分配</w:t>
            </w:r>
          </w:p>
          <w:p>
            <w:pPr>
              <w:rPr>
                <w:szCs w:val="21"/>
              </w:rPr>
            </w:pPr>
            <w:r>
              <w:rPr>
                <w:rFonts w:hint="eastAsia"/>
                <w:szCs w:val="21"/>
              </w:rPr>
              <w:t>20.4支持电脑本地硬盘操作系统（xp\win7\win8\win10\linux）的立即还原和还原点瞬间创建(提供功能界面截图并加盖原厂公章)</w:t>
            </w:r>
          </w:p>
          <w:p>
            <w:pPr>
              <w:rPr>
                <w:szCs w:val="21"/>
              </w:rPr>
            </w:pPr>
            <w:r>
              <w:rPr>
                <w:rFonts w:hint="eastAsia"/>
                <w:szCs w:val="21"/>
              </w:rPr>
              <w:t xml:space="preserve">★20.5支持对客户端内多块硬盘进行分区、系统装载、还原、还原方式设置，满足多硬盘系统还原和管理；（提供第三方检测机构出具的具备CNAS标识的产品功能测试报告）   </w:t>
            </w:r>
          </w:p>
          <w:p>
            <w:pPr>
              <w:rPr>
                <w:szCs w:val="21"/>
              </w:rPr>
            </w:pPr>
            <w:r>
              <w:rPr>
                <w:rFonts w:hint="eastAsia"/>
                <w:szCs w:val="21"/>
              </w:rPr>
              <w:t xml:space="preserve">20.6支持文件夹穿透，可在当前保护的分区下设定一个开放的文件夹,保存更新设置，重启分区还原其它数据还原，此文件夹中的数据不还原。（提供第三方检测机构出具的具备CNAS标识的产品功能测试报告）   </w:t>
            </w:r>
          </w:p>
          <w:p>
            <w:pPr>
              <w:rPr>
                <w:szCs w:val="21"/>
              </w:rPr>
            </w:pPr>
            <w:r>
              <w:rPr>
                <w:rFonts w:hint="eastAsia"/>
                <w:szCs w:val="21"/>
              </w:rPr>
              <w:t>★20.7黑名单、白名单两种模式，能够根据手动添加、游戏进程、应用进程、系统自带进程进行设置，并能够通过客户端实时识别操作系统进程进行控制，并设置生效时间区间，能够精确到秒，支持按天执行、按周执行、按月执行(提供功能界面截图)</w:t>
            </w:r>
          </w:p>
          <w:p>
            <w:pPr>
              <w:ind w:left="69" w:leftChars="33"/>
              <w:rPr>
                <w:rStyle w:val="15"/>
                <w:rFonts w:ascii="宋体" w:hAnsi="宋体" w:cs="宋体"/>
                <w:kern w:val="0"/>
                <w:szCs w:val="21"/>
              </w:rPr>
            </w:pPr>
            <w:r>
              <w:rPr>
                <w:rFonts w:hint="eastAsia"/>
                <w:szCs w:val="21"/>
              </w:rPr>
              <w:t>20.8</w:t>
            </w:r>
            <w:r>
              <w:rPr>
                <w:szCs w:val="21"/>
              </w:rPr>
              <w:t>提供免费软件升级服务，</w:t>
            </w:r>
            <w:r>
              <w:rPr>
                <w:rFonts w:hint="eastAsia"/>
                <w:szCs w:val="21"/>
              </w:rPr>
              <w:t>须</w:t>
            </w:r>
            <w:r>
              <w:rPr>
                <w:szCs w:val="21"/>
              </w:rPr>
              <w:t>提供原厂针对本项目售后服务承诺函原件</w:t>
            </w:r>
          </w:p>
        </w:tc>
        <w:tc>
          <w:tcPr>
            <w:tcW w:w="647"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1</w:t>
            </w:r>
          </w:p>
        </w:tc>
        <w:tc>
          <w:tcPr>
            <w:tcW w:w="425"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台</w:t>
            </w:r>
          </w:p>
        </w:tc>
        <w:tc>
          <w:tcPr>
            <w:tcW w:w="771"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5000</w:t>
            </w:r>
          </w:p>
        </w:tc>
        <w:tc>
          <w:tcPr>
            <w:tcW w:w="856"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Fonts w:hint="eastAsia" w:ascii="宋体" w:hAnsi="宋体" w:cs="宋体"/>
                <w:b/>
                <w:bCs/>
                <w:kern w:val="0"/>
                <w:szCs w:val="21"/>
              </w:rPr>
              <w:t>惠普、噢易</w:t>
            </w:r>
          </w:p>
        </w:tc>
      </w:tr>
      <w:tr>
        <w:tblPrEx>
          <w:tblCellMar>
            <w:top w:w="0" w:type="dxa"/>
            <w:left w:w="0" w:type="dxa"/>
            <w:bottom w:w="0" w:type="dxa"/>
            <w:right w:w="0" w:type="dxa"/>
          </w:tblCellMar>
        </w:tblPrEx>
        <w:trPr>
          <w:trHeight w:val="688"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5"/>
                <w:rFonts w:ascii="宋体" w:hAnsi="宋体" w:cs="宋体"/>
                <w:szCs w:val="21"/>
              </w:rPr>
            </w:pPr>
            <w:r>
              <w:rPr>
                <w:rStyle w:val="15"/>
                <w:rFonts w:hint="eastAsia" w:ascii="宋体" w:hAnsi="宋体" w:cs="宋体"/>
                <w:szCs w:val="21"/>
              </w:rPr>
              <w:t>4</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Style w:val="15"/>
                <w:rFonts w:ascii="宋体" w:hAnsi="宋体" w:cs="宋体"/>
                <w:szCs w:val="21"/>
              </w:rPr>
            </w:pPr>
            <w:r>
              <w:rPr>
                <w:rStyle w:val="15"/>
                <w:rFonts w:hint="eastAsia" w:ascii="宋体" w:hAnsi="宋体" w:cs="宋体"/>
                <w:szCs w:val="21"/>
              </w:rPr>
              <w:t>钢制讲台</w:t>
            </w:r>
          </w:p>
        </w:tc>
        <w:tc>
          <w:tcPr>
            <w:tcW w:w="6804" w:type="dxa"/>
            <w:tcBorders>
              <w:top w:val="single" w:color="000000" w:sz="4" w:space="0"/>
              <w:left w:val="nil"/>
              <w:bottom w:val="single" w:color="000000" w:sz="4" w:space="0"/>
              <w:right w:val="single" w:color="000000" w:sz="4" w:space="0"/>
            </w:tcBorders>
            <w:vAlign w:val="center"/>
          </w:tcPr>
          <w:p>
            <w:pPr>
              <w:outlineLvl w:val="0"/>
            </w:pPr>
            <w:r>
              <w:rPr>
                <w:rFonts w:hint="eastAsia"/>
              </w:rPr>
              <w:t>1、讲台选用0.8-1.2mm厚优质冷轧钢板（光洁平整无锈迹），数控设备精加工制作，表面经去尘、除油、陶化上膜后采用瑞士金马喷枪自动静电喷塑处理、光洁度好，塑层厚度均匀、抗冲击。造型设计以人为本，边角圆弧过渡，无尖锐，可以防止碰伤学生；</w:t>
            </w:r>
          </w:p>
          <w:p>
            <w:pPr>
              <w:outlineLvl w:val="0"/>
            </w:pPr>
            <w:r>
              <w:rPr>
                <w:rFonts w:hint="eastAsia"/>
              </w:rPr>
              <w:t>2、规格：1180×730×980mm</w:t>
            </w:r>
          </w:p>
          <w:p>
            <w:pPr>
              <w:outlineLvl w:val="0"/>
            </w:pPr>
            <w:r>
              <w:rPr>
                <w:rFonts w:hint="eastAsia"/>
              </w:rPr>
              <w:t>3、支持19-22寸电脑，中控，主机，DVD，功放音箱，实物展台等安装，并可支持现今市面上任意一款实物展台安装；</w:t>
            </w:r>
          </w:p>
          <w:p>
            <w:pPr>
              <w:outlineLvl w:val="0"/>
            </w:pPr>
            <w:r>
              <w:rPr>
                <w:rFonts w:hint="eastAsia"/>
              </w:rPr>
              <w:t>4、讲台配防静电接地装置，老师使用更安全；</w:t>
            </w:r>
          </w:p>
          <w:p>
            <w:pPr>
              <w:outlineLvl w:val="0"/>
            </w:pPr>
            <w:r>
              <w:rPr>
                <w:rFonts w:hint="eastAsia"/>
              </w:rPr>
              <w:t>5、讲台内带有固定线孔位，可对柜内所有设备线进行固定，使柜内线井然有序；</w:t>
            </w:r>
          </w:p>
          <w:p>
            <w:pPr>
              <w:outlineLvl w:val="0"/>
              <w:rPr>
                <w:rStyle w:val="15"/>
              </w:rPr>
            </w:pPr>
            <w:r>
              <w:rPr>
                <w:rFonts w:hint="eastAsia"/>
              </w:rPr>
              <w:t>6、讲台采用钢木结合，高贵大方，台面两侧实木扶手，方便使用者扶握；</w:t>
            </w:r>
          </w:p>
        </w:tc>
        <w:tc>
          <w:tcPr>
            <w:tcW w:w="647"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1</w:t>
            </w:r>
          </w:p>
        </w:tc>
        <w:tc>
          <w:tcPr>
            <w:tcW w:w="425"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个</w:t>
            </w:r>
          </w:p>
        </w:tc>
        <w:tc>
          <w:tcPr>
            <w:tcW w:w="771"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3200</w:t>
            </w:r>
          </w:p>
        </w:tc>
        <w:tc>
          <w:tcPr>
            <w:tcW w:w="856"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拓成、固立</w:t>
            </w:r>
          </w:p>
        </w:tc>
      </w:tr>
      <w:tr>
        <w:tblPrEx>
          <w:tblCellMar>
            <w:top w:w="0" w:type="dxa"/>
            <w:left w:w="0" w:type="dxa"/>
            <w:bottom w:w="0" w:type="dxa"/>
            <w:right w:w="0" w:type="dxa"/>
          </w:tblCellMar>
        </w:tblPrEx>
        <w:trPr>
          <w:trHeight w:val="403"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5"/>
                <w:rFonts w:ascii="宋体" w:hAnsi="宋体" w:cs="宋体"/>
                <w:szCs w:val="21"/>
              </w:rPr>
            </w:pPr>
            <w:r>
              <w:rPr>
                <w:rStyle w:val="15"/>
                <w:rFonts w:hint="eastAsia" w:ascii="宋体" w:hAnsi="宋体" w:cs="宋体"/>
                <w:szCs w:val="21"/>
              </w:rPr>
              <w:t>5</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全数字多功能功放主机</w:t>
            </w:r>
          </w:p>
        </w:tc>
        <w:tc>
          <w:tcPr>
            <w:tcW w:w="6804" w:type="dxa"/>
            <w:tcBorders>
              <w:top w:val="single" w:color="000000" w:sz="4" w:space="0"/>
              <w:left w:val="nil"/>
              <w:bottom w:val="single" w:color="000000" w:sz="4" w:space="0"/>
              <w:right w:val="single" w:color="000000" w:sz="4" w:space="0"/>
            </w:tcBorders>
            <w:vAlign w:val="center"/>
          </w:tcPr>
          <w:p>
            <w:pPr>
              <w:rPr>
                <w:rFonts w:ascii="宋体" w:hAnsi="宋体" w:cs="宋体"/>
              </w:rPr>
            </w:pPr>
            <w:r>
              <w:rPr>
                <w:rFonts w:hint="eastAsia" w:ascii="宋体" w:hAnsi="宋体" w:cs="宋体"/>
              </w:rPr>
              <w:t>5路话筒输入、3路音频输入、2组音频输出、1路录音输出、4组扬声器输出、支持USB播放、蓝牙无线传输，再加上DSP防啸叫抑制和稳定并充足的功率输出轻松满足您的各类需求、独立混响调节、LED显示屏、智能温控系统</w:t>
            </w:r>
          </w:p>
          <w:p>
            <w:pPr>
              <w:rPr>
                <w:rFonts w:ascii="宋体" w:hAnsi="宋体" w:cs="宋体"/>
              </w:rPr>
            </w:pPr>
            <w:r>
              <w:rPr>
                <w:rFonts w:hint="eastAsia" w:ascii="宋体" w:hAnsi="宋体" w:cs="宋体"/>
              </w:rPr>
              <w:t>1、3U机型，经典拉丝铝面板外观</w:t>
            </w:r>
          </w:p>
          <w:p>
            <w:pPr>
              <w:rPr>
                <w:rFonts w:ascii="宋体" w:hAnsi="宋体" w:cs="宋体"/>
              </w:rPr>
            </w:pPr>
            <w:r>
              <w:rPr>
                <w:rFonts w:hint="eastAsia" w:ascii="宋体" w:hAnsi="宋体" w:cs="宋体"/>
              </w:rPr>
              <w:t>2、面板效果调节部份均为暗调式旋钮，内置DSP混响，可调节话筒的混响效果、高低音均衡调节与音乐的高低音调节;</w:t>
            </w:r>
          </w:p>
          <w:p>
            <w:pPr>
              <w:rPr>
                <w:rFonts w:ascii="宋体" w:hAnsi="宋体" w:cs="宋体"/>
              </w:rPr>
            </w:pPr>
            <w:r>
              <w:rPr>
                <w:rFonts w:hint="eastAsia" w:ascii="宋体" w:hAnsi="宋体" w:cs="宋体"/>
              </w:rPr>
              <w:t>3、内置移频反馈电路模块，可有效在保持话筒不失真情况下有效抑制话筒啸叫的产生</w:t>
            </w:r>
          </w:p>
          <w:p>
            <w:pPr>
              <w:rPr>
                <w:rFonts w:ascii="宋体" w:hAnsi="宋体" w:cs="宋体"/>
              </w:rPr>
            </w:pPr>
            <w:r>
              <w:rPr>
                <w:rFonts w:hint="eastAsia" w:ascii="宋体" w:hAnsi="宋体" w:cs="宋体"/>
              </w:rPr>
              <w:t>4、总共有五路话筒输入、前三路为6.35插座、后两路为卡农平衡输入，并设有48V幻象电源</w:t>
            </w:r>
          </w:p>
          <w:p>
            <w:pPr>
              <w:rPr>
                <w:rFonts w:ascii="宋体" w:hAnsi="宋体" w:cs="宋体"/>
              </w:rPr>
            </w:pPr>
            <w:r>
              <w:rPr>
                <w:rFonts w:hint="eastAsia" w:ascii="宋体" w:hAnsi="宋体" w:cs="宋体"/>
              </w:rPr>
              <w:t>5、音乐信号有四路输入、两路录音输出:</w:t>
            </w:r>
          </w:p>
          <w:p>
            <w:pPr>
              <w:rPr>
                <w:rFonts w:ascii="宋体" w:hAnsi="宋体" w:cs="宋体"/>
              </w:rPr>
            </w:pPr>
            <w:r>
              <w:rPr>
                <w:rFonts w:hint="eastAsia" w:ascii="宋体" w:hAnsi="宋体" w:cs="宋体"/>
              </w:rPr>
              <w:t>6、内置USB和蓝牙播放，带有数码管显示和语音提示音(语音可以关闭)。</w:t>
            </w:r>
          </w:p>
          <w:p>
            <w:pPr>
              <w:rPr>
                <w:rFonts w:ascii="宋体" w:hAnsi="宋体" w:cs="宋体"/>
              </w:rPr>
            </w:pPr>
            <w:r>
              <w:rPr>
                <w:rFonts w:hint="eastAsia" w:ascii="宋体" w:hAnsi="宋体" w:cs="宋体"/>
              </w:rPr>
              <w:t>7、功率250W*2</w:t>
            </w:r>
          </w:p>
          <w:p>
            <w:pPr>
              <w:rPr>
                <w:rStyle w:val="15"/>
                <w:szCs w:val="21"/>
              </w:rPr>
            </w:pPr>
            <w:r>
              <w:rPr>
                <w:rFonts w:hint="eastAsia" w:ascii="宋体" w:hAnsi="宋体" w:cs="宋体"/>
              </w:rPr>
              <w:t>8、提供制造商厂家针对本项目售后服务承诺函原件。</w:t>
            </w:r>
          </w:p>
        </w:tc>
        <w:tc>
          <w:tcPr>
            <w:tcW w:w="647"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1</w:t>
            </w:r>
          </w:p>
        </w:tc>
        <w:tc>
          <w:tcPr>
            <w:tcW w:w="425"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台</w:t>
            </w:r>
          </w:p>
        </w:tc>
        <w:tc>
          <w:tcPr>
            <w:tcW w:w="771"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1500</w:t>
            </w:r>
          </w:p>
        </w:tc>
        <w:tc>
          <w:tcPr>
            <w:tcW w:w="856" w:type="dxa"/>
            <w:tcBorders>
              <w:top w:val="single" w:color="000000" w:sz="4" w:space="0"/>
              <w:left w:val="nil"/>
              <w:bottom w:val="single" w:color="000000" w:sz="4" w:space="0"/>
              <w:right w:val="single" w:color="000000" w:sz="4" w:space="0"/>
            </w:tcBorders>
            <w:vAlign w:val="center"/>
          </w:tcPr>
          <w:p>
            <w:pPr>
              <w:spacing w:line="560" w:lineRule="exact"/>
              <w:rPr>
                <w:rStyle w:val="15"/>
                <w:rFonts w:ascii="Times New Roman" w:hAnsi="Times New Roman"/>
                <w:sz w:val="24"/>
              </w:rPr>
            </w:pPr>
            <w:r>
              <w:rPr>
                <w:rFonts w:hint="eastAsia" w:ascii="Times New Roman" w:hAnsi="Times New Roman"/>
                <w:sz w:val="24"/>
              </w:rPr>
              <w:t>MUGAO/AWG</w:t>
            </w:r>
          </w:p>
        </w:tc>
      </w:tr>
      <w:tr>
        <w:tblPrEx>
          <w:tblCellMar>
            <w:top w:w="0" w:type="dxa"/>
            <w:left w:w="0" w:type="dxa"/>
            <w:bottom w:w="0" w:type="dxa"/>
            <w:right w:w="0" w:type="dxa"/>
          </w:tblCellMar>
        </w:tblPrEx>
        <w:trPr>
          <w:trHeight w:val="398"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5"/>
                <w:rFonts w:ascii="宋体" w:hAnsi="宋体" w:cs="宋体"/>
                <w:szCs w:val="21"/>
              </w:rPr>
            </w:pPr>
            <w:r>
              <w:rPr>
                <w:rStyle w:val="15"/>
                <w:rFonts w:hint="eastAsia" w:ascii="宋体" w:hAnsi="宋体" w:cs="宋体"/>
                <w:szCs w:val="21"/>
              </w:rPr>
              <w:t>6</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Style w:val="15"/>
                <w:rFonts w:hint="eastAsia" w:ascii="宋体" w:hAnsi="宋体" w:cs="宋体"/>
                <w:szCs w:val="21"/>
              </w:rPr>
              <w:t>音箱</w:t>
            </w:r>
          </w:p>
        </w:tc>
        <w:tc>
          <w:tcPr>
            <w:tcW w:w="6804" w:type="dxa"/>
            <w:tcBorders>
              <w:top w:val="single" w:color="000000" w:sz="4" w:space="0"/>
              <w:left w:val="nil"/>
              <w:bottom w:val="single" w:color="000000" w:sz="4" w:space="0"/>
              <w:right w:val="single" w:color="000000" w:sz="4" w:space="0"/>
            </w:tcBorders>
            <w:vAlign w:val="center"/>
          </w:tcPr>
          <w:p>
            <w:pPr>
              <w:widowControl w:val="0"/>
              <w:numPr>
                <w:ilvl w:val="0"/>
                <w:numId w:val="2"/>
              </w:numPr>
              <w:textAlignment w:val="auto"/>
              <w:rPr>
                <w:rFonts w:ascii="宋体" w:hAnsi="宋体" w:cs="宋体"/>
              </w:rPr>
            </w:pPr>
            <w:r>
              <w:rPr>
                <w:rFonts w:hint="eastAsia" w:ascii="宋体" w:hAnsi="宋体" w:cs="宋体"/>
              </w:rPr>
              <w:t>十英寸2路3单元锥盆式低音反射式卡包音箱，动态性能良好；</w:t>
            </w:r>
          </w:p>
          <w:p>
            <w:pPr>
              <w:widowControl w:val="0"/>
              <w:numPr>
                <w:ilvl w:val="0"/>
                <w:numId w:val="2"/>
              </w:numPr>
              <w:textAlignment w:val="auto"/>
              <w:rPr>
                <w:rFonts w:ascii="宋体" w:hAnsi="宋体" w:cs="宋体"/>
              </w:rPr>
            </w:pPr>
            <w:r>
              <w:rPr>
                <w:rFonts w:hint="eastAsia" w:ascii="宋体" w:hAnsi="宋体" w:cs="宋体"/>
              </w:rPr>
              <w:t xml:space="preserve"> 箱体结构采用计算机CAD辅助设计；</w:t>
            </w:r>
          </w:p>
          <w:p>
            <w:pPr>
              <w:widowControl w:val="0"/>
              <w:numPr>
                <w:ilvl w:val="0"/>
                <w:numId w:val="2"/>
              </w:numPr>
              <w:textAlignment w:val="auto"/>
              <w:rPr>
                <w:rFonts w:ascii="宋体" w:hAnsi="宋体" w:cs="宋体"/>
              </w:rPr>
            </w:pPr>
            <w:r>
              <w:rPr>
                <w:rFonts w:hint="eastAsia" w:ascii="宋体" w:hAnsi="宋体" w:cs="宋体"/>
              </w:rPr>
              <w:t xml:space="preserve"> 分频器经过专业扬声器测试系统调校、检测；</w:t>
            </w:r>
          </w:p>
          <w:p>
            <w:pPr>
              <w:widowControl w:val="0"/>
              <w:numPr>
                <w:ilvl w:val="0"/>
                <w:numId w:val="2"/>
              </w:numPr>
              <w:textAlignment w:val="auto"/>
              <w:rPr>
                <w:rFonts w:ascii="宋体" w:hAnsi="宋体" w:cs="宋体"/>
              </w:rPr>
            </w:pPr>
            <w:r>
              <w:rPr>
                <w:rFonts w:hint="eastAsia" w:ascii="宋体" w:hAnsi="宋体" w:cs="宋体"/>
              </w:rPr>
              <w:t xml:space="preserve"> 音质清晰自然、人声表达准确；适用于多媒体课室和电教室</w:t>
            </w:r>
          </w:p>
          <w:p>
            <w:pPr>
              <w:widowControl w:val="0"/>
              <w:numPr>
                <w:ilvl w:val="0"/>
                <w:numId w:val="2"/>
              </w:numPr>
              <w:textAlignment w:val="auto"/>
              <w:rPr>
                <w:rFonts w:ascii="宋体" w:hAnsi="宋体" w:cs="宋体"/>
              </w:rPr>
            </w:pPr>
            <w:r>
              <w:rPr>
                <w:rFonts w:hint="eastAsia" w:ascii="宋体" w:hAnsi="宋体" w:cs="宋体"/>
              </w:rPr>
              <w:t xml:space="preserve"> 驱动器：1个10寸长冲程低音驱动器、2个3寸纸盆高音；</w:t>
            </w:r>
          </w:p>
          <w:p>
            <w:pPr>
              <w:widowControl w:val="0"/>
              <w:numPr>
                <w:ilvl w:val="0"/>
                <w:numId w:val="2"/>
              </w:numPr>
              <w:textAlignment w:val="auto"/>
              <w:rPr>
                <w:rFonts w:ascii="宋体" w:hAnsi="宋体" w:cs="宋体"/>
              </w:rPr>
            </w:pPr>
            <w:r>
              <w:rPr>
                <w:rFonts w:hint="eastAsia" w:ascii="宋体" w:hAnsi="宋体" w:cs="宋体"/>
              </w:rPr>
              <w:t xml:space="preserve"> 额定功率：130W，最大功率：260W；</w:t>
            </w:r>
          </w:p>
          <w:p>
            <w:pPr>
              <w:widowControl w:val="0"/>
              <w:numPr>
                <w:ilvl w:val="0"/>
                <w:numId w:val="2"/>
              </w:numPr>
              <w:textAlignment w:val="auto"/>
              <w:rPr>
                <w:rFonts w:ascii="宋体" w:hAnsi="宋体" w:cs="宋体"/>
              </w:rPr>
            </w:pPr>
            <w:r>
              <w:rPr>
                <w:rFonts w:hint="eastAsia" w:ascii="宋体" w:hAnsi="宋体" w:cs="宋体"/>
              </w:rPr>
              <w:t xml:space="preserve"> 额定阻抗：8Ω，频率响应：45Hz-18kHz；</w:t>
            </w:r>
          </w:p>
          <w:p>
            <w:pPr>
              <w:widowControl w:val="0"/>
              <w:numPr>
                <w:ilvl w:val="0"/>
                <w:numId w:val="2"/>
              </w:numPr>
              <w:textAlignment w:val="auto"/>
              <w:rPr>
                <w:rFonts w:ascii="宋体" w:hAnsi="宋体" w:cs="宋体"/>
              </w:rPr>
            </w:pPr>
            <w:r>
              <w:rPr>
                <w:rFonts w:hint="eastAsia" w:ascii="宋体" w:hAnsi="宋体" w:cs="宋体"/>
              </w:rPr>
              <w:t xml:space="preserve"> 灵敏度：90dB/1W/1M，最大声压级：109dB；</w:t>
            </w:r>
          </w:p>
          <w:p>
            <w:pPr>
              <w:widowControl w:val="0"/>
              <w:numPr>
                <w:ilvl w:val="0"/>
                <w:numId w:val="2"/>
              </w:numPr>
              <w:textAlignment w:val="auto"/>
              <w:rPr>
                <w:rFonts w:ascii="宋体" w:hAnsi="宋体" w:cs="宋体"/>
              </w:rPr>
            </w:pPr>
            <w:r>
              <w:rPr>
                <w:rFonts w:hint="eastAsia" w:ascii="宋体" w:hAnsi="宋体" w:cs="宋体"/>
              </w:rPr>
              <w:t xml:space="preserve"> 连接器：正负极接线夹，箱体型式：前倒相式；</w:t>
            </w:r>
          </w:p>
          <w:p>
            <w:pPr>
              <w:widowControl w:val="0"/>
              <w:numPr>
                <w:ilvl w:val="0"/>
                <w:numId w:val="2"/>
              </w:numPr>
              <w:textAlignment w:val="auto"/>
              <w:rPr>
                <w:rFonts w:ascii="宋体" w:hAnsi="宋体" w:cs="宋体"/>
              </w:rPr>
            </w:pPr>
            <w:r>
              <w:rPr>
                <w:rFonts w:hint="eastAsia" w:ascii="宋体" w:hAnsi="宋体" w:cs="宋体"/>
              </w:rPr>
              <w:t xml:space="preserve"> 箱体及外饰：高密度中纤板（黑色）箱体，钢网；</w:t>
            </w:r>
          </w:p>
          <w:p>
            <w:pPr>
              <w:widowControl w:val="0"/>
              <w:numPr>
                <w:ilvl w:val="0"/>
                <w:numId w:val="2"/>
              </w:numPr>
              <w:textAlignment w:val="auto"/>
              <w:rPr>
                <w:rFonts w:ascii="宋体" w:hAnsi="宋体" w:cs="宋体"/>
              </w:rPr>
            </w:pPr>
            <w:r>
              <w:rPr>
                <w:rFonts w:hint="eastAsia" w:ascii="宋体" w:hAnsi="宋体" w:cs="宋体"/>
              </w:rPr>
              <w:t xml:space="preserve"> 安装：顶部10CM孔距2个M8吊挂；</w:t>
            </w:r>
          </w:p>
          <w:p>
            <w:pPr>
              <w:widowControl w:val="0"/>
              <w:numPr>
                <w:ilvl w:val="0"/>
                <w:numId w:val="2"/>
              </w:numPr>
              <w:textAlignment w:val="auto"/>
              <w:rPr>
                <w:rFonts w:ascii="宋体" w:hAnsi="宋体" w:cs="宋体"/>
              </w:rPr>
            </w:pPr>
            <w:r>
              <w:rPr>
                <w:rFonts w:hint="eastAsia" w:ascii="宋体" w:hAnsi="宋体" w:cs="宋体"/>
              </w:rPr>
              <w:t xml:space="preserve"> 箱体尺寸：505×285×290（单位：mm）；</w:t>
            </w:r>
          </w:p>
          <w:p>
            <w:pPr>
              <w:widowControl w:val="0"/>
              <w:numPr>
                <w:ilvl w:val="0"/>
                <w:numId w:val="2"/>
              </w:numPr>
              <w:textAlignment w:val="auto"/>
              <w:rPr>
                <w:rFonts w:ascii="宋体" w:hAnsi="宋体" w:cs="宋体"/>
              </w:rPr>
            </w:pPr>
            <w:r>
              <w:rPr>
                <w:rFonts w:hint="eastAsia" w:ascii="宋体" w:hAnsi="宋体" w:cs="宋体"/>
              </w:rPr>
              <w:t xml:space="preserve"> 包装尺寸：700*365*585（单位：mm）；</w:t>
            </w:r>
          </w:p>
          <w:p>
            <w:pPr>
              <w:pStyle w:val="31"/>
              <w:numPr>
                <w:ilvl w:val="0"/>
                <w:numId w:val="2"/>
              </w:numPr>
              <w:ind w:firstLineChars="0"/>
              <w:rPr>
                <w:rFonts w:ascii="宋体" w:hAnsi="宋体" w:cs="宋体"/>
              </w:rPr>
            </w:pPr>
            <w:r>
              <w:rPr>
                <w:rFonts w:hint="eastAsia" w:ascii="宋体" w:hAnsi="宋体" w:cs="宋体"/>
              </w:rPr>
              <w:t>净重：9.5kg/只，毛重：25.5/对；</w:t>
            </w:r>
          </w:p>
        </w:tc>
        <w:tc>
          <w:tcPr>
            <w:tcW w:w="647"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1</w:t>
            </w:r>
          </w:p>
        </w:tc>
        <w:tc>
          <w:tcPr>
            <w:tcW w:w="425"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对</w:t>
            </w:r>
          </w:p>
        </w:tc>
        <w:tc>
          <w:tcPr>
            <w:tcW w:w="771"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2200</w:t>
            </w:r>
          </w:p>
        </w:tc>
        <w:tc>
          <w:tcPr>
            <w:tcW w:w="856" w:type="dxa"/>
            <w:tcBorders>
              <w:top w:val="single" w:color="000000" w:sz="4" w:space="0"/>
              <w:left w:val="nil"/>
              <w:bottom w:val="single" w:color="000000" w:sz="4" w:space="0"/>
              <w:right w:val="single" w:color="000000" w:sz="4" w:space="0"/>
            </w:tcBorders>
            <w:vAlign w:val="center"/>
          </w:tcPr>
          <w:p>
            <w:pPr>
              <w:spacing w:line="560" w:lineRule="exact"/>
              <w:rPr>
                <w:rStyle w:val="15"/>
                <w:rFonts w:ascii="Times New Roman" w:hAnsi="Times New Roman"/>
                <w:sz w:val="24"/>
              </w:rPr>
            </w:pPr>
            <w:r>
              <w:rPr>
                <w:rFonts w:hint="eastAsia" w:ascii="Times New Roman" w:hAnsi="Times New Roman"/>
                <w:sz w:val="24"/>
              </w:rPr>
              <w:t>MUGAO/AWG</w:t>
            </w:r>
          </w:p>
        </w:tc>
      </w:tr>
      <w:tr>
        <w:tblPrEx>
          <w:tblCellMar>
            <w:top w:w="0" w:type="dxa"/>
            <w:left w:w="0" w:type="dxa"/>
            <w:bottom w:w="0" w:type="dxa"/>
            <w:right w:w="0" w:type="dxa"/>
          </w:tblCellMar>
        </w:tblPrEx>
        <w:trPr>
          <w:trHeight w:val="968"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5"/>
                <w:rFonts w:ascii="宋体" w:hAnsi="宋体" w:cs="宋体"/>
                <w:szCs w:val="21"/>
              </w:rPr>
            </w:pPr>
            <w:r>
              <w:rPr>
                <w:rStyle w:val="15"/>
                <w:rFonts w:hint="eastAsia" w:ascii="宋体" w:hAnsi="宋体" w:cs="宋体"/>
                <w:szCs w:val="21"/>
              </w:rPr>
              <w:t>7</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Style w:val="15"/>
                <w:kern w:val="0"/>
              </w:rPr>
            </w:pPr>
            <w:r>
              <w:rPr>
                <w:rStyle w:val="15"/>
                <w:rFonts w:hint="eastAsia"/>
                <w:kern w:val="0"/>
              </w:rPr>
              <w:t>蓝牙接收器</w:t>
            </w:r>
          </w:p>
        </w:tc>
        <w:tc>
          <w:tcPr>
            <w:tcW w:w="6804" w:type="dxa"/>
            <w:tcBorders>
              <w:top w:val="single" w:color="000000" w:sz="4" w:space="0"/>
              <w:left w:val="nil"/>
              <w:bottom w:val="single" w:color="000000" w:sz="4" w:space="0"/>
              <w:right w:val="single" w:color="000000" w:sz="4" w:space="0"/>
            </w:tcBorders>
            <w:vAlign w:val="center"/>
          </w:tcPr>
          <w:p>
            <w:pPr>
              <w:jc w:val="left"/>
              <w:rPr>
                <w:rStyle w:val="15"/>
                <w:rFonts w:ascii="宋体" w:hAnsi="宋体" w:cs="宋体"/>
                <w:kern w:val="0"/>
                <w:szCs w:val="21"/>
              </w:rPr>
            </w:pPr>
            <w:r>
              <w:rPr>
                <w:rStyle w:val="15"/>
                <w:rFonts w:hint="eastAsia" w:ascii="宋体" w:hAnsi="宋体" w:cs="宋体"/>
                <w:kern w:val="0"/>
                <w:szCs w:val="21"/>
              </w:rPr>
              <w:t>★1、采用蓝牙技术，可与蓝牙麦克风自动对频、任意匹配；</w:t>
            </w:r>
          </w:p>
          <w:p>
            <w:pPr>
              <w:jc w:val="left"/>
              <w:rPr>
                <w:rStyle w:val="15"/>
                <w:rFonts w:ascii="宋体" w:hAnsi="宋体" w:cs="宋体"/>
                <w:kern w:val="0"/>
                <w:szCs w:val="21"/>
              </w:rPr>
            </w:pPr>
            <w:r>
              <w:rPr>
                <w:rStyle w:val="15"/>
                <w:rFonts w:hint="eastAsia" w:ascii="宋体" w:hAnsi="宋体" w:cs="宋体"/>
                <w:kern w:val="0"/>
                <w:szCs w:val="21"/>
              </w:rPr>
              <w:t>2、具备近距离联接机制以及信号强度筛选功能，5米内自动对频，隔墙不联，防止教室之间误联现象；连接成功后15米范围内无遮挡及干扰情况下无噪音、断音、无死角；</w:t>
            </w:r>
          </w:p>
          <w:p>
            <w:pPr>
              <w:jc w:val="left"/>
              <w:rPr>
                <w:rStyle w:val="15"/>
                <w:rFonts w:ascii="宋体" w:hAnsi="宋体" w:cs="宋体"/>
                <w:kern w:val="0"/>
                <w:szCs w:val="21"/>
              </w:rPr>
            </w:pPr>
            <w:r>
              <w:rPr>
                <w:rStyle w:val="15"/>
                <w:rFonts w:hint="eastAsia" w:ascii="宋体" w:hAnsi="宋体" w:cs="宋体"/>
                <w:kern w:val="0"/>
                <w:szCs w:val="21"/>
              </w:rPr>
              <w:t>★3、具备两个USB通讯接口，支持连接PPT翻页功能，可同时连接笔记本和电脑；</w:t>
            </w:r>
          </w:p>
          <w:p>
            <w:pPr>
              <w:jc w:val="left"/>
              <w:rPr>
                <w:rStyle w:val="15"/>
                <w:rFonts w:ascii="宋体" w:hAnsi="宋体" w:cs="宋体"/>
                <w:kern w:val="0"/>
                <w:szCs w:val="21"/>
              </w:rPr>
            </w:pPr>
            <w:r>
              <w:rPr>
                <w:rStyle w:val="15"/>
                <w:rFonts w:hint="eastAsia" w:ascii="宋体" w:hAnsi="宋体" w:cs="宋体"/>
                <w:kern w:val="0"/>
                <w:szCs w:val="21"/>
              </w:rPr>
              <w:t>4、接收频率：（2402～2480）MHz，调制方法：GFSK，BT = 0.5 Gaussian；</w:t>
            </w:r>
          </w:p>
          <w:p>
            <w:pPr>
              <w:jc w:val="left"/>
              <w:rPr>
                <w:rStyle w:val="15"/>
                <w:rFonts w:ascii="宋体" w:hAnsi="宋体" w:cs="宋体"/>
                <w:kern w:val="0"/>
                <w:szCs w:val="21"/>
              </w:rPr>
            </w:pPr>
            <w:r>
              <w:rPr>
                <w:rStyle w:val="15"/>
                <w:rFonts w:hint="eastAsia" w:ascii="宋体" w:hAnsi="宋体" w:cs="宋体"/>
                <w:kern w:val="0"/>
                <w:szCs w:val="21"/>
              </w:rPr>
              <w:t>5、频率响应：50 Hz ~ 20 KHz (±3 db)、灵敏度：-82 dBm ；</w:t>
            </w:r>
          </w:p>
          <w:p>
            <w:pPr>
              <w:jc w:val="left"/>
              <w:rPr>
                <w:rStyle w:val="15"/>
                <w:rFonts w:ascii="宋体" w:hAnsi="宋体" w:cs="宋体"/>
                <w:kern w:val="0"/>
                <w:szCs w:val="21"/>
              </w:rPr>
            </w:pPr>
            <w:r>
              <w:rPr>
                <w:rStyle w:val="15"/>
                <w:rFonts w:hint="eastAsia" w:ascii="宋体" w:hAnsi="宋体" w:cs="宋体"/>
                <w:kern w:val="0"/>
                <w:szCs w:val="21"/>
              </w:rPr>
              <w:t>6、电源：DC5~12V；</w:t>
            </w:r>
          </w:p>
          <w:p>
            <w:pPr>
              <w:jc w:val="left"/>
              <w:rPr>
                <w:rStyle w:val="15"/>
                <w:rFonts w:ascii="宋体" w:hAnsi="宋体" w:cs="宋体"/>
                <w:kern w:val="0"/>
                <w:szCs w:val="21"/>
              </w:rPr>
            </w:pPr>
            <w:r>
              <w:rPr>
                <w:rStyle w:val="15"/>
                <w:rFonts w:hint="eastAsia" w:ascii="宋体" w:hAnsi="宋体" w:cs="宋体"/>
                <w:kern w:val="0"/>
                <w:szCs w:val="21"/>
              </w:rPr>
              <w:t>7、输出接口：MIC（标准两芯6.5mm麦克风输出接口）、标准3.5音频输出接口，输入接口：标准3.5音频输入接口；</w:t>
            </w:r>
          </w:p>
          <w:p>
            <w:pPr>
              <w:jc w:val="left"/>
              <w:rPr>
                <w:rStyle w:val="15"/>
                <w:rFonts w:ascii="宋体" w:hAnsi="宋体" w:cs="宋体"/>
                <w:kern w:val="0"/>
                <w:szCs w:val="21"/>
              </w:rPr>
            </w:pPr>
            <w:r>
              <w:rPr>
                <w:rStyle w:val="15"/>
                <w:rFonts w:hint="eastAsia" w:ascii="宋体" w:hAnsi="宋体" w:cs="宋体"/>
                <w:kern w:val="0"/>
                <w:szCs w:val="21"/>
              </w:rPr>
              <w:t>8、支持输出音量大小及声音效果调节功能；</w:t>
            </w:r>
          </w:p>
          <w:p>
            <w:pPr>
              <w:jc w:val="left"/>
              <w:rPr>
                <w:rStyle w:val="15"/>
                <w:rFonts w:ascii="宋体" w:hAnsi="宋体" w:cs="宋体"/>
                <w:kern w:val="0"/>
                <w:szCs w:val="21"/>
              </w:rPr>
            </w:pPr>
            <w:r>
              <w:rPr>
                <w:rStyle w:val="15"/>
                <w:rFonts w:hint="eastAsia" w:ascii="宋体" w:hAnsi="宋体" w:cs="宋体"/>
                <w:kern w:val="0"/>
                <w:szCs w:val="21"/>
              </w:rPr>
              <w:t>★9、兼容学校原有蓝牙麦克风</w:t>
            </w:r>
          </w:p>
          <w:p>
            <w:pPr>
              <w:pStyle w:val="2"/>
            </w:pPr>
            <w:r>
              <w:rPr>
                <w:rFonts w:hint="eastAsia"/>
              </w:rPr>
              <w:t>10、提供厂商售后服务承诺函。</w:t>
            </w:r>
          </w:p>
        </w:tc>
        <w:tc>
          <w:tcPr>
            <w:tcW w:w="647"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1</w:t>
            </w:r>
          </w:p>
        </w:tc>
        <w:tc>
          <w:tcPr>
            <w:tcW w:w="425"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套</w:t>
            </w:r>
          </w:p>
        </w:tc>
        <w:tc>
          <w:tcPr>
            <w:tcW w:w="771"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1200</w:t>
            </w:r>
          </w:p>
        </w:tc>
        <w:tc>
          <w:tcPr>
            <w:tcW w:w="856" w:type="dxa"/>
            <w:tcBorders>
              <w:top w:val="single" w:color="000000" w:sz="4" w:space="0"/>
              <w:left w:val="nil"/>
              <w:bottom w:val="single" w:color="000000" w:sz="4" w:space="0"/>
              <w:right w:val="single" w:color="000000" w:sz="4" w:space="0"/>
            </w:tcBorders>
            <w:vAlign w:val="center"/>
          </w:tcPr>
          <w:p>
            <w:pPr>
              <w:spacing w:line="560" w:lineRule="exact"/>
              <w:rPr>
                <w:rStyle w:val="15"/>
                <w:rFonts w:ascii="Times New Roman" w:hAnsi="Times New Roman"/>
                <w:sz w:val="24"/>
              </w:rPr>
            </w:pPr>
            <w:r>
              <w:rPr>
                <w:rFonts w:hint="eastAsia" w:ascii="Times New Roman" w:hAnsi="Times New Roman"/>
                <w:sz w:val="24"/>
              </w:rPr>
              <w:t>MUGAO/赛茵</w:t>
            </w:r>
          </w:p>
        </w:tc>
      </w:tr>
      <w:tr>
        <w:tblPrEx>
          <w:tblCellMar>
            <w:top w:w="0" w:type="dxa"/>
            <w:left w:w="0" w:type="dxa"/>
            <w:bottom w:w="0" w:type="dxa"/>
            <w:right w:w="0" w:type="dxa"/>
          </w:tblCellMar>
        </w:tblPrEx>
        <w:trPr>
          <w:trHeight w:val="423"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5"/>
                <w:rFonts w:ascii="宋体" w:hAnsi="宋体" w:cs="宋体"/>
                <w:szCs w:val="21"/>
              </w:rPr>
            </w:pPr>
            <w:r>
              <w:rPr>
                <w:rStyle w:val="15"/>
                <w:rFonts w:hint="eastAsia" w:ascii="宋体" w:hAnsi="宋体" w:cs="宋体"/>
                <w:szCs w:val="21"/>
              </w:rPr>
              <w:t>8</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分组课桌椅</w:t>
            </w:r>
          </w:p>
        </w:tc>
        <w:tc>
          <w:tcPr>
            <w:tcW w:w="6804" w:type="dxa"/>
            <w:tcBorders>
              <w:top w:val="single" w:color="000000" w:sz="4" w:space="0"/>
              <w:left w:val="nil"/>
              <w:bottom w:val="single" w:color="000000" w:sz="4" w:space="0"/>
              <w:right w:val="single" w:color="000000" w:sz="4" w:space="0"/>
            </w:tcBorders>
          </w:tcPr>
          <w:p>
            <w:pPr>
              <w:pStyle w:val="13"/>
              <w:spacing w:line="240" w:lineRule="auto"/>
              <w:jc w:val="left"/>
              <w:rPr>
                <w:rFonts w:ascii="宋体" w:hAnsi="宋体" w:cs="宋体"/>
                <w:b w:val="0"/>
                <w:bCs w:val="0"/>
                <w:sz w:val="21"/>
                <w:szCs w:val="21"/>
              </w:rPr>
            </w:pPr>
            <w:r>
              <w:rPr>
                <w:rFonts w:hint="eastAsia" w:ascii="宋体" w:hAnsi="宋体" w:cs="宋体"/>
                <w:b w:val="0"/>
                <w:bCs w:val="0"/>
                <w:sz w:val="21"/>
                <w:szCs w:val="21"/>
              </w:rPr>
              <w:t>双人桌椅（双人桌+2把椅子为一套）</w:t>
            </w:r>
          </w:p>
          <w:p>
            <w:pPr>
              <w:rPr>
                <w:rFonts w:ascii="宋体" w:hAnsi="宋体" w:cs="宋体"/>
                <w:kern w:val="44"/>
                <w:szCs w:val="21"/>
              </w:rPr>
            </w:pPr>
            <w:r>
              <w:rPr>
                <w:rFonts w:hint="eastAsia" w:ascii="宋体" w:hAnsi="宋体" w:cs="宋体"/>
                <w:kern w:val="44"/>
                <w:szCs w:val="21"/>
              </w:rPr>
              <w:t>一 、研讨课桌</w:t>
            </w:r>
          </w:p>
          <w:p>
            <w:pPr>
              <w:rPr>
                <w:rFonts w:ascii="宋体" w:hAnsi="宋体" w:cs="宋体"/>
                <w:kern w:val="44"/>
                <w:szCs w:val="21"/>
              </w:rPr>
            </w:pPr>
            <w:r>
              <w:rPr>
                <w:rFonts w:hint="eastAsia" w:ascii="宋体" w:hAnsi="宋体" w:cs="宋体"/>
                <w:kern w:val="44"/>
                <w:szCs w:val="21"/>
              </w:rPr>
              <w:t>1、可组合桌，尺寸：1200*400*750mm，</w:t>
            </w:r>
          </w:p>
          <w:p>
            <w:pPr>
              <w:rPr>
                <w:rFonts w:ascii="宋体" w:hAnsi="宋体" w:cs="宋体"/>
                <w:kern w:val="44"/>
                <w:szCs w:val="21"/>
              </w:rPr>
            </w:pPr>
            <w:r>
              <w:rPr>
                <w:rFonts w:hint="eastAsia" w:ascii="宋体" w:hAnsi="宋体" w:cs="宋体"/>
                <w:kern w:val="44"/>
                <w:szCs w:val="21"/>
              </w:rPr>
              <w:t>2、面板采符合国家E1级板材标，表面为三聚氰胺高温饰面，收口采用全自动机械PVC环保工艺包边，表面颜色学校指定颜色定制，桌面厚度25mm,背板厚度16mm；</w:t>
            </w:r>
          </w:p>
          <w:p>
            <w:pPr>
              <w:rPr>
                <w:rFonts w:ascii="宋体" w:hAnsi="宋体" w:cs="宋体"/>
                <w:kern w:val="44"/>
                <w:szCs w:val="21"/>
              </w:rPr>
            </w:pPr>
            <w:r>
              <w:rPr>
                <w:rFonts w:hint="eastAsia" w:ascii="宋体" w:hAnsi="宋体" w:cs="宋体"/>
                <w:kern w:val="44"/>
                <w:szCs w:val="21"/>
              </w:rPr>
              <w:t>2、支架脚采用30*60mm椭圆钢管制作，厚度1.2mm；支撑架采用3.5mm厚冷轧钢板冲压成型；表面经过酸洗去油磷化固化区自动高温烤漆喷涂工艺。</w:t>
            </w:r>
          </w:p>
          <w:p>
            <w:pPr>
              <w:rPr>
                <w:rFonts w:ascii="宋体" w:hAnsi="宋体" w:cs="宋体"/>
                <w:kern w:val="44"/>
                <w:szCs w:val="21"/>
              </w:rPr>
            </w:pPr>
            <w:r>
              <w:rPr>
                <w:rFonts w:hint="eastAsia" w:ascii="宋体" w:hAnsi="宋体" w:cs="宋体"/>
                <w:kern w:val="44"/>
                <w:szCs w:val="21"/>
              </w:rPr>
              <w:t>3、支脚采用ABS万向轮，带刹车开关装置。</w:t>
            </w:r>
          </w:p>
          <w:p>
            <w:pPr>
              <w:rPr>
                <w:rFonts w:ascii="宋体" w:hAnsi="宋体" w:cs="宋体"/>
                <w:kern w:val="44"/>
                <w:szCs w:val="21"/>
              </w:rPr>
            </w:pPr>
            <w:r>
              <w:rPr>
                <w:rFonts w:hint="eastAsia" w:ascii="宋体" w:hAnsi="宋体" w:cs="宋体"/>
                <w:kern w:val="44"/>
                <w:szCs w:val="21"/>
              </w:rPr>
              <w:t>二、可移动折叠培训椅：</w:t>
            </w:r>
          </w:p>
          <w:p>
            <w:pPr>
              <w:rPr>
                <w:rFonts w:ascii="宋体" w:hAnsi="宋体" w:cs="宋体"/>
                <w:kern w:val="44"/>
                <w:szCs w:val="21"/>
              </w:rPr>
            </w:pPr>
            <w:r>
              <w:rPr>
                <w:rFonts w:hint="eastAsia" w:ascii="宋体" w:hAnsi="宋体" w:cs="宋体"/>
                <w:kern w:val="44"/>
                <w:szCs w:val="21"/>
              </w:rPr>
              <w:t>1、胶壳:材质采用PP加纤材质，环保不褪色，抗 裂性强。</w:t>
            </w:r>
          </w:p>
          <w:p>
            <w:pPr>
              <w:rPr>
                <w:rFonts w:ascii="宋体" w:hAnsi="宋体" w:cs="宋体"/>
                <w:kern w:val="44"/>
                <w:szCs w:val="21"/>
              </w:rPr>
            </w:pPr>
            <w:r>
              <w:rPr>
                <w:rFonts w:hint="eastAsia" w:ascii="宋体" w:hAnsi="宋体" w:cs="宋体"/>
                <w:kern w:val="44"/>
                <w:szCs w:val="21"/>
              </w:rPr>
              <w:t>2、椅架:采用32*18*1.5mm 厚冷锻方圆钢管 ，220 度高温静电喷涂 ，处理精细光滑 、牢固抗冲击不变 形。</w:t>
            </w:r>
          </w:p>
          <w:p>
            <w:pPr>
              <w:rPr>
                <w:rFonts w:hint="eastAsia" w:ascii="宋体" w:hAnsi="宋体" w:cs="宋体"/>
                <w:kern w:val="44"/>
                <w:szCs w:val="21"/>
              </w:rPr>
            </w:pPr>
            <w:r>
              <w:rPr>
                <w:rFonts w:hint="eastAsia" w:ascii="宋体" w:hAnsi="宋体" w:cs="宋体"/>
                <w:kern w:val="44"/>
                <w:szCs w:val="21"/>
              </w:rPr>
              <w:t>3、实胶座壳厚度4.5mm，底下有12条加强筋厚度3mm,实胶靠背塑料加强筋最厚部位5mm,</w:t>
            </w:r>
          </w:p>
          <w:p>
            <w:pPr>
              <w:rPr>
                <w:rFonts w:hint="eastAsia" w:ascii="宋体" w:hAnsi="宋体" w:cs="宋体"/>
                <w:kern w:val="44"/>
                <w:szCs w:val="21"/>
              </w:rPr>
            </w:pPr>
            <w:r>
              <w:rPr>
                <w:rFonts w:hint="eastAsia" w:ascii="宋体" w:hAnsi="宋体" w:cs="宋体"/>
                <w:kern w:val="44"/>
                <w:szCs w:val="21"/>
              </w:rPr>
              <w:t>4、椅架部位与铝合金连接紧密贴合，配件规格总深度135mm-68mm，宽32mm-25.5mm厚度15.5mm-9.9mm。</w:t>
            </w:r>
          </w:p>
          <w:p>
            <w:pPr>
              <w:rPr>
                <w:rFonts w:hint="eastAsia" w:ascii="宋体" w:hAnsi="宋体" w:cs="宋体"/>
                <w:kern w:val="44"/>
                <w:szCs w:val="21"/>
              </w:rPr>
            </w:pPr>
            <w:r>
              <w:rPr>
                <w:rFonts w:hint="eastAsia" w:ascii="宋体" w:hAnsi="宋体" w:cs="宋体"/>
                <w:kern w:val="44"/>
                <w:szCs w:val="21"/>
              </w:rPr>
              <w:t>5、固定防滑脚垫 。 功能:座垫可上翻堆叠摆放 ，节省空间。</w:t>
            </w:r>
          </w:p>
          <w:p>
            <w:pPr>
              <w:rPr>
                <w:rFonts w:hint="eastAsia" w:ascii="宋体" w:hAnsi="宋体" w:cs="宋体"/>
                <w:kern w:val="44"/>
                <w:szCs w:val="21"/>
              </w:rPr>
            </w:pPr>
            <w:r>
              <w:rPr>
                <w:rFonts w:hint="eastAsia" w:ascii="宋体" w:hAnsi="宋体" w:cs="宋体"/>
                <w:kern w:val="44"/>
                <w:szCs w:val="21"/>
              </w:rPr>
              <w:t>6：提供厂商针对本项目授权及售后服务承诺函。7、椅子整体通过检测依据为QB/T2280-2016《办公家具 办公椅》、GB 28481-2012《塑料家具中有害物质限量》，包含产品主要力学性能、邻苯二甲酸酯、重金属、多环芳烃等4种部分的检查，提供国家家具产品质量监督检验中心的检测报告。</w:t>
            </w:r>
          </w:p>
          <w:p>
            <w:pPr>
              <w:rPr>
                <w:rFonts w:hint="eastAsia" w:ascii="宋体" w:hAnsi="宋体" w:cs="宋体"/>
                <w:kern w:val="44"/>
                <w:szCs w:val="21"/>
              </w:rPr>
            </w:pPr>
            <w:r>
              <w:rPr>
                <w:rFonts w:hint="eastAsia" w:ascii="宋体" w:hAnsi="宋体" w:cs="宋体"/>
                <w:kern w:val="44"/>
                <w:szCs w:val="21"/>
              </w:rPr>
              <w:t>8、制造厂商通过ISO9001国际质量管理体系认证、ISO14001国际环境管理体系认证，OHSAS18001职业健康管理体系认证，提供复印件以及盖公章。</w:t>
            </w:r>
          </w:p>
          <w:p>
            <w:pPr>
              <w:rPr>
                <w:rFonts w:hint="eastAsia" w:ascii="宋体" w:hAnsi="宋体" w:cs="宋体"/>
                <w:kern w:val="44"/>
                <w:szCs w:val="21"/>
              </w:rPr>
            </w:pPr>
            <w:r>
              <w:rPr>
                <w:rFonts w:hint="eastAsia" w:ascii="宋体" w:hAnsi="宋体" w:cs="宋体"/>
                <w:kern w:val="44"/>
                <w:szCs w:val="21"/>
              </w:rPr>
              <w:t>9. 椅子规格：整椅高：840mm，座高：45.2mm，座宽：430mm，背宽438mm,椅脚宽525mm，椅脚深：547mm。±0.50mm实物图片如下：</w:t>
            </w:r>
          </w:p>
          <w:p>
            <w:pPr>
              <w:pStyle w:val="2"/>
              <w:rPr>
                <w:rStyle w:val="15"/>
                <w:rFonts w:ascii="宋体" w:hAnsi="宋体" w:cs="宋体"/>
                <w:kern w:val="44"/>
                <w:szCs w:val="21"/>
              </w:rPr>
            </w:pPr>
            <w:r>
              <w:rPr>
                <w:rFonts w:ascii="宋体" w:hAnsi="宋体" w:cs="宋体"/>
                <w:kern w:val="44"/>
                <w:szCs w:val="21"/>
              </w:rPr>
              <w:drawing>
                <wp:inline distT="0" distB="0" distL="0" distR="0">
                  <wp:extent cx="1638300" cy="1858010"/>
                  <wp:effectExtent l="19050" t="0" r="0" b="0"/>
                  <wp:docPr id="1" name="图片 1" descr="C:\Users\ADMINI~1\AppData\Local\Temp\WeChat Files\08f452a7a129606050faff5bc865b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08f452a7a129606050faff5bc865b27.jpg"/>
                          <pic:cNvPicPr>
                            <a:picLocks noChangeAspect="1" noChangeArrowheads="1"/>
                          </pic:cNvPicPr>
                        </pic:nvPicPr>
                        <pic:blipFill>
                          <a:blip r:embed="rId5" cstate="print"/>
                          <a:srcRect/>
                          <a:stretch>
                            <a:fillRect/>
                          </a:stretch>
                        </pic:blipFill>
                        <pic:spPr>
                          <a:xfrm>
                            <a:off x="0" y="0"/>
                            <a:ext cx="1637937" cy="1858035"/>
                          </a:xfrm>
                          <a:prstGeom prst="rect">
                            <a:avLst/>
                          </a:prstGeom>
                          <a:noFill/>
                          <a:ln w="9525">
                            <a:noFill/>
                            <a:miter lim="800000"/>
                            <a:headEnd/>
                            <a:tailEnd/>
                          </a:ln>
                        </pic:spPr>
                      </pic:pic>
                    </a:graphicData>
                  </a:graphic>
                </wp:inline>
              </w:drawing>
            </w:r>
          </w:p>
        </w:tc>
        <w:tc>
          <w:tcPr>
            <w:tcW w:w="647"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417</w:t>
            </w:r>
          </w:p>
        </w:tc>
        <w:tc>
          <w:tcPr>
            <w:tcW w:w="425"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套</w:t>
            </w:r>
          </w:p>
        </w:tc>
        <w:tc>
          <w:tcPr>
            <w:tcW w:w="771"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400320</w:t>
            </w:r>
          </w:p>
        </w:tc>
        <w:tc>
          <w:tcPr>
            <w:tcW w:w="856"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楚怡、鼎优</w:t>
            </w:r>
          </w:p>
        </w:tc>
      </w:tr>
      <w:tr>
        <w:tblPrEx>
          <w:tblCellMar>
            <w:top w:w="0" w:type="dxa"/>
            <w:left w:w="0" w:type="dxa"/>
            <w:bottom w:w="0" w:type="dxa"/>
            <w:right w:w="0" w:type="dxa"/>
          </w:tblCellMar>
        </w:tblPrEx>
        <w:trPr>
          <w:trHeight w:val="423"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5"/>
                <w:rFonts w:ascii="宋体" w:hAnsi="宋体" w:cs="宋体"/>
                <w:szCs w:val="21"/>
              </w:rPr>
            </w:pPr>
            <w:r>
              <w:rPr>
                <w:rStyle w:val="15"/>
                <w:rFonts w:hint="eastAsia" w:ascii="宋体" w:hAnsi="宋体" w:cs="宋体"/>
                <w:szCs w:val="21"/>
              </w:rPr>
              <w:t>9</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升降组合黑板</w:t>
            </w:r>
          </w:p>
        </w:tc>
        <w:tc>
          <w:tcPr>
            <w:tcW w:w="6804" w:type="dxa"/>
            <w:tcBorders>
              <w:top w:val="single" w:color="000000" w:sz="4" w:space="0"/>
              <w:left w:val="nil"/>
              <w:bottom w:val="single" w:color="000000" w:sz="4" w:space="0"/>
              <w:right w:val="single" w:color="000000" w:sz="4" w:space="0"/>
            </w:tcBorders>
          </w:tcPr>
          <w:p>
            <w:pPr>
              <w:rPr>
                <w:rFonts w:ascii="宋体" w:hAnsi="宋体" w:cs="宋体"/>
                <w:kern w:val="44"/>
                <w:szCs w:val="21"/>
              </w:rPr>
            </w:pPr>
            <w:r>
              <w:rPr>
                <w:rFonts w:hint="eastAsia" w:ascii="宋体" w:hAnsi="宋体" w:cs="宋体"/>
                <w:kern w:val="44"/>
                <w:szCs w:val="21"/>
              </w:rPr>
              <w:t>整体结构：升降式绿板+投影画框幕</w:t>
            </w:r>
          </w:p>
          <w:p>
            <w:pPr>
              <w:rPr>
                <w:rFonts w:ascii="宋体" w:hAnsi="宋体" w:cs="宋体"/>
                <w:kern w:val="44"/>
                <w:szCs w:val="21"/>
              </w:rPr>
            </w:pPr>
            <w:r>
              <w:rPr>
                <w:rFonts w:hint="eastAsia" w:ascii="宋体" w:hAnsi="宋体" w:cs="宋体"/>
                <w:kern w:val="44"/>
                <w:szCs w:val="21"/>
              </w:rPr>
              <w:t>黑板固定于墙面，黑板整体尺寸为≥4800*1600mm（最终尺寸根据现场环境定制），一侧由两块黑板分一组结构上下升降设计，于框架内上下交替升降，黑板另一侧由一块120寸16：9的投影画框幕置于黑板框架内，适用于不同身高的教师或学生书写整个黑板，且板书面积大，在使用投影等电子设备的同时，不会对黑板书写造成影响。</w:t>
            </w:r>
          </w:p>
          <w:p>
            <w:pPr>
              <w:rPr>
                <w:rFonts w:ascii="宋体" w:hAnsi="宋体" w:cs="宋体"/>
                <w:kern w:val="44"/>
                <w:szCs w:val="21"/>
              </w:rPr>
            </w:pPr>
            <w:r>
              <w:rPr>
                <w:rFonts w:hint="eastAsia" w:ascii="宋体" w:hAnsi="宋体" w:cs="宋体"/>
                <w:kern w:val="44"/>
                <w:szCs w:val="21"/>
              </w:rPr>
              <w:t>1、板面、夹层、背板：</w:t>
            </w:r>
          </w:p>
          <w:p>
            <w:pPr>
              <w:rPr>
                <w:rFonts w:ascii="宋体" w:hAnsi="宋体" w:cs="宋体"/>
                <w:kern w:val="44"/>
                <w:szCs w:val="21"/>
              </w:rPr>
            </w:pPr>
            <w:r>
              <w:rPr>
                <w:rFonts w:hint="eastAsia" w:ascii="宋体" w:hAnsi="宋体" w:cs="宋体"/>
                <w:kern w:val="44"/>
                <w:szCs w:val="21"/>
              </w:rPr>
              <w:t>面板采用优质原装板面，板面呈墨绿色，厚度为≥0.30mm，表面漆膜硬度：≥6H，经耗磨仪一万次摩擦后表面粗糙度仍可达到1.8 um。光泽度＜12%，没有明显眩光；表面附有保护膜，用普通粉笔书写，笔迹均匀，字迹清晰，易写易擦，不反光、不变形，整板无拼接。夹层采用高密度吸音泡沫材料板，厚度为≥14mm。软硬适中、有弹性，不变形，整张无接缝。背面采用整块防锈镀锌板，厚度≥0.20mm，由专用双组份AB胶粘合经由全自动生产线高压一次性定型，胶合牢固，耐腐蚀、耐冲击，防水、防锈，经久耐用，保持书写板面平整，永不脱壳，为保障师生健康，产品不得含有镉、铅、汞等有害物质；</w:t>
            </w:r>
          </w:p>
          <w:p>
            <w:pPr>
              <w:rPr>
                <w:rFonts w:ascii="宋体" w:hAnsi="宋体" w:cs="宋体"/>
                <w:kern w:val="44"/>
                <w:szCs w:val="21"/>
              </w:rPr>
            </w:pPr>
            <w:r>
              <w:rPr>
                <w:rFonts w:hint="eastAsia" w:ascii="宋体" w:hAnsi="宋体" w:cs="宋体"/>
                <w:kern w:val="44"/>
                <w:szCs w:val="21"/>
              </w:rPr>
              <w:t>2、外框：</w:t>
            </w:r>
          </w:p>
          <w:p>
            <w:pPr>
              <w:rPr>
                <w:rFonts w:ascii="宋体" w:hAnsi="宋体" w:cs="宋体"/>
                <w:kern w:val="44"/>
                <w:szCs w:val="21"/>
              </w:rPr>
            </w:pPr>
            <w:r>
              <w:rPr>
                <w:rFonts w:hint="eastAsia" w:ascii="宋体" w:hAnsi="宋体" w:cs="宋体"/>
                <w:kern w:val="44"/>
                <w:szCs w:val="21"/>
              </w:rPr>
              <w:t>采用高档磨砂亚光香槟色或银白色电泳铝材，色泽柔和，不反光。外框与轨道一体化流线型设计，滑动组件不可视，在活动黑板下方设置通长升降拉手；板拉到底预留拉手位；同时有效防止推拉板脱轨弹出，永久性推拉顺畅，噪音低。升降外框规格：宽110mm厚65mm，壁厚1.2mm；黑板边框：宽24mm.厚35mm. 壁厚0.8mm。</w:t>
            </w:r>
          </w:p>
          <w:p>
            <w:pPr>
              <w:rPr>
                <w:rFonts w:ascii="宋体" w:hAnsi="宋体" w:cs="宋体"/>
                <w:kern w:val="44"/>
                <w:szCs w:val="21"/>
              </w:rPr>
            </w:pPr>
            <w:r>
              <w:rPr>
                <w:rFonts w:hint="eastAsia" w:ascii="宋体" w:hAnsi="宋体" w:cs="宋体"/>
                <w:kern w:val="44"/>
                <w:szCs w:val="21"/>
              </w:rPr>
              <w:t>3、包角材料：</w:t>
            </w:r>
          </w:p>
          <w:p>
            <w:pPr>
              <w:rPr>
                <w:rFonts w:ascii="宋体" w:hAnsi="宋体" w:cs="宋体"/>
                <w:kern w:val="44"/>
                <w:szCs w:val="21"/>
              </w:rPr>
            </w:pPr>
            <w:r>
              <w:rPr>
                <w:rFonts w:hint="eastAsia" w:ascii="宋体" w:hAnsi="宋体" w:cs="宋体"/>
                <w:kern w:val="44"/>
                <w:szCs w:val="21"/>
              </w:rPr>
              <w:t>采用抗疲劳ABS工程塑料，模具成型，无锐角，边框与书写面板的固定，没有外露的金属紧固件；</w:t>
            </w:r>
          </w:p>
          <w:p>
            <w:pPr>
              <w:rPr>
                <w:rFonts w:ascii="宋体" w:hAnsi="宋体" w:cs="宋体"/>
                <w:kern w:val="44"/>
                <w:szCs w:val="21"/>
              </w:rPr>
            </w:pPr>
            <w:r>
              <w:rPr>
                <w:rFonts w:hint="eastAsia" w:ascii="宋体" w:hAnsi="宋体" w:cs="宋体"/>
                <w:kern w:val="44"/>
                <w:szCs w:val="21"/>
              </w:rPr>
              <w:t>4、升降联动系统：</w:t>
            </w:r>
          </w:p>
          <w:p>
            <w:pPr>
              <w:rPr>
                <w:rFonts w:ascii="宋体" w:hAnsi="宋体" w:cs="宋体"/>
                <w:kern w:val="44"/>
                <w:szCs w:val="21"/>
              </w:rPr>
            </w:pPr>
            <w:r>
              <w:rPr>
                <w:rFonts w:hint="eastAsia" w:ascii="宋体" w:hAnsi="宋体" w:cs="宋体"/>
                <w:kern w:val="44"/>
                <w:szCs w:val="21"/>
              </w:rPr>
              <w:t>采用上下推拉交叉升降形式，分组上下移动,每组两端各有一个吊轮承重，黑板沿轨道上下滑动，转动部分为专用滑轮，每块黑板两侧装有四组三向定位滑轮，滑轮采用高档不锈钢尼龙U型槽滑轮，U型槽内配有减震、防噪音的专用橡胶圈，使黑板推拉时既轻巧灵活，又显紧凑无松动，无噪音。联动装置采用不锈钢油绳与导绳轮装配在上吊滑轮内，完全隐蔽无外露件，安全不脱落。</w:t>
            </w:r>
          </w:p>
          <w:p>
            <w:pPr>
              <w:rPr>
                <w:rFonts w:ascii="宋体" w:hAnsi="宋体" w:cs="宋体"/>
                <w:kern w:val="44"/>
                <w:szCs w:val="21"/>
              </w:rPr>
            </w:pPr>
            <w:r>
              <w:rPr>
                <w:rFonts w:hint="eastAsia" w:ascii="宋体" w:hAnsi="宋体" w:cs="宋体"/>
                <w:kern w:val="44"/>
                <w:szCs w:val="21"/>
              </w:rPr>
              <w:t>5、缓冲垫：</w:t>
            </w:r>
          </w:p>
          <w:p>
            <w:pPr>
              <w:rPr>
                <w:rFonts w:ascii="宋体" w:hAnsi="宋体" w:cs="宋体"/>
                <w:kern w:val="44"/>
                <w:szCs w:val="21"/>
              </w:rPr>
            </w:pPr>
            <w:r>
              <w:rPr>
                <w:rFonts w:hint="eastAsia" w:ascii="宋体" w:hAnsi="宋体" w:cs="宋体"/>
                <w:kern w:val="44"/>
                <w:szCs w:val="21"/>
              </w:rPr>
              <w:t>上置隐形防撞机构，安装于黑板框内侧，在使用时降低噪音，有效保护师生使用时夹到手指。</w:t>
            </w:r>
          </w:p>
          <w:p>
            <w:pPr>
              <w:rPr>
                <w:rStyle w:val="15"/>
                <w:rFonts w:ascii="宋体" w:hAnsi="宋体" w:cs="宋体"/>
                <w:kern w:val="44"/>
                <w:szCs w:val="21"/>
              </w:rPr>
            </w:pPr>
            <w:r>
              <w:rPr>
                <w:rStyle w:val="15"/>
                <w:rFonts w:hint="eastAsia" w:ascii="宋体" w:hAnsi="宋体" w:cs="宋体"/>
                <w:kern w:val="0"/>
                <w:szCs w:val="21"/>
              </w:rPr>
              <w:t>★</w:t>
            </w:r>
            <w:r>
              <w:rPr>
                <w:rFonts w:hint="eastAsia" w:ascii="宋体" w:hAnsi="宋体" w:cs="宋体"/>
                <w:kern w:val="44"/>
                <w:szCs w:val="21"/>
              </w:rPr>
              <w:t>6、交钥匙工程，安装须按学校现有情况设计，安全、美观，安装墙面上有厚度350柱子的地方，须整体墙面大芯板打底，外面用石膏板封上再刷上教室同色墙漆。</w:t>
            </w:r>
            <w:r>
              <w:rPr>
                <w:rFonts w:hint="eastAsia" w:ascii="Times New Roman" w:hAnsi="Times New Roman"/>
              </w:rPr>
              <w:t>竞标人必须现场踏勘报价，后续不再增加任何费用 。</w:t>
            </w:r>
          </w:p>
        </w:tc>
        <w:tc>
          <w:tcPr>
            <w:tcW w:w="647"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1</w:t>
            </w:r>
          </w:p>
        </w:tc>
        <w:tc>
          <w:tcPr>
            <w:tcW w:w="425"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套</w:t>
            </w:r>
          </w:p>
        </w:tc>
        <w:tc>
          <w:tcPr>
            <w:tcW w:w="771"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6800</w:t>
            </w:r>
          </w:p>
        </w:tc>
        <w:tc>
          <w:tcPr>
            <w:tcW w:w="856" w:type="dxa"/>
            <w:tcBorders>
              <w:top w:val="single" w:color="000000" w:sz="4" w:space="0"/>
              <w:left w:val="nil"/>
              <w:bottom w:val="single" w:color="000000" w:sz="4" w:space="0"/>
              <w:right w:val="single" w:color="000000" w:sz="4" w:space="0"/>
            </w:tcBorders>
            <w:vAlign w:val="center"/>
          </w:tcPr>
          <w:p>
            <w:pPr>
              <w:jc w:val="center"/>
              <w:rPr>
                <w:rStyle w:val="15"/>
                <w:rFonts w:ascii="宋体" w:hAnsi="宋体" w:cs="宋体"/>
                <w:b/>
                <w:bCs/>
                <w:kern w:val="0"/>
                <w:szCs w:val="21"/>
              </w:rPr>
            </w:pPr>
            <w:r>
              <w:rPr>
                <w:rStyle w:val="15"/>
                <w:rFonts w:hint="eastAsia" w:ascii="宋体" w:hAnsi="宋体" w:cs="宋体"/>
                <w:b/>
                <w:bCs/>
                <w:kern w:val="0"/>
                <w:szCs w:val="21"/>
              </w:rPr>
              <w:t>定制</w:t>
            </w:r>
          </w:p>
        </w:tc>
      </w:tr>
    </w:tbl>
    <w:p>
      <w:pPr>
        <w:spacing w:line="560" w:lineRule="exact"/>
        <w:outlineLvl w:val="0"/>
        <w:rPr>
          <w:rFonts w:ascii="Times New Roman" w:hAnsi="Times New Roman"/>
          <w:b/>
          <w:bCs/>
          <w:sz w:val="28"/>
          <w:szCs w:val="28"/>
        </w:rPr>
      </w:pPr>
      <w:r>
        <w:rPr>
          <w:rFonts w:ascii="Times New Roman" w:hAnsi="Times New Roman"/>
          <w:b/>
          <w:bCs/>
          <w:sz w:val="28"/>
          <w:szCs w:val="28"/>
        </w:rPr>
        <w:t>二、商务要求</w:t>
      </w:r>
    </w:p>
    <w:tbl>
      <w:tblPr>
        <w:tblStyle w:val="10"/>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45" w:type="dxa"/>
            <w:tcBorders>
              <w:bottom w:val="nil"/>
            </w:tcBorders>
            <w:vAlign w:val="center"/>
          </w:tcPr>
          <w:p>
            <w:pPr>
              <w:pStyle w:val="31"/>
              <w:numPr>
                <w:ilvl w:val="0"/>
                <w:numId w:val="3"/>
              </w:numPr>
              <w:ind w:firstLineChars="0"/>
              <w:rPr>
                <w:rFonts w:ascii="Times New Roman" w:hAnsi="Times New Roman"/>
              </w:rPr>
            </w:pPr>
            <w:r>
              <w:rPr>
                <w:rFonts w:hint="eastAsia" w:ascii="Times New Roman" w:hAnsi="Times New Roman"/>
              </w:rPr>
              <w:t>安装调试：项目为交钥匙工程，包含线路布局、设备安装、调试、培训及安装吊架、线材等所需一切辅材，竞标人必须现场踏勘报价，折叠椅须事先提供与实物图片一致样品。</w:t>
            </w:r>
          </w:p>
          <w:p>
            <w:pPr>
              <w:pStyle w:val="31"/>
              <w:numPr>
                <w:ilvl w:val="0"/>
                <w:numId w:val="3"/>
              </w:numPr>
              <w:ind w:firstLineChars="0"/>
              <w:rPr>
                <w:rFonts w:ascii="Times New Roman" w:hAnsi="Times New Roman"/>
              </w:rPr>
            </w:pPr>
            <w:r>
              <w:rPr>
                <w:rFonts w:hint="eastAsia" w:ascii="宋体" w:hAnsi="宋体" w:cs="宋体"/>
                <w:bCs/>
                <w:szCs w:val="21"/>
              </w:rPr>
              <w:t>产品在使用过程中出现问题，必须1小时内上门解决，必须7*24小时提供上门服务，须提供竟标人加盖公章的售后服务承诺书。投影仪保修三年，</w:t>
            </w:r>
            <w:r>
              <w:rPr>
                <w:rFonts w:hint="eastAsia" w:ascii="Times New Roman" w:hAnsi="Times New Roman"/>
              </w:rPr>
              <w:t>须提供</w:t>
            </w:r>
            <w:r>
              <w:rPr>
                <w:rFonts w:hint="eastAsia" w:ascii="宋体" w:hAnsi="宋体" w:cs="宋体"/>
                <w:bCs/>
                <w:szCs w:val="21"/>
              </w:rPr>
              <w:t>制造商厂家针对本项目的授权及售后服务承诺函原件。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945" w:type="dxa"/>
            <w:tcBorders>
              <w:top w:val="nil"/>
            </w:tcBorders>
            <w:vAlign w:val="center"/>
          </w:tcPr>
          <w:p>
            <w:pPr>
              <w:rPr>
                <w:rFonts w:ascii="Times New Roman" w:hAnsi="Times New Roman"/>
              </w:rPr>
            </w:pPr>
          </w:p>
        </w:tc>
      </w:tr>
    </w:tbl>
    <w:p>
      <w:pPr>
        <w:pStyle w:val="19"/>
        <w:rPr>
          <w:rStyle w:val="15"/>
        </w:rPr>
      </w:pPr>
    </w:p>
    <w:sectPr>
      <w:footerReference r:id="rId3" w:type="default"/>
      <w:pgSz w:w="11907" w:h="16840"/>
      <w:pgMar w:top="1418" w:right="1457" w:bottom="1418"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5"/>
      </w:rPr>
    </w:pPr>
    <w:r>
      <w:rPr>
        <w:rStyle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Style w:val="15"/>
                            </w:rPr>
                          </w:pPr>
                        </w:p>
                        <w:p>
                          <w:pPr>
                            <w:rPr>
                              <w:rStyle w:val="15"/>
                            </w:rPr>
                          </w:pPr>
                        </w:p>
                      </w:txbxContent>
                    </wps:txbx>
                    <wps:bodyPr lIns="0" tIns="0" rIns="0" bIns="0" anchor="t" anchorCtr="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mk9kDSAAAABQEAAA8AAAAAAAAAAQAgAAAAIgAAAGRycy9kb3ducmV2Lnht&#10;bFBLAQIUABQAAAAIAIdO4kC05ZenxgEAAJsDAAAOAAAAAAAAAAEAIAAAACEBAABkcnMvZTJvRG9j&#10;LnhtbFBLBQYAAAAABgAGAFkBAABZBQAAAAA=&#10;">
              <v:fill on="f" focussize="0,0"/>
              <v:stroke on="f"/>
              <v:imagedata o:title=""/>
              <o:lock v:ext="edit" aspectratio="f"/>
              <v:textbox inset="0mm,0mm,0mm,0mm">
                <w:txbxContent>
                  <w:p>
                    <w:pPr>
                      <w:pStyle w:val="7"/>
                      <w:rPr>
                        <w:rStyle w:val="15"/>
                      </w:rPr>
                    </w:pPr>
                  </w:p>
                  <w:p>
                    <w:pPr>
                      <w:rPr>
                        <w:rStyle w:val="15"/>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A227D"/>
    <w:multiLevelType w:val="multilevel"/>
    <w:tmpl w:val="1C2A227D"/>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5B7551"/>
    <w:multiLevelType w:val="singleLevel"/>
    <w:tmpl w:val="285B7551"/>
    <w:lvl w:ilvl="0" w:tentative="0">
      <w:start w:val="8"/>
      <w:numFmt w:val="decimal"/>
      <w:suff w:val="nothing"/>
      <w:lvlText w:val="%1、"/>
      <w:lvlJc w:val="left"/>
    </w:lvl>
  </w:abstractNum>
  <w:abstractNum w:abstractNumId="2">
    <w:nsid w:val="78AB89FC"/>
    <w:multiLevelType w:val="singleLevel"/>
    <w:tmpl w:val="78AB89FC"/>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hdrShapeDefaults>
    <o:shapelayout v:ext="edit">
      <o:idmap v:ext="edit" data="1"/>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N2I4ZDRiMmU3NDVmYzExMTU0M2Y0ZDI1YzIyNzMifQ=="/>
  </w:docVars>
  <w:rsids>
    <w:rsidRoot w:val="001F2102"/>
    <w:rsid w:val="000030FD"/>
    <w:rsid w:val="0001129E"/>
    <w:rsid w:val="000113AD"/>
    <w:rsid w:val="00047962"/>
    <w:rsid w:val="00055023"/>
    <w:rsid w:val="0006460C"/>
    <w:rsid w:val="00087873"/>
    <w:rsid w:val="0009487E"/>
    <w:rsid w:val="000C7E98"/>
    <w:rsid w:val="000F4019"/>
    <w:rsid w:val="001027CD"/>
    <w:rsid w:val="001822B2"/>
    <w:rsid w:val="001C6322"/>
    <w:rsid w:val="001C7813"/>
    <w:rsid w:val="001E763B"/>
    <w:rsid w:val="001F2102"/>
    <w:rsid w:val="001F4842"/>
    <w:rsid w:val="001F49F3"/>
    <w:rsid w:val="00212D6A"/>
    <w:rsid w:val="002870A9"/>
    <w:rsid w:val="00287B34"/>
    <w:rsid w:val="00313B0F"/>
    <w:rsid w:val="00325844"/>
    <w:rsid w:val="00334195"/>
    <w:rsid w:val="00361957"/>
    <w:rsid w:val="00386CA1"/>
    <w:rsid w:val="003B63F6"/>
    <w:rsid w:val="003D0EC9"/>
    <w:rsid w:val="00412B71"/>
    <w:rsid w:val="00426EB7"/>
    <w:rsid w:val="00440E30"/>
    <w:rsid w:val="004566A2"/>
    <w:rsid w:val="0049516E"/>
    <w:rsid w:val="004A3814"/>
    <w:rsid w:val="004E6E27"/>
    <w:rsid w:val="004F5205"/>
    <w:rsid w:val="004F7F85"/>
    <w:rsid w:val="0050291C"/>
    <w:rsid w:val="0051622B"/>
    <w:rsid w:val="00521844"/>
    <w:rsid w:val="005345E9"/>
    <w:rsid w:val="00563594"/>
    <w:rsid w:val="0058528E"/>
    <w:rsid w:val="00586084"/>
    <w:rsid w:val="005C4342"/>
    <w:rsid w:val="005D6795"/>
    <w:rsid w:val="005F2B14"/>
    <w:rsid w:val="00613F67"/>
    <w:rsid w:val="00625368"/>
    <w:rsid w:val="006328A8"/>
    <w:rsid w:val="00637801"/>
    <w:rsid w:val="00660919"/>
    <w:rsid w:val="00673837"/>
    <w:rsid w:val="006B130B"/>
    <w:rsid w:val="00700919"/>
    <w:rsid w:val="0070363D"/>
    <w:rsid w:val="0072313E"/>
    <w:rsid w:val="00726EE6"/>
    <w:rsid w:val="00772E5F"/>
    <w:rsid w:val="007C1C54"/>
    <w:rsid w:val="007C5955"/>
    <w:rsid w:val="007C60ED"/>
    <w:rsid w:val="007D2341"/>
    <w:rsid w:val="008225C6"/>
    <w:rsid w:val="00835333"/>
    <w:rsid w:val="00844E05"/>
    <w:rsid w:val="008811A0"/>
    <w:rsid w:val="008D3E77"/>
    <w:rsid w:val="008E2B71"/>
    <w:rsid w:val="00900786"/>
    <w:rsid w:val="00906415"/>
    <w:rsid w:val="00907BB9"/>
    <w:rsid w:val="00926128"/>
    <w:rsid w:val="00986AC3"/>
    <w:rsid w:val="009954CB"/>
    <w:rsid w:val="009D3162"/>
    <w:rsid w:val="009D3212"/>
    <w:rsid w:val="00A02E68"/>
    <w:rsid w:val="00A3120F"/>
    <w:rsid w:val="00A56A01"/>
    <w:rsid w:val="00A7145D"/>
    <w:rsid w:val="00A77788"/>
    <w:rsid w:val="00A81171"/>
    <w:rsid w:val="00AA3DCC"/>
    <w:rsid w:val="00AB3BC7"/>
    <w:rsid w:val="00AC6D8D"/>
    <w:rsid w:val="00AE2561"/>
    <w:rsid w:val="00B163BB"/>
    <w:rsid w:val="00B4563B"/>
    <w:rsid w:val="00B76C89"/>
    <w:rsid w:val="00B97F01"/>
    <w:rsid w:val="00C26391"/>
    <w:rsid w:val="00C3553C"/>
    <w:rsid w:val="00C42F14"/>
    <w:rsid w:val="00C50844"/>
    <w:rsid w:val="00C670F3"/>
    <w:rsid w:val="00C834AB"/>
    <w:rsid w:val="00C94177"/>
    <w:rsid w:val="00CA6549"/>
    <w:rsid w:val="00CA6E53"/>
    <w:rsid w:val="00CC0B10"/>
    <w:rsid w:val="00CE5A7F"/>
    <w:rsid w:val="00CE7556"/>
    <w:rsid w:val="00D052C5"/>
    <w:rsid w:val="00D14B05"/>
    <w:rsid w:val="00D25C25"/>
    <w:rsid w:val="00D44D6D"/>
    <w:rsid w:val="00D73BD8"/>
    <w:rsid w:val="00D843D2"/>
    <w:rsid w:val="00DA403B"/>
    <w:rsid w:val="00DE3340"/>
    <w:rsid w:val="00E40419"/>
    <w:rsid w:val="00E4608F"/>
    <w:rsid w:val="00E50ABE"/>
    <w:rsid w:val="00ED4DF1"/>
    <w:rsid w:val="00EE0DBA"/>
    <w:rsid w:val="00F10D63"/>
    <w:rsid w:val="00F12062"/>
    <w:rsid w:val="00F151DA"/>
    <w:rsid w:val="00F26587"/>
    <w:rsid w:val="00F27096"/>
    <w:rsid w:val="00F93622"/>
    <w:rsid w:val="00FB3170"/>
    <w:rsid w:val="03190CB5"/>
    <w:rsid w:val="03E6060C"/>
    <w:rsid w:val="069F3BC7"/>
    <w:rsid w:val="07520C39"/>
    <w:rsid w:val="07585B24"/>
    <w:rsid w:val="09446EB5"/>
    <w:rsid w:val="0E19600D"/>
    <w:rsid w:val="0E3E3C3B"/>
    <w:rsid w:val="104B0722"/>
    <w:rsid w:val="10CC3366"/>
    <w:rsid w:val="11411741"/>
    <w:rsid w:val="12345DD1"/>
    <w:rsid w:val="13E717B9"/>
    <w:rsid w:val="145558C5"/>
    <w:rsid w:val="1461070D"/>
    <w:rsid w:val="14C36CD2"/>
    <w:rsid w:val="150317C5"/>
    <w:rsid w:val="15B807B1"/>
    <w:rsid w:val="16EB42BE"/>
    <w:rsid w:val="17CA5C1C"/>
    <w:rsid w:val="1C054074"/>
    <w:rsid w:val="1D8A2A83"/>
    <w:rsid w:val="1E413C8A"/>
    <w:rsid w:val="1E65704C"/>
    <w:rsid w:val="1EF83A1C"/>
    <w:rsid w:val="1F422D63"/>
    <w:rsid w:val="1F5A4CBF"/>
    <w:rsid w:val="208E288A"/>
    <w:rsid w:val="21DF71B9"/>
    <w:rsid w:val="22F56BF1"/>
    <w:rsid w:val="23FC3FAF"/>
    <w:rsid w:val="24FD7FDE"/>
    <w:rsid w:val="26D905D7"/>
    <w:rsid w:val="275E288B"/>
    <w:rsid w:val="29486A61"/>
    <w:rsid w:val="2AF552B4"/>
    <w:rsid w:val="320266E5"/>
    <w:rsid w:val="32F80037"/>
    <w:rsid w:val="35847960"/>
    <w:rsid w:val="37363AF6"/>
    <w:rsid w:val="37985945"/>
    <w:rsid w:val="3AB31C5D"/>
    <w:rsid w:val="3B9A2880"/>
    <w:rsid w:val="3C277297"/>
    <w:rsid w:val="3C3C072D"/>
    <w:rsid w:val="3E2B7513"/>
    <w:rsid w:val="420413CE"/>
    <w:rsid w:val="42AD59C7"/>
    <w:rsid w:val="42BF022A"/>
    <w:rsid w:val="43086642"/>
    <w:rsid w:val="461E495F"/>
    <w:rsid w:val="46B06807"/>
    <w:rsid w:val="477B5067"/>
    <w:rsid w:val="479E460C"/>
    <w:rsid w:val="482F19AD"/>
    <w:rsid w:val="484541B5"/>
    <w:rsid w:val="497D1516"/>
    <w:rsid w:val="4A8E7BDF"/>
    <w:rsid w:val="4AD30E6A"/>
    <w:rsid w:val="4AEF3676"/>
    <w:rsid w:val="4BF52F0E"/>
    <w:rsid w:val="4D18117E"/>
    <w:rsid w:val="4FDF0786"/>
    <w:rsid w:val="515C7E94"/>
    <w:rsid w:val="524F2E58"/>
    <w:rsid w:val="52C91DA5"/>
    <w:rsid w:val="53487DC7"/>
    <w:rsid w:val="561C5C67"/>
    <w:rsid w:val="57A04676"/>
    <w:rsid w:val="595402B8"/>
    <w:rsid w:val="5BD20B76"/>
    <w:rsid w:val="5D8F250D"/>
    <w:rsid w:val="5DD07337"/>
    <w:rsid w:val="5FB25003"/>
    <w:rsid w:val="69AB33AB"/>
    <w:rsid w:val="6A4E5B4D"/>
    <w:rsid w:val="6AF503DD"/>
    <w:rsid w:val="6BBB054D"/>
    <w:rsid w:val="6C16685D"/>
    <w:rsid w:val="6CA20659"/>
    <w:rsid w:val="6EFF182A"/>
    <w:rsid w:val="6F411E43"/>
    <w:rsid w:val="71B90184"/>
    <w:rsid w:val="72427B51"/>
    <w:rsid w:val="72D26B42"/>
    <w:rsid w:val="72F0605A"/>
    <w:rsid w:val="73441F01"/>
    <w:rsid w:val="751339FD"/>
    <w:rsid w:val="78034139"/>
    <w:rsid w:val="7899684C"/>
    <w:rsid w:val="79D175B1"/>
    <w:rsid w:val="7A0456A4"/>
    <w:rsid w:val="7A4842BC"/>
    <w:rsid w:val="7D4E22FA"/>
    <w:rsid w:val="7DDD367E"/>
    <w:rsid w:val="7FB46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2"/>
      <w:lang w:val="en-US" w:eastAsia="zh-CN" w:bidi="ar-SA"/>
    </w:rPr>
  </w:style>
  <w:style w:type="paragraph" w:styleId="3">
    <w:name w:val="heading 1"/>
    <w:basedOn w:val="1"/>
    <w:next w:val="1"/>
    <w:qFormat/>
    <w:uiPriority w:val="9"/>
    <w:pPr>
      <w:keepNext/>
      <w:keepLines/>
      <w:spacing w:line="360" w:lineRule="auto"/>
      <w:outlineLvl w:val="0"/>
    </w:pPr>
    <w:rPr>
      <w:b/>
      <w:bCs/>
      <w:kern w:val="44"/>
      <w:sz w:val="36"/>
      <w:szCs w:val="44"/>
    </w:rPr>
  </w:style>
  <w:style w:type="paragraph" w:styleId="4">
    <w:name w:val="heading 2"/>
    <w:basedOn w:val="1"/>
    <w:next w:val="1"/>
    <w:unhideWhenUsed/>
    <w:qFormat/>
    <w:uiPriority w:val="9"/>
    <w:pPr>
      <w:keepNext/>
      <w:keepLines/>
      <w:spacing w:line="360" w:lineRule="auto"/>
      <w:outlineLvl w:val="1"/>
    </w:pPr>
    <w:rPr>
      <w:rFonts w:ascii="Calibri Light" w:hAnsi="Calibri Light"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Document Map"/>
    <w:basedOn w:val="1"/>
    <w:link w:val="33"/>
    <w:qFormat/>
    <w:uiPriority w:val="0"/>
    <w:rPr>
      <w:rFonts w:ascii="宋体"/>
      <w:sz w:val="18"/>
      <w:szCs w:val="18"/>
    </w:rPr>
  </w:style>
  <w:style w:type="paragraph" w:styleId="6">
    <w:name w:val="Balloon Text"/>
    <w:basedOn w:val="1"/>
    <w:link w:val="2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textAlignment w:val="auto"/>
    </w:pPr>
    <w:rPr>
      <w:rFonts w:ascii="宋体" w:hAnsi="宋体" w:cs="Times New Roman"/>
      <w:kern w:val="0"/>
      <w:sz w:val="24"/>
      <w:szCs w:val="24"/>
    </w:rPr>
  </w:style>
  <w:style w:type="paragraph" w:customStyle="1" w:styleId="12">
    <w:name w:val="BodyText"/>
    <w:basedOn w:val="1"/>
    <w:qFormat/>
    <w:uiPriority w:val="0"/>
    <w:pPr>
      <w:spacing w:after="120"/>
    </w:pPr>
  </w:style>
  <w:style w:type="paragraph" w:customStyle="1" w:styleId="13">
    <w:name w:val="Heading1"/>
    <w:basedOn w:val="1"/>
    <w:next w:val="1"/>
    <w:qFormat/>
    <w:uiPriority w:val="0"/>
    <w:pPr>
      <w:keepNext/>
      <w:keepLines/>
      <w:spacing w:line="360" w:lineRule="auto"/>
    </w:pPr>
    <w:rPr>
      <w:rFonts w:cs="Times New Roman"/>
      <w:b/>
      <w:bCs/>
      <w:kern w:val="44"/>
      <w:sz w:val="36"/>
      <w:szCs w:val="44"/>
    </w:rPr>
  </w:style>
  <w:style w:type="paragraph" w:customStyle="1" w:styleId="14">
    <w:name w:val="Heading2"/>
    <w:basedOn w:val="1"/>
    <w:next w:val="1"/>
    <w:qFormat/>
    <w:uiPriority w:val="0"/>
    <w:pPr>
      <w:keepNext/>
      <w:keepLines/>
      <w:spacing w:line="360" w:lineRule="auto"/>
    </w:pPr>
    <w:rPr>
      <w:rFonts w:ascii="Calibri Light" w:hAnsi="Calibri Light" w:cs="Times New Roman"/>
      <w:b/>
      <w:bCs/>
      <w:sz w:val="32"/>
      <w:szCs w:val="32"/>
    </w:rPr>
  </w:style>
  <w:style w:type="character" w:customStyle="1" w:styleId="15">
    <w:name w:val="NormalCharacter"/>
    <w:semiHidden/>
    <w:qFormat/>
    <w:uiPriority w:val="0"/>
  </w:style>
  <w:style w:type="table" w:customStyle="1" w:styleId="16">
    <w:name w:val="TableNormal"/>
    <w:semiHidden/>
    <w:qFormat/>
    <w:uiPriority w:val="0"/>
    <w:tblPr>
      <w:tblCellMar>
        <w:top w:w="0" w:type="dxa"/>
        <w:left w:w="0" w:type="dxa"/>
        <w:bottom w:w="0" w:type="dxa"/>
        <w:right w:w="0" w:type="dxa"/>
      </w:tblCellMar>
    </w:tblPr>
  </w:style>
  <w:style w:type="paragraph" w:customStyle="1" w:styleId="17">
    <w:name w:val="BodyTextIndent"/>
    <w:basedOn w:val="1"/>
    <w:qFormat/>
    <w:uiPriority w:val="0"/>
    <w:pPr>
      <w:spacing w:after="120"/>
      <w:ind w:left="420" w:leftChars="200"/>
    </w:pPr>
  </w:style>
  <w:style w:type="paragraph" w:customStyle="1" w:styleId="18">
    <w:name w:val="PlainText"/>
    <w:basedOn w:val="1"/>
    <w:next w:val="1"/>
    <w:qFormat/>
    <w:uiPriority w:val="0"/>
    <w:rPr>
      <w:rFonts w:ascii="宋体" w:hAnsi="Courier New"/>
      <w:kern w:val="0"/>
      <w:sz w:val="20"/>
      <w:szCs w:val="21"/>
    </w:rPr>
  </w:style>
  <w:style w:type="paragraph" w:customStyle="1" w:styleId="19">
    <w:name w:val="TOC1"/>
    <w:basedOn w:val="1"/>
    <w:next w:val="1"/>
    <w:qFormat/>
    <w:uiPriority w:val="0"/>
  </w:style>
  <w:style w:type="paragraph" w:customStyle="1" w:styleId="20">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21">
    <w:name w:val="BodyText1I2"/>
    <w:basedOn w:val="17"/>
    <w:autoRedefine/>
    <w:qFormat/>
    <w:uiPriority w:val="0"/>
    <w:pPr>
      <w:ind w:firstLine="420" w:firstLineChars="200"/>
    </w:pPr>
  </w:style>
  <w:style w:type="table" w:customStyle="1" w:styleId="22">
    <w:name w:val="TableGrid"/>
    <w:basedOn w:val="16"/>
    <w:autoRedefine/>
    <w:qFormat/>
    <w:uiPriority w:val="0"/>
    <w:tblPr>
      <w:tblCellMar>
        <w:top w:w="0" w:type="dxa"/>
        <w:left w:w="0" w:type="dxa"/>
        <w:bottom w:w="0" w:type="dxa"/>
        <w:right w:w="0" w:type="dxa"/>
      </w:tblCellMar>
    </w:tblPr>
  </w:style>
  <w:style w:type="character" w:customStyle="1" w:styleId="23">
    <w:name w:val="UserStyle_0"/>
    <w:autoRedefine/>
    <w:qFormat/>
    <w:uiPriority w:val="0"/>
    <w:rPr>
      <w:color w:val="000000"/>
      <w:sz w:val="15"/>
      <w:szCs w:val="15"/>
    </w:rPr>
  </w:style>
  <w:style w:type="paragraph" w:customStyle="1" w:styleId="24">
    <w:name w:val="UserStyle_1"/>
    <w:basedOn w:val="1"/>
    <w:autoRedefine/>
    <w:qFormat/>
    <w:uiPriority w:val="0"/>
    <w:pPr>
      <w:ind w:firstLine="420" w:firstLineChars="200"/>
    </w:pPr>
  </w:style>
  <w:style w:type="paragraph" w:customStyle="1" w:styleId="25">
    <w:name w:val="UserStyle_2"/>
    <w:basedOn w:val="1"/>
    <w:autoRedefine/>
    <w:qFormat/>
    <w:uiPriority w:val="0"/>
    <w:pPr>
      <w:spacing w:line="360" w:lineRule="auto"/>
      <w:ind w:firstLine="420" w:firstLineChars="200"/>
    </w:pPr>
    <w:rPr>
      <w:sz w:val="24"/>
    </w:rPr>
  </w:style>
  <w:style w:type="paragraph" w:customStyle="1" w:styleId="26">
    <w:name w:val="UserStyle_3"/>
    <w:basedOn w:val="1"/>
    <w:autoRedefine/>
    <w:qFormat/>
    <w:uiPriority w:val="0"/>
    <w:rPr>
      <w:rFonts w:ascii="宋体" w:hAnsi="宋体"/>
      <w:lang w:val="zh-CN" w:bidi="zh-CN"/>
    </w:rPr>
  </w:style>
  <w:style w:type="paragraph" w:customStyle="1" w:styleId="27">
    <w:name w:val="UserStyle_4"/>
    <w:basedOn w:val="1"/>
    <w:autoRedefine/>
    <w:qFormat/>
    <w:uiPriority w:val="0"/>
    <w:pPr>
      <w:ind w:firstLine="200" w:firstLineChars="200"/>
    </w:pPr>
    <w:rPr>
      <w:rFonts w:ascii="Times New Roman" w:hAnsi="Times New Roman"/>
      <w:szCs w:val="24"/>
    </w:rPr>
  </w:style>
  <w:style w:type="character" w:customStyle="1" w:styleId="28">
    <w:name w:val="批注框文本 Char"/>
    <w:basedOn w:val="11"/>
    <w:link w:val="6"/>
    <w:autoRedefine/>
    <w:qFormat/>
    <w:uiPriority w:val="0"/>
    <w:rPr>
      <w:rFonts w:ascii="Calibri" w:hAnsi="Calibri"/>
      <w:kern w:val="2"/>
      <w:sz w:val="18"/>
      <w:szCs w:val="18"/>
    </w:rPr>
  </w:style>
  <w:style w:type="paragraph" w:customStyle="1" w:styleId="29">
    <w:name w:val="p0"/>
    <w:basedOn w:val="1"/>
    <w:autoRedefine/>
    <w:qFormat/>
    <w:uiPriority w:val="0"/>
    <w:pPr>
      <w:spacing w:before="100" w:beforeAutospacing="1" w:after="100" w:afterAutospacing="1"/>
      <w:jc w:val="left"/>
    </w:pPr>
    <w:rPr>
      <w:rFonts w:ascii="宋体" w:hAnsi="宋体" w:cs="宋体"/>
      <w:kern w:val="0"/>
      <w:sz w:val="24"/>
      <w:szCs w:val="24"/>
    </w:rPr>
  </w:style>
  <w:style w:type="character" w:customStyle="1" w:styleId="30">
    <w:name w:val="link21"/>
    <w:autoRedefine/>
    <w:qFormat/>
    <w:uiPriority w:val="0"/>
    <w:rPr>
      <w:color w:val="000000"/>
      <w:sz w:val="15"/>
      <w:szCs w:val="15"/>
      <w:u w:val="none"/>
    </w:rPr>
  </w:style>
  <w:style w:type="paragraph" w:styleId="31">
    <w:name w:val="List Paragraph"/>
    <w:basedOn w:val="1"/>
    <w:link w:val="32"/>
    <w:autoRedefine/>
    <w:qFormat/>
    <w:uiPriority w:val="0"/>
    <w:pPr>
      <w:widowControl w:val="0"/>
      <w:ind w:firstLine="420" w:firstLineChars="200"/>
      <w:textAlignment w:val="auto"/>
    </w:pPr>
    <w:rPr>
      <w:rFonts w:cs="Times New Roman"/>
    </w:rPr>
  </w:style>
  <w:style w:type="character" w:customStyle="1" w:styleId="32">
    <w:name w:val="列出段落 Char"/>
    <w:link w:val="31"/>
    <w:autoRedefine/>
    <w:qFormat/>
    <w:uiPriority w:val="0"/>
    <w:rPr>
      <w:rFonts w:ascii="Calibri" w:hAnsi="Calibri" w:cs="Times New Roman"/>
      <w:kern w:val="2"/>
      <w:sz w:val="21"/>
      <w:szCs w:val="22"/>
    </w:rPr>
  </w:style>
  <w:style w:type="character" w:customStyle="1" w:styleId="33">
    <w:name w:val="文档结构图 Char"/>
    <w:basedOn w:val="11"/>
    <w:link w:val="5"/>
    <w:autoRedefine/>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973</Words>
  <Characters>5551</Characters>
  <Lines>46</Lines>
  <Paragraphs>13</Paragraphs>
  <TotalTime>393</TotalTime>
  <ScaleCrop>false</ScaleCrop>
  <LinksUpToDate>false</LinksUpToDate>
  <CharactersWithSpaces>6511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2023-10-13T03:54:00Z</dcterms:created>
  <dc:creator>Administrator</dc:creator>
  <cp:lastModifiedBy>强哥</cp:lastModifiedBy>
  <cp:lastPrinted>2022-04-29T03:12:00Z</cp:lastPrinted>
  <dcterms:modified xsi:type="dcterms:W3CDTF">2024-03-28T01:22:12Z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578BF8CB887B4C90AA2510B91238E760_13</vt:lpwstr>
  </property>
  <property fmtid="{D5CDD505-2E9C-101B-9397-08002B2CF9AE}" pid="4" name="commondata">
    <vt:lpwstr>eyJoZGlkIjoiMGM4MzIwYzkxODFjNTczYTRjMWUwYjc3YWMzMzY2NjIifQ==</vt:lpwstr>
  </property>
</Properties>
</file>