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84EC10">
      <w:pPr>
        <w:ind w:firstLine="1966" w:firstLineChars="445"/>
        <w:rPr>
          <w:rFonts w:ascii="华文新魏" w:eastAsia="华文新魏"/>
          <w:b/>
          <w:sz w:val="44"/>
          <w:szCs w:val="44"/>
        </w:rPr>
      </w:pPr>
      <w:r>
        <w:rPr>
          <w:rFonts w:hint="eastAsia" w:ascii="华文新魏" w:eastAsia="华文新魏"/>
          <w:b/>
          <w:sz w:val="44"/>
          <w:szCs w:val="44"/>
        </w:rPr>
        <w:t>涟源市司法局保洁协议</w:t>
      </w:r>
    </w:p>
    <w:p w14:paraId="306B90B0">
      <w:pPr>
        <w:spacing w:line="360" w:lineRule="auto"/>
        <w:rPr>
          <w:b/>
          <w:sz w:val="32"/>
          <w:szCs w:val="32"/>
        </w:rPr>
      </w:pPr>
    </w:p>
    <w:p w14:paraId="333969B3">
      <w:pPr>
        <w:spacing w:line="360" w:lineRule="auto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甲方：涟源市司法局</w:t>
      </w:r>
    </w:p>
    <w:p w14:paraId="56F596D6">
      <w:pPr>
        <w:spacing w:line="360" w:lineRule="auto"/>
        <w:rPr>
          <w:rFonts w:hint="eastAsia" w:eastAsiaTheme="minor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</w:rPr>
        <w:t>乙方：</w:t>
      </w:r>
      <w:r>
        <w:rPr>
          <w:rFonts w:hint="eastAsia" w:ascii="宋体" w:hAnsi="宋体" w:eastAsia="宋体" w:cs="宋体"/>
          <w:b/>
          <w:sz w:val="32"/>
          <w:szCs w:val="32"/>
        </w:rPr>
        <w:t>※※※</w:t>
      </w:r>
    </w:p>
    <w:p w14:paraId="73BC915B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就乙方承揽甲方公共区域物业保洁一事，经双方协商，达成如下协议：</w:t>
      </w:r>
    </w:p>
    <w:p w14:paraId="712E0353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一、物业保洁协议期限暂定壹年，起止时间从</w:t>
      </w:r>
      <w:r>
        <w:rPr>
          <w:rFonts w:hint="eastAsia"/>
          <w:b/>
          <w:sz w:val="28"/>
          <w:szCs w:val="28"/>
          <w:u w:val="single"/>
        </w:rPr>
        <w:t xml:space="preserve">    202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  <w:u w:val="single"/>
        </w:rPr>
        <w:t xml:space="preserve">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  <w:u w:val="single"/>
        </w:rPr>
        <w:t xml:space="preserve">   1</w:t>
      </w:r>
      <w:r>
        <w:rPr>
          <w:rFonts w:hint="eastAsia"/>
          <w:b/>
          <w:sz w:val="28"/>
          <w:szCs w:val="28"/>
        </w:rPr>
        <w:t>日起至</w:t>
      </w:r>
      <w:r>
        <w:rPr>
          <w:rFonts w:hint="eastAsia"/>
          <w:b/>
          <w:sz w:val="28"/>
          <w:szCs w:val="28"/>
          <w:u w:val="single"/>
        </w:rPr>
        <w:t xml:space="preserve">    202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6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  <w:u w:val="single"/>
        </w:rPr>
        <w:t xml:space="preserve">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4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  <w:u w:val="single"/>
        </w:rPr>
        <w:t xml:space="preserve"> 3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  <w:lang w:val="en-US" w:eastAsia="zh-CN"/>
        </w:rPr>
        <w:t>0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</w:rPr>
        <w:t>日止，协议期内双方不得无故解除协议，合同期满不再续签，必须提前30天通知对方，否则解除方必须承担因此而带来的一切损失。</w:t>
      </w:r>
    </w:p>
    <w:p w14:paraId="0EDD7891">
      <w:pPr>
        <w:spacing w:line="360" w:lineRule="auto"/>
        <w:ind w:firstLine="559" w:firstLineChars="199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二、日常保洁所承担的工作牌、保洁人员的工作服及劳保用品等由乙方提供，其它保洁物品由甲方提供。</w:t>
      </w:r>
    </w:p>
    <w:p w14:paraId="0FB67858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三、乙方保洁人员在工作时间要职责明确，规范着装，佩带统一服务标识上岗，文明服务，礼貌待人，坚守工作岗位，不得做与本岗位工作无关的工作。</w:t>
      </w:r>
    </w:p>
    <w:p w14:paraId="0D4A1D7F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四、乙方保洁人员严格遵守法律法规及甲方的各项规章制度，甲方进行监督检查，如发现不合格，乙方应立即回复、沟通、整改，如经常接到甲方领导干部投诉，多次发现乙方的保洁项目不合格没及时整改到位则可终止协议。</w:t>
      </w:r>
    </w:p>
    <w:p w14:paraId="6ABBE23C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五、乙方主管应定期对保洁员进行职业道德、安全及技能培训。</w:t>
      </w:r>
    </w:p>
    <w:p w14:paraId="1F2D742F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六、乙方保洁人员不得与甲方干部职工、办事人员吵架及询问任何问题，不得翻阅和带走甲方任何相关资料，，保密甲方的一切制度和事务。</w:t>
      </w:r>
    </w:p>
    <w:p w14:paraId="2EC15177">
      <w:pPr>
        <w:spacing w:line="360" w:lineRule="auto"/>
        <w:ind w:firstLine="422" w:firstLineChars="15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七、保洁费用与保洁范围及质量标准见附表。</w:t>
      </w:r>
    </w:p>
    <w:p w14:paraId="4635257D">
      <w:pPr>
        <w:spacing w:line="360" w:lineRule="auto"/>
        <w:ind w:firstLine="422" w:firstLineChars="15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八、乙方保洁人员损坏甲方任何物品须照价赔偿，未经甲方许可不得私自拿走任何物品，一经发现查实有此情况立即移交公安机关处理，甲方即可终止此协议。</w:t>
      </w:r>
    </w:p>
    <w:p w14:paraId="095FCEF7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九、乙方保洁人员应尽职尽责，做好每日卫生维护，并节约用水、用电，遇暴雨及冰雪天气时，应及时做好应急措施，关好门窗、防水防滑防堵塞，检查沟渠、地漏等等，出现故障应及时报告给甲方。</w:t>
      </w:r>
    </w:p>
    <w:p w14:paraId="2C98A8B5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十、乙方的保洁人员在工作时应规范操作，注意人身安全，抓好安全教育，检查安全措施到位情况，因乙方人为因素引起的安全意外，甲方概不负责。</w:t>
      </w:r>
    </w:p>
    <w:p w14:paraId="1209D7DA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十一、乙方在工作场所，发现甲方存在安全检查隐患需及时告知甲方相关人员，如乙方未及时告知甲方，所造成的安全事故由乙方承担全部责任。</w:t>
      </w:r>
    </w:p>
    <w:p w14:paraId="3F370A46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十二、乙方的保洁用具、保洁机器及药水需自行保管，如有损坏或丢失甲方概不负责，甲方无偿为乙方提供保洁用水电及保洁用品的堆放仓库一间。</w:t>
      </w:r>
    </w:p>
    <w:p w14:paraId="40652E47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十三、年总保洁费用人民币：叁万</w:t>
      </w:r>
      <w:r>
        <w:rPr>
          <w:rFonts w:hint="eastAsia"/>
          <w:b/>
          <w:sz w:val="28"/>
          <w:szCs w:val="28"/>
          <w:lang w:eastAsia="zh-CN"/>
        </w:rPr>
        <w:t>贰</w:t>
      </w:r>
      <w:r>
        <w:rPr>
          <w:rFonts w:hint="eastAsia"/>
          <w:b/>
          <w:sz w:val="28"/>
          <w:szCs w:val="28"/>
        </w:rPr>
        <w:t>仟元</w:t>
      </w:r>
      <w:r>
        <w:rPr>
          <w:rFonts w:hint="eastAsia"/>
          <w:b/>
          <w:sz w:val="28"/>
          <w:szCs w:val="28"/>
          <w:u w:val="single"/>
        </w:rPr>
        <w:t>（￥3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2</w:t>
      </w:r>
      <w:r>
        <w:rPr>
          <w:rFonts w:hint="eastAsia"/>
          <w:b/>
          <w:sz w:val="28"/>
          <w:szCs w:val="28"/>
          <w:u w:val="single"/>
        </w:rPr>
        <w:t>000元</w:t>
      </w:r>
      <w:r>
        <w:rPr>
          <w:rFonts w:hint="eastAsia"/>
          <w:b/>
          <w:sz w:val="28"/>
          <w:szCs w:val="28"/>
        </w:rPr>
        <w:t>）（包括工资、物耗、保险、劳保用品、管理费、税利润）。甲方不另承担其它任何费用。</w:t>
      </w:r>
    </w:p>
    <w:p w14:paraId="7B354AF8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十四、外墙清洗、水道疏通、绿化养护、花卉租摆、化粪池清理、室内卫生大扫除、增加面积或范围等其它服务则另行计算费用。</w:t>
      </w:r>
    </w:p>
    <w:p w14:paraId="50C071F9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十五、付款方式：以转帐或现金的方式分季度支付保洁费用给乙方。</w:t>
      </w:r>
    </w:p>
    <w:p w14:paraId="77C5BD35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六、乙方必须保证甲方达到“整治办”工作检查合格以上等级，在省市“两创”工作开展检查中如因乙方原因引起有一次卫生检查不合格，甲方则扣除乙方该月保洁费用的30%，并责令乙方及时整改，如甲方全年有两次以上被省市“整治办”工作卫生检查评为不合格，则由乙方承担因此带来的罚款，甲方可与乙方终止保洁协议。市里对甲方整治工作的单项资励全部奖给乙方。</w:t>
      </w:r>
    </w:p>
    <w:p w14:paraId="53495636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十七、本协议有保洁员劳动养老保险、失业、工伤保险增费未尽事宜，根据政策要求实施情况双方另行协商，但甲方只考虑公家承摊部分，私人部分由乙方个人承担。合同到期双方无异议则按本合同原条款顺延。</w:t>
      </w:r>
    </w:p>
    <w:p w14:paraId="2E3764B0">
      <w:pPr>
        <w:spacing w:line="360" w:lineRule="auto"/>
        <w:ind w:firstLine="562" w:firstLineChars="20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十八、本协议一式四份，甲方执二份，乙方执一份，报市物业办备案一份，自双方签字之日起生效。</w:t>
      </w:r>
    </w:p>
    <w:p w14:paraId="2F5B9D5C">
      <w:pPr>
        <w:spacing w:line="360" w:lineRule="auto"/>
        <w:ind w:firstLine="959" w:firstLineChars="341"/>
        <w:rPr>
          <w:rFonts w:ascii="黑体" w:eastAsia="黑体"/>
          <w:b/>
          <w:sz w:val="28"/>
          <w:szCs w:val="28"/>
        </w:rPr>
      </w:pPr>
    </w:p>
    <w:p w14:paraId="53FE070E">
      <w:pPr>
        <w:spacing w:line="360" w:lineRule="auto"/>
        <w:ind w:firstLine="967" w:firstLineChars="344"/>
        <w:rPr>
          <w:rFonts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甲方代表签字：               乙方法人代表签字：</w:t>
      </w:r>
    </w:p>
    <w:p w14:paraId="02109874">
      <w:pPr>
        <w:spacing w:line="360" w:lineRule="auto"/>
        <w:ind w:firstLine="1940" w:firstLineChars="690"/>
        <w:rPr>
          <w:rFonts w:ascii="黑体" w:eastAsia="黑体"/>
          <w:b/>
          <w:sz w:val="28"/>
          <w:szCs w:val="28"/>
        </w:rPr>
      </w:pPr>
    </w:p>
    <w:p w14:paraId="672D9477">
      <w:pPr>
        <w:spacing w:line="360" w:lineRule="auto"/>
        <w:ind w:firstLine="1105" w:firstLineChars="393"/>
        <w:rPr>
          <w:rFonts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单位公章：                   单位公章：</w:t>
      </w:r>
    </w:p>
    <w:p w14:paraId="2608A0A3">
      <w:pPr>
        <w:spacing w:line="360" w:lineRule="auto"/>
        <w:ind w:firstLine="1105" w:firstLineChars="393"/>
        <w:rPr>
          <w:b/>
          <w:sz w:val="28"/>
          <w:szCs w:val="28"/>
        </w:rPr>
      </w:pPr>
    </w:p>
    <w:p w14:paraId="3B3CFABA">
      <w:pPr>
        <w:spacing w:line="360" w:lineRule="auto"/>
        <w:ind w:firstLine="984" w:firstLineChars="350"/>
        <w:rPr>
          <w:b/>
          <w:sz w:val="28"/>
          <w:szCs w:val="28"/>
          <w:u w:val="single"/>
        </w:rPr>
      </w:pPr>
    </w:p>
    <w:p w14:paraId="172F25A7">
      <w:pPr>
        <w:spacing w:line="360" w:lineRule="auto"/>
        <w:ind w:firstLine="281" w:firstLineChars="100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 xml:space="preserve">   202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  <w:u w:val="single"/>
        </w:rPr>
        <w:t xml:space="preserve">  4 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  <w:u w:val="single"/>
        </w:rPr>
        <w:t xml:space="preserve">  </w:t>
      </w:r>
      <w:r>
        <w:rPr>
          <w:rFonts w:hint="eastAsia"/>
          <w:b/>
          <w:sz w:val="28"/>
          <w:szCs w:val="28"/>
        </w:rPr>
        <w:t xml:space="preserve">日           </w:t>
      </w:r>
      <w:r>
        <w:rPr>
          <w:rFonts w:hint="eastAsia"/>
          <w:b/>
          <w:sz w:val="28"/>
          <w:szCs w:val="28"/>
          <w:u w:val="single"/>
        </w:rPr>
        <w:t xml:space="preserve">   202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  <w:u w:val="single"/>
        </w:rPr>
        <w:t xml:space="preserve"> 4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32"/>
          <w:szCs w:val="32"/>
        </w:rPr>
        <w:t>日</w:t>
      </w:r>
    </w:p>
    <w:p w14:paraId="45CA36E5">
      <w:pPr>
        <w:spacing w:line="360" w:lineRule="auto"/>
        <w:ind w:firstLine="320" w:firstLineChars="100"/>
        <w:rPr>
          <w:sz w:val="32"/>
          <w:szCs w:val="32"/>
        </w:rPr>
      </w:pPr>
    </w:p>
    <w:p w14:paraId="78C48075">
      <w:pPr>
        <w:spacing w:line="360" w:lineRule="auto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附表:保洁服务区范围及质量要求</w:t>
      </w:r>
    </w:p>
    <w:tbl>
      <w:tblPr>
        <w:tblStyle w:val="4"/>
        <w:tblW w:w="899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7"/>
        <w:gridCol w:w="1624"/>
        <w:gridCol w:w="1629"/>
        <w:gridCol w:w="1620"/>
        <w:gridCol w:w="2512"/>
      </w:tblGrid>
      <w:tr w14:paraId="552627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607" w:type="dxa"/>
          </w:tcPr>
          <w:p w14:paraId="20897714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保洁项目</w:t>
            </w:r>
          </w:p>
        </w:tc>
        <w:tc>
          <w:tcPr>
            <w:tcW w:w="1624" w:type="dxa"/>
          </w:tcPr>
          <w:p w14:paraId="4B426809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服务内容</w:t>
            </w:r>
          </w:p>
        </w:tc>
        <w:tc>
          <w:tcPr>
            <w:tcW w:w="1629" w:type="dxa"/>
          </w:tcPr>
          <w:p w14:paraId="4F81A1D2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每天卫生</w:t>
            </w:r>
          </w:p>
        </w:tc>
        <w:tc>
          <w:tcPr>
            <w:tcW w:w="1620" w:type="dxa"/>
          </w:tcPr>
          <w:p w14:paraId="1D735420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每周卫生</w:t>
            </w:r>
          </w:p>
        </w:tc>
        <w:tc>
          <w:tcPr>
            <w:tcW w:w="2512" w:type="dxa"/>
          </w:tcPr>
          <w:p w14:paraId="744CF5A1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服务质量要求</w:t>
            </w:r>
          </w:p>
        </w:tc>
      </w:tr>
      <w:tr w14:paraId="7A563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07" w:type="dxa"/>
            <w:vMerge w:val="restart"/>
            <w:vAlign w:val="center"/>
          </w:tcPr>
          <w:p w14:paraId="05C5AD54"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司法局机关</w:t>
            </w:r>
            <w:r>
              <w:rPr>
                <w:rFonts w:hint="eastAsia"/>
                <w:b/>
                <w:szCs w:val="21"/>
                <w:lang w:eastAsia="zh-CN"/>
              </w:rPr>
              <w:t>后栋</w:t>
            </w:r>
            <w:r>
              <w:rPr>
                <w:rFonts w:hint="eastAsia"/>
                <w:b/>
                <w:szCs w:val="21"/>
              </w:rPr>
              <w:t>办公楼公共区域</w:t>
            </w:r>
          </w:p>
        </w:tc>
        <w:tc>
          <w:tcPr>
            <w:tcW w:w="1624" w:type="dxa"/>
            <w:vAlign w:val="center"/>
          </w:tcPr>
          <w:p w14:paraId="77A63297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楼道、扶手、楼梯、</w:t>
            </w:r>
          </w:p>
        </w:tc>
        <w:tc>
          <w:tcPr>
            <w:tcW w:w="1629" w:type="dxa"/>
            <w:vAlign w:val="center"/>
          </w:tcPr>
          <w:p w14:paraId="52863B47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最少一次拖扫擦抹</w:t>
            </w:r>
          </w:p>
        </w:tc>
        <w:tc>
          <w:tcPr>
            <w:tcW w:w="1620" w:type="dxa"/>
            <w:vAlign w:val="center"/>
          </w:tcPr>
          <w:p w14:paraId="7EF76E18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1CB5994A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扶手无灰尘、垃圾堆积、汚迹、地面干净无杂物</w:t>
            </w:r>
          </w:p>
        </w:tc>
      </w:tr>
      <w:tr w14:paraId="1B6D23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07" w:type="dxa"/>
            <w:vMerge w:val="continue"/>
            <w:vAlign w:val="center"/>
          </w:tcPr>
          <w:p w14:paraId="0BB83555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3F307B7C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局党组会议室</w:t>
            </w:r>
          </w:p>
        </w:tc>
        <w:tc>
          <w:tcPr>
            <w:tcW w:w="1629" w:type="dxa"/>
            <w:vAlign w:val="center"/>
          </w:tcPr>
          <w:p w14:paraId="03D22035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清扫擦抹一次</w:t>
            </w:r>
          </w:p>
        </w:tc>
        <w:tc>
          <w:tcPr>
            <w:tcW w:w="1620" w:type="dxa"/>
            <w:vAlign w:val="center"/>
          </w:tcPr>
          <w:p w14:paraId="6B85209A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7A11E3AF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桌椅无灰尘、门框无灰尘公共楼层顶无蜘蛛丝</w:t>
            </w:r>
          </w:p>
        </w:tc>
      </w:tr>
      <w:tr w14:paraId="1E8BE2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6" w:hRule="atLeast"/>
        </w:trPr>
        <w:tc>
          <w:tcPr>
            <w:tcW w:w="1607" w:type="dxa"/>
            <w:vMerge w:val="continue"/>
            <w:vAlign w:val="center"/>
          </w:tcPr>
          <w:p w14:paraId="73B55BCD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7232384A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办公楼男女卫生间.办公门外面窗台、</w:t>
            </w:r>
          </w:p>
        </w:tc>
        <w:tc>
          <w:tcPr>
            <w:tcW w:w="1629" w:type="dxa"/>
            <w:vAlign w:val="center"/>
          </w:tcPr>
          <w:p w14:paraId="34CB6E86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每天一次</w:t>
            </w:r>
          </w:p>
        </w:tc>
        <w:tc>
          <w:tcPr>
            <w:tcW w:w="1620" w:type="dxa"/>
            <w:vAlign w:val="center"/>
          </w:tcPr>
          <w:p w14:paraId="11E3EA65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防臭药水洒一次</w:t>
            </w:r>
          </w:p>
        </w:tc>
        <w:tc>
          <w:tcPr>
            <w:tcW w:w="2512" w:type="dxa"/>
            <w:vMerge w:val="restart"/>
            <w:vAlign w:val="center"/>
          </w:tcPr>
          <w:p w14:paraId="2FF317AF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地面干净无灰尘.无纸屑堵塞、无臭气味、地面干净无烟蒂、无下水管堵塞漏溢、层顶无蜘蛛丝</w:t>
            </w:r>
          </w:p>
        </w:tc>
      </w:tr>
      <w:tr w14:paraId="1D0526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607" w:type="dxa"/>
            <w:vMerge w:val="continue"/>
            <w:vAlign w:val="center"/>
          </w:tcPr>
          <w:p w14:paraId="6ABD3E46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01366485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公共场坪</w:t>
            </w:r>
          </w:p>
        </w:tc>
        <w:tc>
          <w:tcPr>
            <w:tcW w:w="1629" w:type="dxa"/>
            <w:vAlign w:val="center"/>
          </w:tcPr>
          <w:p w14:paraId="68BAEB78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每天一次</w:t>
            </w:r>
          </w:p>
        </w:tc>
        <w:tc>
          <w:tcPr>
            <w:tcW w:w="1620" w:type="dxa"/>
            <w:vAlign w:val="center"/>
          </w:tcPr>
          <w:p w14:paraId="0B16B3F8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2512" w:type="dxa"/>
            <w:vMerge w:val="continue"/>
            <w:vAlign w:val="center"/>
          </w:tcPr>
          <w:p w14:paraId="047EE517">
            <w:pPr>
              <w:spacing w:line="320" w:lineRule="exact"/>
              <w:rPr>
                <w:b/>
                <w:szCs w:val="21"/>
              </w:rPr>
            </w:pPr>
          </w:p>
        </w:tc>
      </w:tr>
      <w:tr w14:paraId="4D8540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1607" w:type="dxa"/>
            <w:vMerge w:val="continue"/>
            <w:vAlign w:val="center"/>
          </w:tcPr>
          <w:p w14:paraId="714F765F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01B6851F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办公楼五楼大会议室</w:t>
            </w:r>
          </w:p>
        </w:tc>
        <w:tc>
          <w:tcPr>
            <w:tcW w:w="1629" w:type="dxa"/>
            <w:vAlign w:val="center"/>
          </w:tcPr>
          <w:p w14:paraId="561EE0A5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凭办公室电话通知打扫</w:t>
            </w:r>
          </w:p>
        </w:tc>
        <w:tc>
          <w:tcPr>
            <w:tcW w:w="1620" w:type="dxa"/>
            <w:vAlign w:val="center"/>
          </w:tcPr>
          <w:p w14:paraId="178A4C30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2512" w:type="dxa"/>
            <w:vMerge w:val="restart"/>
            <w:vAlign w:val="center"/>
          </w:tcPr>
          <w:p w14:paraId="7F0CF99A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地面目视干净、桌椅无灰尘、窗台干净、公示牌干净</w:t>
            </w:r>
          </w:p>
        </w:tc>
      </w:tr>
      <w:tr w14:paraId="10E0A2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607" w:type="dxa"/>
            <w:vMerge w:val="continue"/>
            <w:vAlign w:val="center"/>
          </w:tcPr>
          <w:p w14:paraId="21B72EEC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24222A76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铲广告牛皮癣</w:t>
            </w:r>
          </w:p>
        </w:tc>
        <w:tc>
          <w:tcPr>
            <w:tcW w:w="1629" w:type="dxa"/>
            <w:vAlign w:val="center"/>
          </w:tcPr>
          <w:p w14:paraId="3A0C1F18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E00C60C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2512" w:type="dxa"/>
            <w:vMerge w:val="continue"/>
            <w:vAlign w:val="center"/>
          </w:tcPr>
          <w:p w14:paraId="1D618AAC">
            <w:pPr>
              <w:spacing w:line="320" w:lineRule="exact"/>
              <w:rPr>
                <w:b/>
                <w:szCs w:val="21"/>
              </w:rPr>
            </w:pPr>
          </w:p>
        </w:tc>
      </w:tr>
      <w:tr w14:paraId="107EF5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607" w:type="dxa"/>
            <w:vMerge w:val="restart"/>
            <w:vAlign w:val="center"/>
          </w:tcPr>
          <w:p w14:paraId="53B260E9"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司法局</w:t>
            </w:r>
            <w:r>
              <w:rPr>
                <w:rFonts w:hint="eastAsia"/>
                <w:b/>
                <w:szCs w:val="21"/>
                <w:lang w:eastAsia="zh-CN"/>
              </w:rPr>
              <w:t>机关前栋</w:t>
            </w:r>
            <w:r>
              <w:rPr>
                <w:rFonts w:hint="eastAsia"/>
                <w:b/>
                <w:szCs w:val="21"/>
              </w:rPr>
              <w:t>公共区域</w:t>
            </w:r>
          </w:p>
        </w:tc>
        <w:tc>
          <w:tcPr>
            <w:tcW w:w="1624" w:type="dxa"/>
            <w:vAlign w:val="center"/>
          </w:tcPr>
          <w:p w14:paraId="4DF6A59F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1--5层楼梯间、过道、卫生间</w:t>
            </w:r>
          </w:p>
        </w:tc>
        <w:tc>
          <w:tcPr>
            <w:tcW w:w="1629" w:type="dxa"/>
            <w:vAlign w:val="center"/>
          </w:tcPr>
          <w:p w14:paraId="5D0CD58A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7C3F2BB9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防臭药水洒一次</w:t>
            </w:r>
          </w:p>
        </w:tc>
        <w:tc>
          <w:tcPr>
            <w:tcW w:w="2512" w:type="dxa"/>
            <w:vAlign w:val="center"/>
          </w:tcPr>
          <w:p w14:paraId="173D5A1D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地面干净无白色垃圾</w:t>
            </w:r>
          </w:p>
        </w:tc>
      </w:tr>
      <w:tr w14:paraId="2A0F4F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607" w:type="dxa"/>
            <w:vMerge w:val="continue"/>
            <w:vAlign w:val="center"/>
          </w:tcPr>
          <w:p w14:paraId="5BFDCCFD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2AFF2A8E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天花蜘蛛清除</w:t>
            </w:r>
          </w:p>
        </w:tc>
        <w:tc>
          <w:tcPr>
            <w:tcW w:w="1629" w:type="dxa"/>
            <w:vAlign w:val="center"/>
          </w:tcPr>
          <w:p w14:paraId="4B94603D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4500D2B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2512" w:type="dxa"/>
            <w:vAlign w:val="center"/>
          </w:tcPr>
          <w:p w14:paraId="209DA542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无蜘蛛</w:t>
            </w:r>
          </w:p>
        </w:tc>
      </w:tr>
      <w:tr w14:paraId="0B4291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607" w:type="dxa"/>
            <w:vMerge w:val="continue"/>
            <w:vAlign w:val="center"/>
          </w:tcPr>
          <w:p w14:paraId="5632B795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46E65757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铲广告牛皮癣</w:t>
            </w:r>
          </w:p>
        </w:tc>
        <w:tc>
          <w:tcPr>
            <w:tcW w:w="1629" w:type="dxa"/>
            <w:vAlign w:val="center"/>
          </w:tcPr>
          <w:p w14:paraId="7A2ED84B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5BDE4462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2512" w:type="dxa"/>
            <w:vAlign w:val="center"/>
          </w:tcPr>
          <w:p w14:paraId="1FBB259A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无牛皮癣</w:t>
            </w:r>
          </w:p>
        </w:tc>
      </w:tr>
      <w:tr w14:paraId="27913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607" w:type="dxa"/>
            <w:vMerge w:val="continue"/>
            <w:vAlign w:val="center"/>
          </w:tcPr>
          <w:p w14:paraId="2B2CDE45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14:paraId="1DB3B491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楼道转角卫生</w:t>
            </w:r>
          </w:p>
        </w:tc>
        <w:tc>
          <w:tcPr>
            <w:tcW w:w="1629" w:type="dxa"/>
            <w:vAlign w:val="center"/>
          </w:tcPr>
          <w:p w14:paraId="61F87B03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740DD9B9">
            <w:pPr>
              <w:spacing w:line="320" w:lineRule="exact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143052D8">
            <w:pPr>
              <w:spacing w:line="320" w:lineRule="exac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地面目视干净、无烟头、无杂草、无障碍物阻占</w:t>
            </w:r>
          </w:p>
        </w:tc>
      </w:tr>
      <w:tr w14:paraId="14AD4F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607" w:type="dxa"/>
            <w:vMerge w:val="restart"/>
            <w:vAlign w:val="center"/>
          </w:tcPr>
          <w:p w14:paraId="00D06EE2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院內公共马路、水沟</w:t>
            </w:r>
            <w:r>
              <w:rPr>
                <w:rFonts w:hint="eastAsia"/>
                <w:b/>
                <w:lang w:eastAsia="zh-CN"/>
              </w:rPr>
              <w:t>，公证处、矛调中心</w:t>
            </w:r>
            <w:r>
              <w:rPr>
                <w:rFonts w:hint="eastAsia"/>
                <w:b/>
              </w:rPr>
              <w:t>房前屋后阶基</w:t>
            </w:r>
          </w:p>
        </w:tc>
        <w:tc>
          <w:tcPr>
            <w:tcW w:w="1624" w:type="dxa"/>
            <w:vAlign w:val="center"/>
          </w:tcPr>
          <w:p w14:paraId="4C041287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马路</w:t>
            </w:r>
          </w:p>
        </w:tc>
        <w:tc>
          <w:tcPr>
            <w:tcW w:w="1629" w:type="dxa"/>
            <w:vAlign w:val="center"/>
          </w:tcPr>
          <w:p w14:paraId="7D2CB98C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4E1582BA"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4B5831BE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地面干净无白色垃圾</w:t>
            </w:r>
          </w:p>
        </w:tc>
      </w:tr>
      <w:tr w14:paraId="4592BB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607" w:type="dxa"/>
            <w:vMerge w:val="continue"/>
            <w:vAlign w:val="center"/>
          </w:tcPr>
          <w:p w14:paraId="68D72268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624" w:type="dxa"/>
            <w:vAlign w:val="center"/>
          </w:tcPr>
          <w:p w14:paraId="56E4EAFB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水沟</w:t>
            </w:r>
          </w:p>
        </w:tc>
        <w:tc>
          <w:tcPr>
            <w:tcW w:w="1629" w:type="dxa"/>
            <w:vAlign w:val="center"/>
          </w:tcPr>
          <w:p w14:paraId="03726B86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063E5B04"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6998B8FB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地面干净无白色垃圾</w:t>
            </w:r>
          </w:p>
        </w:tc>
      </w:tr>
      <w:tr w14:paraId="1C0F75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607" w:type="dxa"/>
            <w:vMerge w:val="continue"/>
            <w:vAlign w:val="center"/>
          </w:tcPr>
          <w:p w14:paraId="462B5583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624" w:type="dxa"/>
            <w:vAlign w:val="center"/>
          </w:tcPr>
          <w:p w14:paraId="2B1130C5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房前屋后阶基</w:t>
            </w:r>
          </w:p>
        </w:tc>
        <w:tc>
          <w:tcPr>
            <w:tcW w:w="1629" w:type="dxa"/>
            <w:vAlign w:val="center"/>
          </w:tcPr>
          <w:p w14:paraId="4B4BC2C6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一次</w:t>
            </w:r>
          </w:p>
        </w:tc>
        <w:tc>
          <w:tcPr>
            <w:tcW w:w="1620" w:type="dxa"/>
            <w:vAlign w:val="center"/>
          </w:tcPr>
          <w:p w14:paraId="58950FD4"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6335C588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地面干净无白色垃圾</w:t>
            </w:r>
          </w:p>
        </w:tc>
      </w:tr>
      <w:tr w14:paraId="057416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1607" w:type="dxa"/>
            <w:vMerge w:val="continue"/>
            <w:vAlign w:val="center"/>
          </w:tcPr>
          <w:p w14:paraId="3027C3D5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624" w:type="dxa"/>
            <w:vAlign w:val="center"/>
          </w:tcPr>
          <w:p w14:paraId="25D04586"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通知拖垃圾</w:t>
            </w:r>
          </w:p>
        </w:tc>
        <w:tc>
          <w:tcPr>
            <w:tcW w:w="1629" w:type="dxa"/>
            <w:vAlign w:val="center"/>
          </w:tcPr>
          <w:p w14:paraId="4F39C6F1"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B0994BF"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512" w:type="dxa"/>
            <w:vAlign w:val="center"/>
          </w:tcPr>
          <w:p w14:paraId="079D48D7">
            <w:pPr>
              <w:spacing w:line="360" w:lineRule="auto"/>
              <w:rPr>
                <w:b/>
                <w:szCs w:val="21"/>
              </w:rPr>
            </w:pPr>
          </w:p>
        </w:tc>
      </w:tr>
      <w:tr w14:paraId="3DDE8D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607" w:type="dxa"/>
            <w:vMerge w:val="restart"/>
            <w:vAlign w:val="center"/>
          </w:tcPr>
          <w:p w14:paraId="25F5CFF1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备注：</w:t>
            </w:r>
          </w:p>
        </w:tc>
        <w:tc>
          <w:tcPr>
            <w:tcW w:w="7385" w:type="dxa"/>
            <w:gridSpan w:val="4"/>
          </w:tcPr>
          <w:p w14:paraId="3522BC6E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1家属区未计入服务范围</w:t>
            </w:r>
          </w:p>
        </w:tc>
      </w:tr>
      <w:tr w14:paraId="384B42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1607" w:type="dxa"/>
            <w:vMerge w:val="continue"/>
          </w:tcPr>
          <w:p w14:paraId="605D40FF">
            <w:pPr>
              <w:spacing w:line="360" w:lineRule="auto"/>
              <w:rPr>
                <w:b/>
              </w:rPr>
            </w:pPr>
          </w:p>
        </w:tc>
        <w:tc>
          <w:tcPr>
            <w:tcW w:w="7385" w:type="dxa"/>
            <w:gridSpan w:val="4"/>
          </w:tcPr>
          <w:p w14:paraId="59D4A551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2绿化、保安未计入服务范围</w:t>
            </w:r>
          </w:p>
        </w:tc>
      </w:tr>
    </w:tbl>
    <w:p w14:paraId="3EF3A21A">
      <w:pPr>
        <w:spacing w:line="360" w:lineRule="auto"/>
        <w:rPr>
          <w:b/>
          <w:sz w:val="32"/>
          <w:szCs w:val="32"/>
        </w:rPr>
      </w:pPr>
    </w:p>
    <w:p w14:paraId="7EB8CB0D">
      <w:pPr>
        <w:spacing w:line="360" w:lineRule="auto"/>
        <w:ind w:firstLine="1446" w:firstLineChars="100"/>
        <w:rPr>
          <w:b/>
          <w:sz w:val="144"/>
          <w:szCs w:val="144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 w14:paraId="731D0A02">
      <w:pPr>
        <w:spacing w:line="360" w:lineRule="auto"/>
        <w:ind w:firstLine="1446" w:firstLineChars="100"/>
        <w:rPr>
          <w:b/>
          <w:sz w:val="144"/>
          <w:szCs w:val="144"/>
        </w:rPr>
      </w:pPr>
      <w:r>
        <w:rPr>
          <w:rFonts w:hint="eastAsia"/>
          <w:b/>
          <w:sz w:val="144"/>
          <w:szCs w:val="144"/>
        </w:rPr>
        <w:t>市司法局</w:t>
      </w:r>
    </w:p>
    <w:p w14:paraId="54B84435">
      <w:pPr>
        <w:spacing w:line="360" w:lineRule="auto"/>
        <w:ind w:firstLine="3807" w:firstLineChars="395"/>
        <w:rPr>
          <w:b/>
          <w:sz w:val="96"/>
          <w:szCs w:val="96"/>
        </w:rPr>
      </w:pPr>
    </w:p>
    <w:p w14:paraId="4EF6B160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物</w:t>
      </w:r>
    </w:p>
    <w:p w14:paraId="08705FE3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业</w:t>
      </w:r>
    </w:p>
    <w:p w14:paraId="2DE8524D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保</w:t>
      </w:r>
    </w:p>
    <w:p w14:paraId="26BD6230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洁</w:t>
      </w:r>
    </w:p>
    <w:p w14:paraId="088CA1EE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协</w:t>
      </w:r>
    </w:p>
    <w:p w14:paraId="056F80E4">
      <w:pPr>
        <w:spacing w:line="360" w:lineRule="auto"/>
        <w:ind w:firstLine="3807" w:firstLineChars="395"/>
        <w:rPr>
          <w:b/>
          <w:sz w:val="96"/>
          <w:szCs w:val="96"/>
        </w:rPr>
      </w:pPr>
      <w:r>
        <w:rPr>
          <w:rFonts w:hint="eastAsia"/>
          <w:b/>
          <w:sz w:val="96"/>
          <w:szCs w:val="96"/>
        </w:rPr>
        <w:t>议</w:t>
      </w:r>
    </w:p>
    <w:p w14:paraId="1A75736A">
      <w:pPr>
        <w:spacing w:line="360" w:lineRule="auto"/>
        <w:rPr>
          <w:b/>
          <w:sz w:val="72"/>
          <w:szCs w:val="72"/>
        </w:rPr>
      </w:pPr>
    </w:p>
    <w:p w14:paraId="3BAFB383">
      <w:pPr>
        <w:spacing w:line="360" w:lineRule="auto"/>
        <w:ind w:firstLine="2871" w:firstLineChars="550"/>
        <w:rPr>
          <w:b/>
          <w:sz w:val="52"/>
          <w:szCs w:val="52"/>
        </w:rPr>
      </w:pPr>
      <w:r>
        <w:rPr>
          <w:rFonts w:hint="eastAsia"/>
          <w:b/>
          <w:sz w:val="52"/>
          <w:szCs w:val="52"/>
        </w:rPr>
        <w:t>202</w:t>
      </w:r>
      <w:r>
        <w:rPr>
          <w:rFonts w:hint="eastAsia"/>
          <w:b/>
          <w:sz w:val="52"/>
          <w:szCs w:val="52"/>
          <w:lang w:val="en-US" w:eastAsia="zh-CN"/>
        </w:rPr>
        <w:t>5</w:t>
      </w:r>
      <w:r>
        <w:rPr>
          <w:rFonts w:hint="eastAsia"/>
          <w:b/>
          <w:sz w:val="52"/>
          <w:szCs w:val="52"/>
        </w:rPr>
        <w:t>年4月</w:t>
      </w:r>
    </w:p>
    <w:sectPr>
      <w:footerReference r:id="rId6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D77A1E">
    <w:pPr>
      <w:pStyle w:val="8"/>
      <w:framePr w:wrap="around" w:vAnchor="text" w:hAnchor="margin" w:xAlign="right" w:y="1"/>
      <w:tabs>
        <w:tab w:val="clear" w:pos="4153"/>
        <w:tab w:val="clear" w:pos="8306"/>
      </w:tabs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1</w:t>
    </w:r>
    <w:r>
      <w:rPr>
        <w:rStyle w:val="11"/>
      </w:rPr>
      <w:fldChar w:fldCharType="end"/>
    </w:r>
  </w:p>
  <w:p w14:paraId="77EEAD11">
    <w:pPr>
      <w:pStyle w:val="8"/>
      <w:tabs>
        <w:tab w:val="clear" w:pos="4153"/>
        <w:tab w:val="clear" w:pos="8306"/>
      </w:tabs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BCF48D">
    <w:pPr>
      <w:pStyle w:val="8"/>
      <w:framePr w:wrap="around" w:vAnchor="text" w:hAnchor="margin" w:xAlign="right" w:y="1"/>
      <w:tabs>
        <w:tab w:val="clear" w:pos="4153"/>
        <w:tab w:val="clear" w:pos="8306"/>
      </w:tabs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end"/>
    </w:r>
  </w:p>
  <w:p w14:paraId="00B13A89">
    <w:pPr>
      <w:pStyle w:val="8"/>
      <w:tabs>
        <w:tab w:val="clear" w:pos="4153"/>
        <w:tab w:val="clear" w:pos="8306"/>
      </w:tabs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248812">
    <w:pPr>
      <w:pStyle w:val="8"/>
      <w:tabs>
        <w:tab w:val="clear" w:pos="4153"/>
        <w:tab w:val="clear" w:pos="8306"/>
      </w:tabs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ABBC13">
    <w:pPr>
      <w:pStyle w:val="9"/>
      <w:pBdr>
        <w:bottom w:val="none" w:color="000000" w:sz="0" w:space="0"/>
      </w:pBdr>
      <w:tabs>
        <w:tab w:val="clear" w:pos="4153"/>
        <w:tab w:val="clear" w:pos="830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isplayHorizontalDrawingGridEvery w:val="0"/>
  <w:displayVerticalDrawingGridEvery w:val="2"/>
  <w:characterSpacingControl w:val="doNotCompress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2NTA5ZDBhZTJjN2E0MmYzNTcyNDY3ZGIzOWJjYTgifQ=="/>
  </w:docVars>
  <w:rsids>
    <w:rsidRoot w:val="000F72CF"/>
    <w:rsid w:val="000F72CF"/>
    <w:rsid w:val="00A0260F"/>
    <w:rsid w:val="00D25784"/>
    <w:rsid w:val="04F217BD"/>
    <w:rsid w:val="218900C9"/>
    <w:rsid w:val="23503C81"/>
    <w:rsid w:val="40AB493B"/>
    <w:rsid w:val="42BD701F"/>
    <w:rsid w:val="5E751504"/>
    <w:rsid w:val="6AF705F9"/>
    <w:rsid w:val="7255477E"/>
    <w:rsid w:val="7C226626"/>
    <w:rsid w:val="7E4A1C1F"/>
    <w:rsid w:val="7FFE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默认段落字体1"/>
    <w:semiHidden/>
    <w:qFormat/>
    <w:uiPriority w:val="0"/>
  </w:style>
  <w:style w:type="table" w:customStyle="1" w:styleId="7">
    <w:name w:val="普通表格1"/>
    <w:semiHidden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页脚1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9">
    <w:name w:val="页眉1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10">
    <w:name w:val="网格型1"/>
    <w:basedOn w:val="7"/>
    <w:qFormat/>
    <w:uiPriority w:val="0"/>
    <w:pPr>
      <w:widowControl w:val="0"/>
      <w:jc w:val="both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1">
    <w:name w:val="页码1"/>
    <w:basedOn w:val="6"/>
    <w:qFormat/>
    <w:uiPriority w:val="0"/>
  </w:style>
  <w:style w:type="character" w:customStyle="1" w:styleId="12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1783</Words>
  <Characters>1809</Characters>
  <Lines>14</Lines>
  <Paragraphs>4</Paragraphs>
  <TotalTime>15</TotalTime>
  <ScaleCrop>false</ScaleCrop>
  <LinksUpToDate>false</LinksUpToDate>
  <CharactersWithSpaces>1889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2023-03-28T05:43:00Z</dcterms:created>
  <dc:creator>Administrator</dc:creator>
  <cp:lastModifiedBy>凌波微步</cp:lastModifiedBy>
  <cp:lastPrinted>2025-03-31T03:16:39Z</cp:lastPrinted>
  <dcterms:modified xsi:type="dcterms:W3CDTF">2025-03-31T03:28:48Z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DA23FCBBE2C3456CAE933703AF9C2A8E_13</vt:lpwstr>
  </property>
  <property fmtid="{D5CDD505-2E9C-101B-9397-08002B2CF9AE}" pid="4" name="KSOTemplateDocerSaveRecord">
    <vt:lpwstr>eyJoZGlkIjoiNWU1MTNjZTkwOGVhNmRmOWFiNTU1YWQ4YjYwYjNjZjEiLCJ1c2VySWQiOiI1NTcwNDI3NDgifQ==</vt:lpwstr>
  </property>
</Properties>
</file>