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54B3058">
      <w:pPr>
        <w:pageBreakBefore w:val="0"/>
        <w:widowControl w:val="0"/>
        <w:kinsoku/>
        <w:wordWrap/>
        <w:overflowPunct/>
        <w:topLinePunct w:val="0"/>
        <w:autoSpaceDE/>
        <w:autoSpaceDN/>
        <w:bidi w:val="0"/>
        <w:spacing w:line="560" w:lineRule="exact"/>
        <w:jc w:val="center"/>
        <w:textAlignment w:val="auto"/>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eastAsia="zh-CN"/>
        </w:rPr>
        <w:t>南县殡仪馆改扩建项目一期工程全过程</w:t>
      </w:r>
    </w:p>
    <w:p w14:paraId="157234F5">
      <w:pPr>
        <w:pageBreakBefore w:val="0"/>
        <w:widowControl w:val="0"/>
        <w:kinsoku/>
        <w:wordWrap/>
        <w:overflowPunct/>
        <w:topLinePunct w:val="0"/>
        <w:autoSpaceDE/>
        <w:autoSpaceDN/>
        <w:bidi w:val="0"/>
        <w:spacing w:line="560" w:lineRule="exact"/>
        <w:jc w:val="center"/>
        <w:textAlignment w:val="auto"/>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lang w:eastAsia="zh-CN"/>
        </w:rPr>
        <w:t>跟踪结算评审</w:t>
      </w:r>
      <w:r>
        <w:rPr>
          <w:rFonts w:hint="eastAsia" w:ascii="方正小标宋简体" w:hAnsi="方正小标宋简体" w:eastAsia="方正小标宋简体" w:cs="方正小标宋简体"/>
          <w:sz w:val="44"/>
          <w:szCs w:val="44"/>
        </w:rPr>
        <w:t>服务</w:t>
      </w:r>
    </w:p>
    <w:p w14:paraId="1C46A100">
      <w:pPr>
        <w:pageBreakBefore w:val="0"/>
        <w:widowControl w:val="0"/>
        <w:kinsoku/>
        <w:wordWrap/>
        <w:overflowPunct/>
        <w:topLinePunct w:val="0"/>
        <w:autoSpaceDE/>
        <w:autoSpaceDN/>
        <w:bidi w:val="0"/>
        <w:spacing w:after="156" w:line="560" w:lineRule="exact"/>
        <w:textAlignment w:val="auto"/>
        <w:rPr>
          <w:rFonts w:ascii="仿宋_GB2312" w:hAnsi="仿宋_GB2312" w:eastAsia="仿宋_GB2312" w:cs="仿宋_GB2312"/>
          <w:kern w:val="0"/>
          <w:sz w:val="32"/>
          <w:szCs w:val="32"/>
        </w:rPr>
      </w:pPr>
    </w:p>
    <w:p w14:paraId="2EEE441F">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lang w:eastAsia="zh-CN"/>
        </w:rPr>
        <w:t>南县殡仪馆改扩建项目一期工程全过程跟踪结算评审</w:t>
      </w:r>
      <w:r>
        <w:rPr>
          <w:rFonts w:hint="eastAsia" w:ascii="仿宋_GB2312" w:hAnsi="仿宋_GB2312" w:eastAsia="仿宋_GB2312" w:cs="仿宋_GB2312"/>
          <w:sz w:val="32"/>
          <w:szCs w:val="32"/>
        </w:rPr>
        <w:t>委托社会</w:t>
      </w:r>
      <w:r>
        <w:rPr>
          <w:rFonts w:hint="eastAsia" w:ascii="仿宋_GB2312" w:hAnsi="仿宋_GB2312" w:eastAsia="仿宋_GB2312" w:cs="仿宋_GB2312"/>
          <w:sz w:val="32"/>
          <w:szCs w:val="32"/>
          <w:lang w:eastAsia="zh-CN"/>
        </w:rPr>
        <w:t>审核</w:t>
      </w:r>
      <w:r>
        <w:rPr>
          <w:rFonts w:hint="eastAsia" w:ascii="仿宋_GB2312" w:hAnsi="仿宋_GB2312" w:eastAsia="仿宋_GB2312" w:cs="仿宋_GB2312"/>
          <w:sz w:val="32"/>
          <w:szCs w:val="32"/>
        </w:rPr>
        <w:t>机构进行</w:t>
      </w:r>
      <w:r>
        <w:rPr>
          <w:rFonts w:hint="eastAsia" w:ascii="仿宋_GB2312" w:hAnsi="仿宋_GB2312" w:eastAsia="仿宋_GB2312" w:cs="仿宋_GB2312"/>
          <w:sz w:val="32"/>
          <w:szCs w:val="32"/>
          <w:lang w:eastAsia="zh-CN"/>
        </w:rPr>
        <w:t>审核</w:t>
      </w:r>
      <w:r>
        <w:rPr>
          <w:rFonts w:hint="eastAsia" w:ascii="仿宋_GB2312" w:hAnsi="仿宋_GB2312" w:eastAsia="仿宋_GB2312" w:cs="仿宋_GB2312"/>
          <w:sz w:val="32"/>
          <w:szCs w:val="32"/>
        </w:rPr>
        <w:t>，现邀请符合要求的供应商参加本项目在湖南省电子卖场进行竞价。</w:t>
      </w:r>
    </w:p>
    <w:p w14:paraId="3A86DEC1">
      <w:pPr>
        <w:pageBreakBefore w:val="0"/>
        <w:widowControl w:val="0"/>
        <w:numPr>
          <w:ilvl w:val="0"/>
          <w:numId w:val="0"/>
        </w:numPr>
        <w:tabs>
          <w:tab w:val="left" w:pos="8217"/>
        </w:tabs>
        <w:kinsoku/>
        <w:wordWrap/>
        <w:overflowPunct/>
        <w:topLinePunct w:val="0"/>
        <w:autoSpaceDE/>
        <w:autoSpaceDN/>
        <w:bidi w:val="0"/>
        <w:spacing w:line="560" w:lineRule="exact"/>
        <w:ind w:firstLine="624" w:firstLineChars="200"/>
        <w:textAlignment w:val="auto"/>
        <w:rPr>
          <w:rFonts w:hint="eastAsia" w:ascii="仿宋_GB2312" w:hAnsi="仿宋_GB2312" w:eastAsia="仿宋_GB2312" w:cs="仿宋_GB2312"/>
          <w:kern w:val="0"/>
          <w:sz w:val="32"/>
          <w:szCs w:val="32"/>
          <w:lang w:eastAsia="zh-CN"/>
        </w:rPr>
      </w:pPr>
      <w:r>
        <w:rPr>
          <w:rFonts w:hint="eastAsia" w:ascii="黑体" w:hAnsi="黑体" w:eastAsia="黑体" w:cs="黑体"/>
          <w:sz w:val="32"/>
          <w:szCs w:val="32"/>
          <w:lang w:val="en-US" w:eastAsia="zh-CN"/>
        </w:rPr>
        <w:t>一、</w:t>
      </w:r>
      <w:r>
        <w:rPr>
          <w:rFonts w:hint="eastAsia" w:ascii="黑体" w:hAnsi="黑体" w:eastAsia="黑体" w:cs="黑体"/>
          <w:sz w:val="32"/>
          <w:szCs w:val="32"/>
        </w:rPr>
        <w:t>项目名称：</w:t>
      </w:r>
      <w:r>
        <w:rPr>
          <w:rFonts w:hint="eastAsia" w:ascii="仿宋_GB2312" w:hAnsi="仿宋_GB2312" w:eastAsia="仿宋_GB2312" w:cs="仿宋_GB2312"/>
          <w:kern w:val="0"/>
          <w:sz w:val="32"/>
          <w:szCs w:val="32"/>
          <w:lang w:eastAsia="zh-CN"/>
        </w:rPr>
        <w:t>南县殡仪馆改扩建项目一期工程全过程跟踪结算评审服务</w:t>
      </w:r>
    </w:p>
    <w:p w14:paraId="6B823412">
      <w:pPr>
        <w:pageBreakBefore w:val="0"/>
        <w:widowControl w:val="0"/>
        <w:numPr>
          <w:ilvl w:val="0"/>
          <w:numId w:val="0"/>
        </w:numPr>
        <w:tabs>
          <w:tab w:val="left" w:pos="8217"/>
        </w:tabs>
        <w:kinsoku/>
        <w:wordWrap/>
        <w:overflowPunct/>
        <w:topLinePunct w:val="0"/>
        <w:autoSpaceDE/>
        <w:autoSpaceDN/>
        <w:bidi w:val="0"/>
        <w:spacing w:line="560" w:lineRule="exact"/>
        <w:ind w:firstLine="624"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二、采购方式、数量及</w:t>
      </w:r>
      <w:r>
        <w:rPr>
          <w:rFonts w:hint="eastAsia" w:ascii="黑体" w:hAnsi="黑体" w:eastAsia="黑体" w:cs="黑体"/>
          <w:sz w:val="32"/>
          <w:szCs w:val="32"/>
          <w:lang w:val="en-US" w:eastAsia="zh-CN"/>
        </w:rPr>
        <w:t>要求</w:t>
      </w:r>
      <w:r>
        <w:rPr>
          <w:rFonts w:hint="eastAsia" w:ascii="黑体" w:hAnsi="黑体" w:eastAsia="黑体" w:cs="黑体"/>
          <w:sz w:val="32"/>
          <w:szCs w:val="32"/>
        </w:rPr>
        <w:t>：</w:t>
      </w:r>
    </w:p>
    <w:p w14:paraId="6B75B67B">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（一）采购方式：电子卖场竞价方式</w:t>
      </w:r>
    </w:p>
    <w:p w14:paraId="6524F0EF">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（二）采购数量：1家造价咨询公司</w:t>
      </w:r>
    </w:p>
    <w:p w14:paraId="77932ADC">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三</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项目概述</w:t>
      </w:r>
      <w:r>
        <w:rPr>
          <w:rFonts w:hint="eastAsia" w:ascii="仿宋_GB2312" w:hAnsi="仿宋_GB2312" w:eastAsia="仿宋_GB2312" w:cs="仿宋_GB2312"/>
          <w:sz w:val="32"/>
          <w:szCs w:val="32"/>
          <w:lang w:eastAsia="zh-CN"/>
        </w:rPr>
        <w:t>：</w:t>
      </w:r>
    </w:p>
    <w:p w14:paraId="22DC0422">
      <w:pPr>
        <w:keepNext w:val="0"/>
        <w:keepLines w:val="0"/>
        <w:pageBreakBefore w:val="0"/>
        <w:widowControl w:val="0"/>
        <w:kinsoku/>
        <w:wordWrap/>
        <w:overflowPunct/>
        <w:topLinePunct w:val="0"/>
        <w:autoSpaceDE/>
        <w:autoSpaceDN/>
        <w:bidi w:val="0"/>
        <w:adjustRightInd/>
        <w:snapToGrid/>
        <w:spacing w:line="560" w:lineRule="exact"/>
        <w:ind w:firstLine="624"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项目名称：</w:t>
      </w:r>
      <w:r>
        <w:rPr>
          <w:rFonts w:hint="eastAsia" w:ascii="仿宋_GB2312" w:hAnsi="仿宋_GB2312" w:eastAsia="仿宋_GB2312" w:cs="仿宋_GB2312"/>
          <w:sz w:val="32"/>
          <w:szCs w:val="32"/>
          <w:lang w:val="en-US" w:eastAsia="zh-CN"/>
        </w:rPr>
        <w:t>南县殡仪馆改扩建项目一期工程全过程跟踪结算评审</w:t>
      </w:r>
    </w:p>
    <w:p w14:paraId="5BBAEF80">
      <w:pPr>
        <w:keepNext w:val="0"/>
        <w:keepLines w:val="0"/>
        <w:pageBreakBefore w:val="0"/>
        <w:widowControl w:val="0"/>
        <w:kinsoku/>
        <w:wordWrap/>
        <w:overflowPunct/>
        <w:topLinePunct w:val="0"/>
        <w:autoSpaceDE/>
        <w:autoSpaceDN/>
        <w:bidi w:val="0"/>
        <w:adjustRightInd/>
        <w:snapToGrid/>
        <w:spacing w:line="560" w:lineRule="exact"/>
        <w:ind w:firstLine="624" w:firstLineChars="200"/>
        <w:textAlignment w:val="auto"/>
        <w:rPr>
          <w:rFonts w:hint="default" w:ascii="仿宋" w:hAnsi="仿宋" w:eastAsia="仿宋" w:cs="仿宋"/>
          <w:color w:val="auto"/>
          <w:kern w:val="1"/>
          <w:sz w:val="32"/>
          <w:szCs w:val="32"/>
          <w:lang w:val="en-US" w:eastAsia="zh-CN"/>
        </w:rPr>
      </w:pPr>
      <w:r>
        <w:rPr>
          <w:rFonts w:hint="eastAsia" w:ascii="仿宋_GB2312" w:hAnsi="仿宋_GB2312" w:eastAsia="仿宋_GB2312" w:cs="仿宋_GB2312"/>
          <w:sz w:val="32"/>
          <w:szCs w:val="32"/>
          <w:lang w:val="en-US" w:eastAsia="zh-CN"/>
        </w:rPr>
        <w:t>2、</w:t>
      </w:r>
      <w:r>
        <w:rPr>
          <w:rFonts w:hint="eastAsia" w:ascii="仿宋" w:hAnsi="仿宋" w:eastAsia="仿宋" w:cs="仿宋"/>
          <w:kern w:val="1"/>
          <w:sz w:val="32"/>
          <w:szCs w:val="32"/>
          <w:lang w:val="en-US" w:eastAsia="zh-CN"/>
        </w:rPr>
        <w:t>工程主要建设内容</w:t>
      </w:r>
      <w:r>
        <w:rPr>
          <w:rFonts w:hint="eastAsia" w:ascii="仿宋_GB2312" w:hAnsi="仿宋_GB2312" w:eastAsia="仿宋_GB2312" w:cs="仿宋_GB2312"/>
          <w:color w:val="auto"/>
          <w:kern w:val="1"/>
          <w:sz w:val="32"/>
          <w:szCs w:val="32"/>
          <w:lang w:val="en-US" w:eastAsia="zh-CN"/>
        </w:rPr>
        <w:t>：南县殡仪馆改扩建项目主要包括新建殡仪服务楼、原火化车间改造、公墓建设、维护维修工程、配电工程、暖通工程及火化设备采购等</w:t>
      </w:r>
      <w:r>
        <w:rPr>
          <w:rFonts w:hint="eastAsia" w:ascii="仿宋" w:hAnsi="仿宋" w:eastAsia="仿宋" w:cs="仿宋"/>
          <w:kern w:val="1"/>
          <w:sz w:val="32"/>
          <w:szCs w:val="32"/>
          <w:lang w:val="en-US" w:eastAsia="zh-CN"/>
        </w:rPr>
        <w:t>。工程造价约3000万元。</w:t>
      </w:r>
    </w:p>
    <w:p w14:paraId="3B13E057">
      <w:pPr>
        <w:keepNext w:val="0"/>
        <w:keepLines w:val="0"/>
        <w:pageBreakBefore w:val="0"/>
        <w:widowControl w:val="0"/>
        <w:kinsoku/>
        <w:wordWrap/>
        <w:overflowPunct/>
        <w:topLinePunct w:val="0"/>
        <w:autoSpaceDE/>
        <w:autoSpaceDN/>
        <w:bidi w:val="0"/>
        <w:spacing w:line="560" w:lineRule="exact"/>
        <w:ind w:firstLine="624" w:firstLineChars="200"/>
        <w:jc w:val="left"/>
        <w:textAlignment w:val="auto"/>
        <w:rPr>
          <w:rFonts w:hint="default" w:ascii="仿宋_GB2312" w:hAnsi="仿宋_GB2312" w:eastAsia="仿宋_GB2312" w:cs="仿宋_GB2312"/>
          <w:color w:val="auto"/>
          <w:kern w:val="1"/>
          <w:sz w:val="32"/>
          <w:szCs w:val="32"/>
          <w:lang w:val="en-US" w:eastAsia="zh-CN"/>
        </w:rPr>
      </w:pPr>
      <w:r>
        <w:rPr>
          <w:rFonts w:hint="eastAsia" w:ascii="仿宋_GB2312" w:hAnsi="仿宋_GB2312" w:eastAsia="仿宋_GB2312" w:cs="仿宋_GB2312"/>
          <w:color w:val="auto"/>
          <w:kern w:val="1"/>
          <w:sz w:val="32"/>
          <w:szCs w:val="32"/>
          <w:lang w:val="en-US" w:eastAsia="zh-CN"/>
        </w:rPr>
        <w:t>3.项目地点：南县殡仪馆</w:t>
      </w:r>
    </w:p>
    <w:p w14:paraId="130CB7F0">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项目</w:t>
      </w:r>
      <w:r>
        <w:rPr>
          <w:rFonts w:hint="eastAsia" w:ascii="仿宋_GB2312" w:hAnsi="仿宋_GB2312" w:eastAsia="仿宋_GB2312" w:cs="仿宋_GB2312"/>
          <w:sz w:val="32"/>
          <w:szCs w:val="32"/>
          <w:lang w:val="en-US" w:eastAsia="zh-CN"/>
        </w:rPr>
        <w:t>付费</w:t>
      </w:r>
      <w:r>
        <w:rPr>
          <w:rFonts w:hint="eastAsia" w:ascii="仿宋_GB2312" w:hAnsi="仿宋_GB2312" w:eastAsia="仿宋_GB2312" w:cs="仿宋_GB2312"/>
          <w:sz w:val="32"/>
          <w:szCs w:val="32"/>
        </w:rPr>
        <w:t>预算：人民币</w:t>
      </w:r>
      <w:r>
        <w:rPr>
          <w:rFonts w:hint="eastAsia" w:ascii="仿宋_GB2312" w:hAnsi="仿宋_GB2312" w:eastAsia="仿宋_GB2312" w:cs="仿宋_GB2312"/>
          <w:sz w:val="32"/>
          <w:szCs w:val="32"/>
          <w:lang w:val="en-US" w:eastAsia="zh-CN"/>
        </w:rPr>
        <w:t>263400</w:t>
      </w:r>
      <w:r>
        <w:rPr>
          <w:rFonts w:hint="eastAsia" w:ascii="仿宋_GB2312" w:hAnsi="仿宋_GB2312" w:eastAsia="仿宋_GB2312" w:cs="仿宋_GB2312"/>
          <w:sz w:val="32"/>
          <w:szCs w:val="32"/>
        </w:rPr>
        <w:t>元</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其中基本服务费138600元，暂定驻场费用124800元。</w:t>
      </w:r>
    </w:p>
    <w:p w14:paraId="3AF286B3">
      <w:pPr>
        <w:pageBreakBefore w:val="0"/>
        <w:widowControl w:val="0"/>
        <w:tabs>
          <w:tab w:val="left" w:pos="8217"/>
        </w:tabs>
        <w:kinsoku/>
        <w:wordWrap/>
        <w:overflowPunct/>
        <w:topLinePunct w:val="0"/>
        <w:autoSpaceDE/>
        <w:autoSpaceDN/>
        <w:bidi w:val="0"/>
        <w:spacing w:line="560" w:lineRule="exact"/>
        <w:ind w:left="0" w:leftChars="0" w:firstLine="624"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审核</w:t>
      </w:r>
      <w:r>
        <w:rPr>
          <w:rFonts w:hint="eastAsia" w:ascii="仿宋_GB2312" w:hAnsi="仿宋_GB2312" w:eastAsia="仿宋_GB2312" w:cs="仿宋_GB2312"/>
          <w:sz w:val="32"/>
          <w:szCs w:val="32"/>
        </w:rPr>
        <w:t>范围：</w:t>
      </w:r>
      <w:r>
        <w:rPr>
          <w:rFonts w:hint="eastAsia" w:ascii="仿宋_GB2312" w:hAnsi="仿宋_GB2312" w:eastAsia="仿宋_GB2312" w:cs="仿宋_GB2312"/>
          <w:sz w:val="32"/>
          <w:szCs w:val="32"/>
          <w:lang w:val="en-US" w:eastAsia="zh-CN"/>
        </w:rPr>
        <w:t>工程建设费用审核</w:t>
      </w:r>
      <w:r>
        <w:rPr>
          <w:rFonts w:hint="eastAsia" w:ascii="仿宋_GB2312" w:hAnsi="仿宋_GB2312" w:eastAsia="仿宋_GB2312" w:cs="仿宋_GB2312"/>
          <w:sz w:val="32"/>
          <w:szCs w:val="32"/>
        </w:rPr>
        <w:t>。</w:t>
      </w:r>
    </w:p>
    <w:p w14:paraId="0D93EE37">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四</w:t>
      </w:r>
      <w:r>
        <w:rPr>
          <w:rFonts w:hint="eastAsia" w:ascii="仿宋_GB2312" w:hAnsi="仿宋_GB2312" w:eastAsia="仿宋_GB2312" w:cs="仿宋_GB2312"/>
          <w:sz w:val="32"/>
          <w:szCs w:val="32"/>
        </w:rPr>
        <w:t>）采购</w:t>
      </w:r>
      <w:r>
        <w:rPr>
          <w:rFonts w:hint="eastAsia" w:ascii="仿宋_GB2312" w:hAnsi="仿宋_GB2312" w:eastAsia="仿宋_GB2312" w:cs="仿宋_GB2312"/>
          <w:sz w:val="32"/>
          <w:szCs w:val="32"/>
          <w:lang w:val="en-US" w:eastAsia="zh-CN"/>
        </w:rPr>
        <w:t>要求</w:t>
      </w:r>
      <w:r>
        <w:rPr>
          <w:rFonts w:hint="eastAsia" w:ascii="仿宋_GB2312" w:hAnsi="仿宋_GB2312" w:eastAsia="仿宋_GB2312" w:cs="仿宋_GB2312"/>
          <w:sz w:val="32"/>
          <w:szCs w:val="32"/>
        </w:rPr>
        <w:t>：</w:t>
      </w:r>
    </w:p>
    <w:p w14:paraId="455DA097">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1、造价咨询公司需具备</w:t>
      </w:r>
      <w:r>
        <w:rPr>
          <w:rFonts w:hint="eastAsia" w:ascii="仿宋_GB2312" w:hAnsi="仿宋_GB2312" w:eastAsia="仿宋_GB2312" w:cs="仿宋_GB2312"/>
          <w:sz w:val="32"/>
          <w:szCs w:val="32"/>
          <w:lang w:val="en-US" w:eastAsia="zh-CN"/>
        </w:rPr>
        <w:t>相关</w:t>
      </w:r>
      <w:r>
        <w:rPr>
          <w:rFonts w:hint="eastAsia" w:ascii="仿宋_GB2312" w:hAnsi="仿宋_GB2312" w:eastAsia="仿宋_GB2312" w:cs="仿宋_GB2312"/>
          <w:sz w:val="32"/>
          <w:szCs w:val="32"/>
        </w:rPr>
        <w:t>执业资质(营业执照）</w:t>
      </w:r>
      <w:r>
        <w:rPr>
          <w:rFonts w:hint="eastAsia" w:ascii="仿宋_GB2312" w:hAnsi="仿宋_GB2312" w:eastAsia="仿宋_GB2312" w:cs="仿宋_GB2312"/>
          <w:sz w:val="32"/>
          <w:szCs w:val="32"/>
          <w:lang w:eastAsia="zh-CN"/>
        </w:rPr>
        <w:t>。</w:t>
      </w:r>
    </w:p>
    <w:p w14:paraId="0A2D4D9A">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2、公司办公地址：</w:t>
      </w:r>
      <w:r>
        <w:rPr>
          <w:rFonts w:hint="eastAsia" w:ascii="仿宋_GB2312" w:hAnsi="仿宋_GB2312" w:eastAsia="仿宋_GB2312" w:cs="仿宋_GB2312"/>
          <w:sz w:val="32"/>
          <w:szCs w:val="32"/>
          <w:lang w:val="en-US" w:eastAsia="zh-CN"/>
        </w:rPr>
        <w:t>南县</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不限制报价供应商的地域位置，但合同签署后3日内必须在南县设置一个办事网点供采购方对接联系</w:t>
      </w:r>
      <w:r>
        <w:rPr>
          <w:rFonts w:hint="eastAsia" w:ascii="仿宋_GB2312" w:hAnsi="仿宋_GB2312" w:eastAsia="仿宋_GB2312" w:cs="仿宋_GB2312"/>
          <w:sz w:val="32"/>
          <w:szCs w:val="32"/>
          <w:lang w:eastAsia="zh-CN"/>
        </w:rPr>
        <w:t>）。</w:t>
      </w:r>
    </w:p>
    <w:p w14:paraId="68874943">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3、本项目须项目负责人现场踏勘，踏勘时间： </w:t>
      </w:r>
      <w:r>
        <w:rPr>
          <w:rFonts w:hint="eastAsia" w:ascii="仿宋_GB2312" w:hAnsi="仿宋_GB2312" w:eastAsia="仿宋_GB2312" w:cs="仿宋_GB2312"/>
          <w:b/>
          <w:bCs/>
          <w:sz w:val="32"/>
          <w:szCs w:val="32"/>
          <w:lang w:val="en-US" w:eastAsia="zh-CN"/>
        </w:rPr>
        <w:t>3月19日上午8点10分在财政局门口集合 ，踏勘地点：南县殡仪馆。</w:t>
      </w:r>
      <w:r>
        <w:rPr>
          <w:rFonts w:hint="eastAsia" w:ascii="仿宋_GB2312" w:hAnsi="仿宋_GB2312" w:eastAsia="仿宋_GB2312" w:cs="仿宋_GB2312"/>
          <w:sz w:val="32"/>
          <w:szCs w:val="32"/>
          <w:lang w:val="en-US" w:eastAsia="zh-CN"/>
        </w:rPr>
        <w:t xml:space="preserve"> 请投标单位携带公司营业执照复印件和</w:t>
      </w:r>
      <w:r>
        <w:rPr>
          <w:rFonts w:hint="eastAsia" w:ascii="仿宋_GB2312" w:hAnsi="仿宋_GB2312" w:eastAsia="仿宋_GB2312" w:cs="仿宋_GB2312"/>
          <w:sz w:val="32"/>
          <w:szCs w:val="32"/>
          <w:lang w:eastAsia="zh-CN"/>
        </w:rPr>
        <w:t>审核</w:t>
      </w:r>
      <w:r>
        <w:rPr>
          <w:rFonts w:ascii="仿宋_GB2312" w:hAnsi="仿宋_GB2312" w:eastAsia="仿宋_GB2312" w:cs="仿宋_GB2312"/>
          <w:sz w:val="32"/>
          <w:szCs w:val="32"/>
        </w:rPr>
        <w:t>工作方案</w:t>
      </w:r>
      <w:r>
        <w:rPr>
          <w:rFonts w:hint="eastAsia" w:ascii="仿宋_GB2312" w:hAnsi="仿宋_GB2312" w:eastAsia="仿宋_GB2312" w:cs="仿宋_GB2312"/>
          <w:sz w:val="32"/>
          <w:szCs w:val="32"/>
          <w:lang w:val="en-US" w:eastAsia="zh-CN"/>
        </w:rPr>
        <w:t>（均加盖公章）准时参加，届时采购人组织现场探勘，具体讲解工作要求，出具现场探勘证明，未在规定时间集合、资料不齐等，采购方将不出具现场探勘证明。</w:t>
      </w:r>
    </w:p>
    <w:p w14:paraId="46E45750">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成交供应商及其工作人员应对在执业过程中所知悉的</w:t>
      </w:r>
      <w:r>
        <w:rPr>
          <w:rFonts w:hint="eastAsia" w:ascii="仿宋_GB2312" w:hAnsi="仿宋_GB2312" w:eastAsia="仿宋_GB2312" w:cs="仿宋_GB2312"/>
          <w:sz w:val="32"/>
          <w:szCs w:val="32"/>
          <w:lang w:eastAsia="zh-CN"/>
        </w:rPr>
        <w:t>采购人</w:t>
      </w:r>
      <w:r>
        <w:rPr>
          <w:rFonts w:hint="eastAsia" w:ascii="仿宋_GB2312" w:hAnsi="仿宋_GB2312" w:eastAsia="仿宋_GB2312" w:cs="仿宋_GB2312"/>
          <w:sz w:val="32"/>
          <w:szCs w:val="32"/>
        </w:rPr>
        <w:t>商业秘密严加保密，合同履行期间和合同终止后，除依照法律规定或经</w:t>
      </w:r>
      <w:r>
        <w:rPr>
          <w:rFonts w:hint="eastAsia" w:ascii="仿宋_GB2312" w:hAnsi="仿宋_GB2312" w:eastAsia="仿宋_GB2312" w:cs="仿宋_GB2312"/>
          <w:sz w:val="32"/>
          <w:szCs w:val="32"/>
          <w:lang w:eastAsia="zh-CN"/>
        </w:rPr>
        <w:t>采购人</w:t>
      </w:r>
      <w:r>
        <w:rPr>
          <w:rFonts w:hint="eastAsia" w:ascii="仿宋_GB2312" w:hAnsi="仿宋_GB2312" w:eastAsia="仿宋_GB2312" w:cs="仿宋_GB2312"/>
          <w:sz w:val="32"/>
          <w:szCs w:val="32"/>
        </w:rPr>
        <w:t>同意外，成交供应商及其工作人员不得将所知悉的商业秘密和</w:t>
      </w:r>
      <w:r>
        <w:rPr>
          <w:rFonts w:hint="eastAsia" w:ascii="仿宋_GB2312" w:hAnsi="仿宋_GB2312" w:eastAsia="仿宋_GB2312" w:cs="仿宋_GB2312"/>
          <w:sz w:val="32"/>
          <w:szCs w:val="32"/>
          <w:lang w:eastAsia="zh-CN"/>
        </w:rPr>
        <w:t>采购人</w:t>
      </w:r>
      <w:r>
        <w:rPr>
          <w:rFonts w:hint="eastAsia" w:ascii="仿宋_GB2312" w:hAnsi="仿宋_GB2312" w:eastAsia="仿宋_GB2312" w:cs="仿宋_GB2312"/>
          <w:sz w:val="32"/>
          <w:szCs w:val="32"/>
        </w:rPr>
        <w:t>提供的资料向任何第三方提供。</w:t>
      </w:r>
    </w:p>
    <w:p w14:paraId="5959A36F">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成交供应商出现不履行合同条款约定，</w:t>
      </w:r>
      <w:r>
        <w:rPr>
          <w:rFonts w:hint="eastAsia" w:ascii="仿宋_GB2312" w:hAnsi="仿宋_GB2312" w:eastAsia="仿宋_GB2312" w:cs="仿宋_GB2312"/>
          <w:sz w:val="32"/>
          <w:szCs w:val="32"/>
          <w:lang w:val="en-US" w:eastAsia="zh-CN"/>
        </w:rPr>
        <w:t>采购人将</w:t>
      </w:r>
      <w:r>
        <w:rPr>
          <w:rFonts w:hint="eastAsia" w:ascii="仿宋_GB2312" w:hAnsi="仿宋_GB2312" w:eastAsia="仿宋_GB2312" w:cs="仿宋_GB2312"/>
          <w:sz w:val="32"/>
          <w:szCs w:val="32"/>
        </w:rPr>
        <w:t>予以警告，并要求进行限期整改。在整改完成后，再次出现违约行为的，则取消其服务资格，并依法追究其相关责任。</w:t>
      </w:r>
    </w:p>
    <w:p w14:paraId="7DE35D08">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ascii="黑体" w:hAnsi="黑体" w:eastAsia="黑体" w:cs="黑体"/>
          <w:sz w:val="32"/>
          <w:szCs w:val="32"/>
        </w:rPr>
      </w:pPr>
      <w:r>
        <w:rPr>
          <w:rFonts w:hint="eastAsia" w:ascii="黑体" w:hAnsi="黑体" w:eastAsia="黑体" w:cs="黑体"/>
          <w:sz w:val="32"/>
          <w:szCs w:val="32"/>
        </w:rPr>
        <w:t>三、服务内容</w:t>
      </w:r>
    </w:p>
    <w:p w14:paraId="1EAC33E4">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lang w:eastAsia="zh-CN"/>
        </w:rPr>
        <w:t>南县殡仪馆改扩建项目一期工程全过程跟</w:t>
      </w:r>
      <w:r>
        <w:rPr>
          <w:rFonts w:hint="eastAsia" w:ascii="仿宋_GB2312" w:hAnsi="仿宋_GB2312" w:eastAsia="仿宋_GB2312" w:cs="仿宋_GB2312"/>
          <w:color w:val="auto"/>
          <w:sz w:val="32"/>
          <w:szCs w:val="32"/>
          <w:lang w:eastAsia="zh-CN"/>
        </w:rPr>
        <w:t>踪结算评审</w:t>
      </w:r>
      <w:r>
        <w:rPr>
          <w:rFonts w:hint="eastAsia" w:ascii="仿宋_GB2312" w:hAnsi="仿宋_GB2312" w:eastAsia="仿宋_GB2312" w:cs="仿宋_GB2312"/>
          <w:sz w:val="32"/>
          <w:szCs w:val="32"/>
        </w:rPr>
        <w:t>及相关服务。服务期限为完成本项目工程结算</w:t>
      </w:r>
      <w:r>
        <w:rPr>
          <w:rFonts w:hint="eastAsia" w:ascii="仿宋_GB2312" w:hAnsi="仿宋_GB2312" w:eastAsia="仿宋_GB2312" w:cs="仿宋_GB2312"/>
          <w:sz w:val="32"/>
          <w:szCs w:val="32"/>
          <w:lang w:eastAsia="zh-CN"/>
        </w:rPr>
        <w:t>审核</w:t>
      </w:r>
      <w:r>
        <w:rPr>
          <w:rFonts w:hint="eastAsia" w:ascii="仿宋_GB2312" w:hAnsi="仿宋_GB2312" w:eastAsia="仿宋_GB2312" w:cs="仿宋_GB2312"/>
          <w:sz w:val="32"/>
          <w:szCs w:val="32"/>
        </w:rPr>
        <w:t>直到经</w:t>
      </w:r>
      <w:r>
        <w:rPr>
          <w:rFonts w:hint="eastAsia" w:ascii="仿宋_GB2312" w:hAnsi="仿宋_GB2312" w:eastAsia="仿宋_GB2312" w:cs="仿宋_GB2312"/>
          <w:sz w:val="32"/>
          <w:szCs w:val="32"/>
          <w:lang w:val="en-US" w:eastAsia="zh-CN"/>
        </w:rPr>
        <w:t>南县财政投资评审</w:t>
      </w:r>
      <w:r>
        <w:rPr>
          <w:rFonts w:hint="eastAsia" w:ascii="仿宋_GB2312" w:hAnsi="仿宋_GB2312" w:eastAsia="仿宋_GB2312" w:cs="仿宋_GB2312"/>
          <w:sz w:val="32"/>
          <w:szCs w:val="32"/>
        </w:rPr>
        <w:t>中心复核完成后出具正式</w:t>
      </w:r>
      <w:r>
        <w:rPr>
          <w:rFonts w:hint="eastAsia" w:ascii="仿宋_GB2312" w:hAnsi="仿宋_GB2312" w:eastAsia="仿宋_GB2312" w:cs="仿宋_GB2312"/>
          <w:sz w:val="32"/>
          <w:szCs w:val="32"/>
          <w:lang w:eastAsia="zh-CN"/>
        </w:rPr>
        <w:t>审核</w:t>
      </w:r>
      <w:r>
        <w:rPr>
          <w:rFonts w:hint="eastAsia" w:ascii="仿宋_GB2312" w:hAnsi="仿宋_GB2312" w:eastAsia="仿宋_GB2312" w:cs="仿宋_GB2312"/>
          <w:sz w:val="32"/>
          <w:szCs w:val="32"/>
        </w:rPr>
        <w:t>报告，</w:t>
      </w:r>
      <w:r>
        <w:rPr>
          <w:rFonts w:hint="eastAsia" w:ascii="仿宋_GB2312" w:hAnsi="仿宋_GB2312" w:eastAsia="仿宋_GB2312" w:cs="仿宋_GB2312"/>
          <w:b/>
          <w:bCs/>
          <w:sz w:val="32"/>
          <w:szCs w:val="32"/>
        </w:rPr>
        <w:t>并对本项目后续</w:t>
      </w:r>
      <w:r>
        <w:rPr>
          <w:rFonts w:hint="eastAsia" w:ascii="仿宋_GB2312" w:hAnsi="仿宋_GB2312" w:eastAsia="仿宋_GB2312" w:cs="仿宋_GB2312"/>
          <w:b/>
          <w:bCs/>
          <w:sz w:val="32"/>
          <w:szCs w:val="32"/>
          <w:lang w:eastAsia="zh-CN"/>
        </w:rPr>
        <w:t>审核</w:t>
      </w:r>
      <w:r>
        <w:rPr>
          <w:rFonts w:hint="eastAsia" w:ascii="仿宋_GB2312" w:hAnsi="仿宋_GB2312" w:eastAsia="仿宋_GB2312" w:cs="仿宋_GB2312"/>
          <w:b/>
          <w:bCs/>
          <w:sz w:val="32"/>
          <w:szCs w:val="32"/>
        </w:rPr>
        <w:t>工作提供配合性咨询服务</w:t>
      </w:r>
      <w:r>
        <w:rPr>
          <w:rFonts w:hint="eastAsia" w:ascii="仿宋_GB2312" w:hAnsi="仿宋_GB2312" w:eastAsia="仿宋_GB2312" w:cs="仿宋_GB2312"/>
          <w:sz w:val="32"/>
          <w:szCs w:val="32"/>
        </w:rPr>
        <w:t>。具体要求如下：</w:t>
      </w:r>
    </w:p>
    <w:p w14:paraId="366FB690">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1.结算</w:t>
      </w:r>
      <w:r>
        <w:rPr>
          <w:rFonts w:hint="eastAsia" w:ascii="仿宋_GB2312" w:hAnsi="仿宋_GB2312" w:eastAsia="仿宋_GB2312" w:cs="仿宋_GB2312"/>
          <w:sz w:val="32"/>
          <w:szCs w:val="32"/>
          <w:lang w:eastAsia="zh-CN"/>
        </w:rPr>
        <w:t>审核</w:t>
      </w:r>
      <w:r>
        <w:rPr>
          <w:rFonts w:hint="eastAsia" w:ascii="仿宋_GB2312" w:hAnsi="仿宋_GB2312" w:eastAsia="仿宋_GB2312" w:cs="仿宋_GB2312"/>
          <w:sz w:val="32"/>
          <w:szCs w:val="32"/>
        </w:rPr>
        <w:t>服务内容包括但不限于：</w:t>
      </w:r>
    </w:p>
    <w:p w14:paraId="343A589F">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（1）审核结算编制依据的有效性和适用性；</w:t>
      </w:r>
    </w:p>
    <w:p w14:paraId="66CB3486">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（2）审核工程结算依据的完备性； </w:t>
      </w:r>
    </w:p>
    <w:p w14:paraId="06EB4F07">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（3）分析施工合同，审核结算方法的适用性； </w:t>
      </w:r>
    </w:p>
    <w:p w14:paraId="5123C107">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（4）对照竣工图，审核工程量清单项目完整性； </w:t>
      </w:r>
    </w:p>
    <w:p w14:paraId="62839D42">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（5）进行工程计量，审核工程量的准确性； </w:t>
      </w:r>
    </w:p>
    <w:p w14:paraId="01B176D7">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（6）进行工程计价，审核工程计价的合理性； </w:t>
      </w:r>
    </w:p>
    <w:p w14:paraId="23CE8FAC">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（7）审核新增项目综合单价分析的合理性； </w:t>
      </w:r>
    </w:p>
    <w:p w14:paraId="46C55CEC">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（8）审核签证、索赔、变更等造价的合理性； </w:t>
      </w:r>
    </w:p>
    <w:p w14:paraId="5EC66D61">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（9）审核发现的异议，与编制单位进行技术核对，确定正确数据，并调整核对后</w:t>
      </w:r>
      <w:r>
        <w:rPr>
          <w:rFonts w:hint="eastAsia" w:ascii="仿宋_GB2312" w:hAnsi="仿宋_GB2312" w:eastAsia="仿宋_GB2312" w:cs="仿宋_GB2312"/>
          <w:sz w:val="32"/>
          <w:szCs w:val="32"/>
          <w:lang w:val="en-US" w:eastAsia="zh-CN"/>
        </w:rPr>
        <w:t>的</w:t>
      </w:r>
      <w:r>
        <w:rPr>
          <w:rFonts w:hint="eastAsia" w:ascii="仿宋_GB2312" w:hAnsi="仿宋_GB2312" w:eastAsia="仿宋_GB2312" w:cs="仿宋_GB2312"/>
          <w:sz w:val="32"/>
          <w:szCs w:val="32"/>
        </w:rPr>
        <w:t xml:space="preserve">工程量及造价； </w:t>
      </w:r>
    </w:p>
    <w:p w14:paraId="7A428262">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（10）出具审核报告书； </w:t>
      </w:r>
    </w:p>
    <w:p w14:paraId="54CD4DA0">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（11）协助财评中心，做好造价复核确认</w:t>
      </w:r>
      <w:r>
        <w:rPr>
          <w:rFonts w:hint="eastAsia" w:ascii="仿宋_GB2312" w:hAnsi="仿宋_GB2312" w:eastAsia="仿宋_GB2312" w:cs="仿宋_GB2312"/>
          <w:sz w:val="32"/>
          <w:szCs w:val="32"/>
          <w:lang w:eastAsia="zh-CN"/>
        </w:rPr>
        <w:t>；</w:t>
      </w:r>
    </w:p>
    <w:p w14:paraId="36914E36">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12</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派出1名造价师进驻现场（具体数量和天数以采购人确认为准），对工程施工全过程的质量、进度、投资额进行动态计量，达到项目竣工，审核完成；</w:t>
      </w:r>
    </w:p>
    <w:p w14:paraId="34E07BD8">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hint="default"/>
          <w:lang w:val="en-US" w:eastAsia="zh-CN"/>
        </w:rPr>
      </w:pPr>
      <w:r>
        <w:rPr>
          <w:rFonts w:hint="eastAsia" w:ascii="仿宋_GB2312" w:hAnsi="仿宋_GB2312" w:eastAsia="仿宋_GB2312" w:cs="仿宋_GB2312"/>
          <w:sz w:val="32"/>
          <w:szCs w:val="32"/>
          <w:lang w:val="en-US" w:eastAsia="zh-CN"/>
        </w:rPr>
        <w:t>（13）工程竣工完成后20个工作日内应出具审核报告，延期一天扣减2%的服务费作为违约金，扣减的违约金累计金额不得超过合同金额的70%。</w:t>
      </w:r>
    </w:p>
    <w:p w14:paraId="7189306B">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2.在服务期内，供应商应24小时内响应采购人的需求，对未及时响应造成的影响，采购人有权利进行追究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并每发生一次扣减0.5%的服务费</w:t>
      </w:r>
      <w:r>
        <w:rPr>
          <w:rFonts w:hint="eastAsia" w:ascii="仿宋_GB2312" w:hAnsi="仿宋_GB2312" w:eastAsia="仿宋_GB2312" w:cs="仿宋_GB2312"/>
          <w:sz w:val="32"/>
          <w:szCs w:val="32"/>
        </w:rPr>
        <w:t>。</w:t>
      </w:r>
    </w:p>
    <w:p w14:paraId="296E5C8F">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.在服务期内，对投标文件中所确定的</w:t>
      </w:r>
      <w:r>
        <w:rPr>
          <w:rFonts w:hint="eastAsia" w:ascii="仿宋_GB2312" w:hAnsi="仿宋_GB2312" w:eastAsia="仿宋_GB2312" w:cs="仿宋_GB2312"/>
          <w:sz w:val="32"/>
          <w:szCs w:val="32"/>
          <w:lang w:eastAsia="zh-CN"/>
        </w:rPr>
        <w:t>审核</w:t>
      </w:r>
      <w:r>
        <w:rPr>
          <w:rFonts w:hint="eastAsia" w:ascii="仿宋_GB2312" w:hAnsi="仿宋_GB2312" w:eastAsia="仿宋_GB2312" w:cs="仿宋_GB2312"/>
          <w:sz w:val="32"/>
          <w:szCs w:val="32"/>
        </w:rPr>
        <w:t>项目负责人未经采购人同意,不得更换。</w:t>
      </w:r>
    </w:p>
    <w:p w14:paraId="51909341">
      <w:pPr>
        <w:pageBreakBefore w:val="0"/>
        <w:widowControl w:val="0"/>
        <w:kinsoku/>
        <w:wordWrap/>
        <w:overflowPunct/>
        <w:topLinePunct w:val="0"/>
        <w:autoSpaceDE/>
        <w:autoSpaceDN/>
        <w:bidi w:val="0"/>
        <w:spacing w:line="560" w:lineRule="exact"/>
        <w:ind w:firstLine="624" w:firstLineChars="200"/>
        <w:contextualSpacing/>
        <w:textAlignment w:val="auto"/>
        <w:rPr>
          <w:rFonts w:hint="eastAsia" w:hAnsi="宋体" w:cs="仿宋_GB2312"/>
          <w:b w:val="0"/>
          <w:bCs w:val="0"/>
          <w:snapToGrid w:val="0"/>
          <w:kern w:val="0"/>
        </w:rPr>
      </w:pPr>
      <w:r>
        <w:rPr>
          <w:rFonts w:hint="eastAsia" w:ascii="仿宋_GB2312" w:hAnsi="仿宋_GB2312" w:eastAsia="仿宋_GB2312" w:cs="仿宋_GB2312"/>
          <w:sz w:val="32"/>
          <w:szCs w:val="32"/>
          <w:lang w:val="en-US" w:eastAsia="zh-CN"/>
        </w:rPr>
        <w:t>4.付款方式：</w:t>
      </w:r>
      <w:r>
        <w:rPr>
          <w:rFonts w:hint="eastAsia" w:ascii="仿宋_GB2312" w:hAnsi="仿宋_GB2312" w:eastAsia="仿宋_GB2312" w:cs="仿宋_GB2312"/>
          <w:sz w:val="32"/>
          <w:szCs w:val="32"/>
        </w:rPr>
        <w:t>按</w:t>
      </w:r>
      <w:r>
        <w:rPr>
          <w:rFonts w:hint="eastAsia" w:ascii="仿宋_GB2312" w:hAnsi="仿宋_GB2312" w:eastAsia="仿宋_GB2312" w:cs="仿宋_GB2312"/>
          <w:sz w:val="32"/>
          <w:szCs w:val="32"/>
          <w:lang w:val="en-US" w:eastAsia="zh-CN"/>
        </w:rPr>
        <w:t>南县民政局要求的</w:t>
      </w:r>
      <w:r>
        <w:rPr>
          <w:rFonts w:hint="eastAsia" w:ascii="仿宋_GB2312" w:hAnsi="仿宋_GB2312" w:eastAsia="仿宋_GB2312" w:cs="仿宋_GB2312"/>
          <w:sz w:val="32"/>
          <w:szCs w:val="32"/>
        </w:rPr>
        <w:t>具体</w:t>
      </w:r>
      <w:r>
        <w:rPr>
          <w:rFonts w:hint="eastAsia" w:ascii="仿宋_GB2312" w:hAnsi="仿宋_GB2312" w:eastAsia="仿宋_GB2312" w:cs="仿宋_GB2312"/>
          <w:sz w:val="32"/>
          <w:szCs w:val="32"/>
          <w:lang w:val="en-US" w:eastAsia="zh-CN"/>
        </w:rPr>
        <w:t>情况</w:t>
      </w:r>
      <w:r>
        <w:rPr>
          <w:rFonts w:hint="eastAsia" w:ascii="仿宋_GB2312" w:hAnsi="仿宋_GB2312" w:eastAsia="仿宋_GB2312" w:cs="仿宋_GB2312"/>
          <w:sz w:val="32"/>
          <w:szCs w:val="32"/>
        </w:rPr>
        <w:t>分</w:t>
      </w:r>
      <w:r>
        <w:rPr>
          <w:rFonts w:hint="eastAsia" w:ascii="仿宋_GB2312" w:hAnsi="仿宋_GB2312" w:eastAsia="仿宋_GB2312" w:cs="仿宋_GB2312"/>
          <w:sz w:val="32"/>
          <w:szCs w:val="32"/>
          <w:lang w:val="en-US" w:eastAsia="zh-CN"/>
        </w:rPr>
        <w:t>期</w:t>
      </w:r>
      <w:r>
        <w:rPr>
          <w:rFonts w:hint="eastAsia" w:ascii="仿宋_GB2312" w:hAnsi="仿宋_GB2312" w:eastAsia="仿宋_GB2312" w:cs="仿宋_GB2312"/>
          <w:sz w:val="32"/>
          <w:szCs w:val="32"/>
        </w:rPr>
        <w:t>支付</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具体</w:t>
      </w:r>
      <w:r>
        <w:rPr>
          <w:rFonts w:hint="eastAsia" w:ascii="仿宋_GB2312" w:hAnsi="仿宋_GB2312" w:eastAsia="仿宋_GB2312" w:cs="仿宋_GB2312"/>
          <w:sz w:val="32"/>
          <w:szCs w:val="32"/>
        </w:rPr>
        <w:t>签订合同</w:t>
      </w:r>
      <w:r>
        <w:rPr>
          <w:rFonts w:hint="eastAsia" w:ascii="仿宋_GB2312" w:hAnsi="仿宋_GB2312" w:eastAsia="仿宋_GB2312" w:cs="仿宋_GB2312"/>
          <w:sz w:val="32"/>
          <w:szCs w:val="32"/>
          <w:lang w:val="en-US" w:eastAsia="zh-CN"/>
        </w:rPr>
        <w:t>时约定</w:t>
      </w:r>
      <w:r>
        <w:rPr>
          <w:rFonts w:hint="eastAsia" w:ascii="仿宋_GB2312" w:hAnsi="仿宋_GB2312" w:eastAsia="仿宋_GB2312" w:cs="仿宋_GB2312"/>
          <w:sz w:val="32"/>
          <w:szCs w:val="32"/>
        </w:rPr>
        <w:t>。</w:t>
      </w:r>
    </w:p>
    <w:p w14:paraId="7D317236">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ascii="黑体" w:hAnsi="黑体" w:eastAsia="黑体" w:cs="黑体"/>
          <w:sz w:val="32"/>
          <w:szCs w:val="32"/>
        </w:rPr>
      </w:pPr>
      <w:r>
        <w:rPr>
          <w:rFonts w:hint="eastAsia" w:ascii="黑体" w:hAnsi="黑体" w:eastAsia="黑体" w:cs="黑体"/>
          <w:sz w:val="32"/>
          <w:szCs w:val="32"/>
        </w:rPr>
        <w:t>四、供应商资格要求</w:t>
      </w:r>
    </w:p>
    <w:p w14:paraId="3B637915">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1.供应商应为独立法人单位，并提供营业执照副本复印件，营业执照在有效期内，咨询业务范围符合《工程造价咨询企业管理办法【2020】版》（中华人民共和国住房和城乡建设部令第50号）的规定。</w:t>
      </w:r>
    </w:p>
    <w:p w14:paraId="1CB1933A">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2.拟任本项目负责人须具有相关行政主管部门颁发的在本单位注册的注册一级造价工程师职业资格证（注册单位必须与供应商一致），取得该资格年限≥</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年，并提供项目负责人最近</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个月在本单位的社保证明。</w:t>
      </w:r>
    </w:p>
    <w:p w14:paraId="3EA8CE5C">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color w:val="auto"/>
          <w:sz w:val="32"/>
          <w:szCs w:val="32"/>
        </w:rPr>
        <w:t>报价供应商需设置项目组，拟投入本项目的其他小组成员不少于2人，小组成员必须为一级注册造价师或具备中级工程师职称(工程造价专业)</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提供人员配备清单及职业资格证书(注册单位必须与供应商一致)、职称资格证书，取得该资格年限</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rPr>
        <w:t>2年，并提供最近3个月在本单位的社保证明。</w:t>
      </w:r>
    </w:p>
    <w:p w14:paraId="5884D82B">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4</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原</w:t>
      </w:r>
      <w:r>
        <w:rPr>
          <w:rFonts w:hint="eastAsia" w:ascii="仿宋_GB2312" w:hAnsi="仿宋_GB2312" w:eastAsia="仿宋_GB2312" w:cs="仿宋_GB2312"/>
          <w:color w:val="auto"/>
          <w:sz w:val="32"/>
          <w:szCs w:val="32"/>
          <w:lang w:val="en-US" w:eastAsia="zh-CN"/>
        </w:rPr>
        <w:t>概预</w:t>
      </w:r>
      <w:r>
        <w:rPr>
          <w:rFonts w:hint="eastAsia" w:ascii="仿宋_GB2312" w:hAnsi="仿宋_GB2312" w:eastAsia="仿宋_GB2312" w:cs="仿宋_GB2312"/>
          <w:color w:val="auto"/>
          <w:sz w:val="32"/>
          <w:szCs w:val="32"/>
        </w:rPr>
        <w:t>算编制、</w:t>
      </w:r>
      <w:r>
        <w:rPr>
          <w:rFonts w:hint="eastAsia" w:ascii="仿宋_GB2312" w:hAnsi="仿宋_GB2312" w:eastAsia="仿宋_GB2312" w:cs="仿宋_GB2312"/>
          <w:color w:val="auto"/>
          <w:sz w:val="32"/>
          <w:szCs w:val="32"/>
          <w:lang w:val="en-US" w:eastAsia="zh-CN"/>
        </w:rPr>
        <w:t>概预</w:t>
      </w:r>
      <w:r>
        <w:rPr>
          <w:rFonts w:hint="eastAsia" w:ascii="仿宋_GB2312" w:hAnsi="仿宋_GB2312" w:eastAsia="仿宋_GB2312" w:cs="仿宋_GB2312"/>
          <w:color w:val="auto"/>
          <w:sz w:val="32"/>
          <w:szCs w:val="32"/>
        </w:rPr>
        <w:t>算审核单位不得参与竞价</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供应商要求在2021-2024年内承接或完成施工合同在1000万元以上的全过程跟踪审计项目或评审项目不少于3个(请附每个项目的评审委托书、中标通知书或咨询服务合同)。</w:t>
      </w:r>
    </w:p>
    <w:p w14:paraId="09B3BA82">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5.</w:t>
      </w:r>
      <w:r>
        <w:rPr>
          <w:rFonts w:ascii="仿宋_GB2312" w:hAnsi="仿宋_GB2312" w:eastAsia="仿宋_GB2312" w:cs="仿宋_GB2312"/>
          <w:sz w:val="32"/>
          <w:szCs w:val="32"/>
        </w:rPr>
        <w:t>有针对性地制定具体</w:t>
      </w:r>
      <w:r>
        <w:rPr>
          <w:rFonts w:hint="eastAsia" w:ascii="仿宋_GB2312" w:hAnsi="仿宋_GB2312" w:eastAsia="仿宋_GB2312" w:cs="仿宋_GB2312"/>
          <w:sz w:val="32"/>
          <w:szCs w:val="32"/>
          <w:lang w:eastAsia="zh-CN"/>
        </w:rPr>
        <w:t>审核</w:t>
      </w:r>
      <w:r>
        <w:rPr>
          <w:rFonts w:ascii="仿宋_GB2312" w:hAnsi="仿宋_GB2312" w:eastAsia="仿宋_GB2312" w:cs="仿宋_GB2312"/>
          <w:sz w:val="32"/>
          <w:szCs w:val="32"/>
        </w:rPr>
        <w:t>工作方案</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审核方案应包含公司基本情况、拟投入本项目的组织架构和人员名单、过程审核驻场计划、三级复核流程、廉洁自律要求等。</w:t>
      </w:r>
    </w:p>
    <w:p w14:paraId="67A25251">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6.列入失信被执行人、重大税收违法案件当事人名单，列入政府采购严重违法失信行为记录名单的，拒绝其参与政府采购活动（信用中国下载征信报告）。</w:t>
      </w:r>
    </w:p>
    <w:p w14:paraId="4588BABE">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ascii="黑体" w:hAnsi="黑体" w:eastAsia="黑体" w:cs="黑体"/>
          <w:sz w:val="32"/>
          <w:szCs w:val="32"/>
        </w:rPr>
      </w:pPr>
      <w:r>
        <w:rPr>
          <w:rFonts w:hint="eastAsia" w:ascii="黑体" w:hAnsi="黑体" w:eastAsia="黑体" w:cs="黑体"/>
          <w:sz w:val="32"/>
          <w:szCs w:val="32"/>
        </w:rPr>
        <w:t>五、质量要求</w:t>
      </w:r>
    </w:p>
    <w:p w14:paraId="45F131B2">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符合国家相关</w:t>
      </w:r>
      <w:r>
        <w:rPr>
          <w:rFonts w:hint="eastAsia" w:ascii="仿宋_GB2312" w:hAnsi="仿宋_GB2312" w:eastAsia="仿宋_GB2312" w:cs="仿宋_GB2312"/>
          <w:sz w:val="32"/>
          <w:szCs w:val="32"/>
          <w:lang w:val="en-US" w:eastAsia="zh-CN"/>
        </w:rPr>
        <w:t>行业</w:t>
      </w:r>
      <w:r>
        <w:rPr>
          <w:rFonts w:hint="eastAsia" w:ascii="仿宋_GB2312" w:hAnsi="仿宋_GB2312" w:eastAsia="仿宋_GB2312" w:cs="仿宋_GB2312"/>
          <w:sz w:val="32"/>
          <w:szCs w:val="32"/>
        </w:rPr>
        <w:t>标准，采购人发现供应商有造假行为，将取消其中标资格。咨询成果的及时性、准确性与保密性：对图纸、施工内容、材料价格等如有疑义之处，供应商应及时向</w:t>
      </w:r>
      <w:r>
        <w:rPr>
          <w:rFonts w:hint="eastAsia" w:ascii="仿宋_GB2312" w:hAnsi="仿宋_GB2312" w:eastAsia="仿宋_GB2312" w:cs="仿宋_GB2312"/>
          <w:sz w:val="32"/>
          <w:szCs w:val="32"/>
          <w:lang w:eastAsia="zh-CN"/>
        </w:rPr>
        <w:t>采购人</w:t>
      </w:r>
      <w:r>
        <w:rPr>
          <w:rFonts w:hint="eastAsia" w:ascii="仿宋_GB2312" w:hAnsi="仿宋_GB2312" w:eastAsia="仿宋_GB2312" w:cs="仿宋_GB2312"/>
          <w:sz w:val="32"/>
          <w:szCs w:val="32"/>
        </w:rPr>
        <w:t>咨询，不得影响受托项目的审核进度；</w:t>
      </w:r>
      <w:r>
        <w:rPr>
          <w:rFonts w:hint="eastAsia" w:ascii="仿宋_GB2312" w:hAnsi="仿宋_GB2312" w:eastAsia="仿宋_GB2312" w:cs="仿宋_GB2312"/>
          <w:sz w:val="32"/>
          <w:szCs w:val="32"/>
          <w:lang w:eastAsia="zh-CN"/>
        </w:rPr>
        <w:t>供应商</w:t>
      </w:r>
      <w:r>
        <w:rPr>
          <w:rFonts w:hint="eastAsia" w:ascii="仿宋_GB2312" w:hAnsi="仿宋_GB2312" w:eastAsia="仿宋_GB2312" w:cs="仿宋_GB2312"/>
          <w:sz w:val="32"/>
          <w:szCs w:val="32"/>
        </w:rPr>
        <w:t>应认真研究有关资料，准确计算，确保成果的准确性。如成果文件经有关审核后确认误差在±3%以外，则</w:t>
      </w:r>
      <w:r>
        <w:rPr>
          <w:rFonts w:hint="eastAsia" w:ascii="仿宋_GB2312" w:hAnsi="仿宋_GB2312" w:eastAsia="仿宋_GB2312" w:cs="仿宋_GB2312"/>
          <w:sz w:val="32"/>
          <w:szCs w:val="32"/>
          <w:lang w:eastAsia="zh-CN"/>
        </w:rPr>
        <w:t>采购人</w:t>
      </w:r>
      <w:r>
        <w:rPr>
          <w:rFonts w:hint="eastAsia" w:ascii="仿宋_GB2312" w:hAnsi="仿宋_GB2312" w:eastAsia="仿宋_GB2312" w:cs="仿宋_GB2312"/>
          <w:sz w:val="32"/>
          <w:szCs w:val="32"/>
        </w:rPr>
        <w:t>将只支付</w:t>
      </w:r>
      <w:r>
        <w:rPr>
          <w:rFonts w:hint="eastAsia" w:ascii="仿宋_GB2312" w:hAnsi="仿宋_GB2312" w:eastAsia="仿宋_GB2312" w:cs="仿宋_GB2312"/>
          <w:sz w:val="32"/>
          <w:szCs w:val="32"/>
          <w:lang w:eastAsia="zh-CN"/>
        </w:rPr>
        <w:t>供应商</w:t>
      </w:r>
      <w:r>
        <w:rPr>
          <w:rFonts w:hint="eastAsia" w:ascii="仿宋_GB2312" w:hAnsi="仿宋_GB2312" w:eastAsia="仿宋_GB2312" w:cs="仿宋_GB2312"/>
          <w:sz w:val="32"/>
          <w:szCs w:val="32"/>
        </w:rPr>
        <w:t>咨询费用的50%；误差在±5%以外，</w:t>
      </w:r>
      <w:r>
        <w:rPr>
          <w:rFonts w:hint="eastAsia" w:ascii="仿宋_GB2312" w:hAnsi="仿宋_GB2312" w:eastAsia="仿宋_GB2312" w:cs="仿宋_GB2312"/>
          <w:sz w:val="32"/>
          <w:szCs w:val="32"/>
          <w:lang w:eastAsia="zh-CN"/>
        </w:rPr>
        <w:t>采购人</w:t>
      </w:r>
      <w:r>
        <w:rPr>
          <w:rFonts w:hint="eastAsia" w:ascii="仿宋_GB2312" w:hAnsi="仿宋_GB2312" w:eastAsia="仿宋_GB2312" w:cs="仿宋_GB2312"/>
          <w:sz w:val="32"/>
          <w:szCs w:val="32"/>
        </w:rPr>
        <w:t>将只支付</w:t>
      </w:r>
      <w:r>
        <w:rPr>
          <w:rFonts w:hint="eastAsia" w:ascii="仿宋_GB2312" w:hAnsi="仿宋_GB2312" w:eastAsia="仿宋_GB2312" w:cs="仿宋_GB2312"/>
          <w:sz w:val="32"/>
          <w:szCs w:val="32"/>
          <w:lang w:eastAsia="zh-CN"/>
        </w:rPr>
        <w:t>供应商</w:t>
      </w:r>
      <w:r>
        <w:rPr>
          <w:rFonts w:hint="eastAsia" w:ascii="仿宋_GB2312" w:hAnsi="仿宋_GB2312" w:eastAsia="仿宋_GB2312" w:cs="仿宋_GB2312"/>
          <w:sz w:val="32"/>
          <w:szCs w:val="32"/>
        </w:rPr>
        <w:t>咨询费用的</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0%。同时</w:t>
      </w:r>
      <w:r>
        <w:rPr>
          <w:rFonts w:hint="eastAsia" w:ascii="仿宋_GB2312" w:hAnsi="仿宋_GB2312" w:eastAsia="仿宋_GB2312" w:cs="仿宋_GB2312"/>
          <w:sz w:val="32"/>
          <w:szCs w:val="32"/>
          <w:lang w:eastAsia="zh-CN"/>
        </w:rPr>
        <w:t>供应商</w:t>
      </w:r>
      <w:r>
        <w:rPr>
          <w:rFonts w:hint="eastAsia" w:ascii="仿宋_GB2312" w:hAnsi="仿宋_GB2312" w:eastAsia="仿宋_GB2312" w:cs="仿宋_GB2312"/>
          <w:sz w:val="32"/>
          <w:szCs w:val="32"/>
        </w:rPr>
        <w:t>必须做好工程有关资料的保密工作，一旦发生泄密行为，给</w:t>
      </w:r>
      <w:r>
        <w:rPr>
          <w:rFonts w:hint="eastAsia" w:ascii="仿宋_GB2312" w:hAnsi="仿宋_GB2312" w:eastAsia="仿宋_GB2312" w:cs="仿宋_GB2312"/>
          <w:sz w:val="32"/>
          <w:szCs w:val="32"/>
          <w:lang w:eastAsia="zh-CN"/>
        </w:rPr>
        <w:t>采购人</w:t>
      </w:r>
      <w:r>
        <w:rPr>
          <w:rFonts w:hint="eastAsia" w:ascii="仿宋_GB2312" w:hAnsi="仿宋_GB2312" w:eastAsia="仿宋_GB2312" w:cs="仿宋_GB2312"/>
          <w:sz w:val="32"/>
          <w:szCs w:val="32"/>
        </w:rPr>
        <w:t>造成重大损失的，</w:t>
      </w:r>
      <w:r>
        <w:rPr>
          <w:rFonts w:hint="eastAsia" w:ascii="仿宋_GB2312" w:hAnsi="仿宋_GB2312" w:eastAsia="仿宋_GB2312" w:cs="仿宋_GB2312"/>
          <w:sz w:val="32"/>
          <w:szCs w:val="32"/>
          <w:lang w:eastAsia="zh-CN"/>
        </w:rPr>
        <w:t>采购人</w:t>
      </w:r>
      <w:r>
        <w:rPr>
          <w:rFonts w:hint="eastAsia" w:ascii="仿宋_GB2312" w:hAnsi="仿宋_GB2312" w:eastAsia="仿宋_GB2312" w:cs="仿宋_GB2312"/>
          <w:sz w:val="32"/>
          <w:szCs w:val="32"/>
        </w:rPr>
        <w:t>还将追究法律责任。</w:t>
      </w:r>
    </w:p>
    <w:p w14:paraId="1FEF8B68">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ascii="黑体" w:hAnsi="黑体" w:eastAsia="黑体" w:cs="黑体"/>
          <w:sz w:val="32"/>
          <w:szCs w:val="32"/>
        </w:rPr>
      </w:pPr>
      <w:r>
        <w:rPr>
          <w:rFonts w:hint="eastAsia" w:ascii="黑体" w:hAnsi="黑体" w:eastAsia="黑体" w:cs="黑体"/>
          <w:sz w:val="32"/>
          <w:szCs w:val="32"/>
        </w:rPr>
        <w:t>六、报价要求</w:t>
      </w:r>
    </w:p>
    <w:p w14:paraId="7FA2D6E4">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此次服务费的报价上限价</w:t>
      </w:r>
      <w:r>
        <w:rPr>
          <w:rFonts w:hint="eastAsia" w:ascii="仿宋_GB2312" w:hAnsi="仿宋_GB2312" w:eastAsia="仿宋_GB2312" w:cs="仿宋_GB2312"/>
          <w:sz w:val="32"/>
          <w:szCs w:val="32"/>
          <w:lang w:val="en-US" w:eastAsia="zh-CN"/>
        </w:rPr>
        <w:t>263400</w:t>
      </w:r>
      <w:r>
        <w:rPr>
          <w:rFonts w:hint="eastAsia" w:ascii="仿宋_GB2312" w:hAnsi="仿宋_GB2312" w:eastAsia="仿宋_GB2312" w:cs="仿宋_GB2312"/>
          <w:sz w:val="32"/>
          <w:szCs w:val="32"/>
        </w:rPr>
        <w:t>元。报价包括但不限于</w:t>
      </w:r>
      <w:r>
        <w:rPr>
          <w:rFonts w:hint="eastAsia" w:ascii="仿宋_GB2312" w:hAnsi="仿宋_GB2312" w:eastAsia="仿宋_GB2312" w:cs="仿宋_GB2312"/>
          <w:sz w:val="32"/>
          <w:szCs w:val="32"/>
          <w:lang w:eastAsia="zh-CN"/>
        </w:rPr>
        <w:t>审核</w:t>
      </w:r>
      <w:r>
        <w:rPr>
          <w:rFonts w:hint="eastAsia" w:ascii="仿宋_GB2312" w:hAnsi="仿宋_GB2312" w:eastAsia="仿宋_GB2312" w:cs="仿宋_GB2312"/>
          <w:sz w:val="32"/>
          <w:szCs w:val="32"/>
        </w:rPr>
        <w:t>服务费、交通费、食宿费、工伤、人身意外伤害保险及税金等。</w:t>
      </w:r>
    </w:p>
    <w:p w14:paraId="6C05FC3C">
      <w:pPr>
        <w:pStyle w:val="15"/>
        <w:pageBreakBefore w:val="0"/>
        <w:widowControl w:val="0"/>
        <w:kinsoku/>
        <w:wordWrap/>
        <w:overflowPunct/>
        <w:topLinePunct w:val="0"/>
        <w:autoSpaceDE/>
        <w:autoSpaceDN/>
        <w:bidi w:val="0"/>
        <w:spacing w:line="560" w:lineRule="exact"/>
        <w:textAlignment w:val="auto"/>
        <w:rPr>
          <w:rFonts w:hint="default" w:eastAsia="仿宋_GB2312"/>
          <w:lang w:val="en-US" w:eastAsia="zh-CN"/>
        </w:rPr>
      </w:pPr>
      <w:r>
        <w:rPr>
          <w:rFonts w:hint="eastAsia" w:ascii="仿宋_GB2312" w:hAnsi="仿宋_GB2312" w:eastAsia="仿宋_GB2312" w:cs="仿宋_GB2312"/>
          <w:sz w:val="32"/>
          <w:szCs w:val="32"/>
          <w:lang w:val="en-US" w:eastAsia="zh-CN"/>
        </w:rPr>
        <w:t xml:space="preserve">  2、供应商不得恶意报价，供应商报价明显低于市场价的，采购人将启动成本价调查程序，经确认为低于成本价的将取消报价资格，并将行为上报电子卖场主管部门。</w:t>
      </w:r>
    </w:p>
    <w:p w14:paraId="350CEF1C">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七、响应文件组成（需盖公章）</w:t>
      </w:r>
    </w:p>
    <w:p w14:paraId="0435F773">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营业执照</w:t>
      </w:r>
      <w:r>
        <w:rPr>
          <w:rFonts w:hint="eastAsia" w:ascii="仿宋_GB2312" w:hAnsi="仿宋_GB2312" w:eastAsia="仿宋_GB2312" w:cs="仿宋_GB2312"/>
          <w:sz w:val="32"/>
          <w:szCs w:val="32"/>
          <w:lang w:eastAsia="zh-CN"/>
        </w:rPr>
        <w:t>；</w:t>
      </w:r>
    </w:p>
    <w:p w14:paraId="377787D7">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2、提供近3年内3个同类业绩证明资料；</w:t>
      </w:r>
    </w:p>
    <w:p w14:paraId="4185F851">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3、提供拟配备的项目负责人具有注册五年以上的一级注册造价师、具备中级职称；拟配备的项目小组成员具备一级注册造价师或具备中级工程师职称(工程造价专业)的证明资料；</w:t>
      </w:r>
    </w:p>
    <w:p w14:paraId="2C46FD3F">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lang w:eastAsia="zh-CN"/>
        </w:rPr>
        <w:t>提供</w:t>
      </w:r>
      <w:r>
        <w:rPr>
          <w:rFonts w:hint="eastAsia" w:ascii="仿宋_GB2312" w:hAnsi="仿宋_GB2312" w:eastAsia="仿宋_GB2312" w:cs="仿宋_GB2312"/>
          <w:sz w:val="32"/>
          <w:szCs w:val="32"/>
          <w:lang w:val="en-US" w:eastAsia="zh-CN"/>
        </w:rPr>
        <w:t>项目组服务团队所有成员</w:t>
      </w:r>
      <w:r>
        <w:rPr>
          <w:rFonts w:hint="eastAsia" w:ascii="仿宋_GB2312" w:hAnsi="仿宋_GB2312" w:eastAsia="仿宋_GB2312" w:cs="仿宋_GB2312"/>
          <w:sz w:val="32"/>
          <w:szCs w:val="32"/>
          <w:lang w:eastAsia="zh-CN"/>
        </w:rPr>
        <w:t>连续交纳</w:t>
      </w:r>
      <w:r>
        <w:rPr>
          <w:rFonts w:hint="eastAsia" w:ascii="仿宋_GB2312" w:hAnsi="仿宋_GB2312" w:eastAsia="仿宋_GB2312" w:cs="仿宋_GB2312"/>
          <w:sz w:val="32"/>
          <w:szCs w:val="32"/>
          <w:lang w:val="en-US" w:eastAsia="zh-CN"/>
        </w:rPr>
        <w:t>近3</w:t>
      </w:r>
      <w:r>
        <w:rPr>
          <w:rFonts w:hint="eastAsia" w:ascii="仿宋_GB2312" w:hAnsi="仿宋_GB2312" w:eastAsia="仿宋_GB2312" w:cs="仿宋_GB2312"/>
          <w:sz w:val="32"/>
          <w:szCs w:val="32"/>
          <w:lang w:eastAsia="zh-CN"/>
        </w:rPr>
        <w:t>个月社保的证明材料，退休人员提供退休证及相关材料；</w:t>
      </w:r>
    </w:p>
    <w:p w14:paraId="6645B9A5">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5、服务承诺函（格式自拟，需对我方提出的需求做出承诺）；</w:t>
      </w:r>
    </w:p>
    <w:p w14:paraId="48D3B5E8">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6、报价单；</w:t>
      </w:r>
    </w:p>
    <w:p w14:paraId="50205FE8">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7、资格条件中的其</w:t>
      </w:r>
      <w:bookmarkStart w:id="0" w:name="_GoBack"/>
      <w:bookmarkEnd w:id="0"/>
      <w:r>
        <w:rPr>
          <w:rFonts w:hint="eastAsia" w:ascii="仿宋_GB2312" w:hAnsi="仿宋_GB2312" w:eastAsia="仿宋_GB2312" w:cs="仿宋_GB2312"/>
          <w:sz w:val="32"/>
          <w:szCs w:val="32"/>
          <w:lang w:val="en-US" w:eastAsia="zh-CN"/>
        </w:rPr>
        <w:t>他资料（如有）。</w:t>
      </w:r>
    </w:p>
    <w:p w14:paraId="54314763">
      <w:pPr>
        <w:pageBreakBefore w:val="0"/>
        <w:widowControl w:val="0"/>
        <w:numPr>
          <w:ilvl w:val="0"/>
          <w:numId w:val="0"/>
        </w:numPr>
        <w:tabs>
          <w:tab w:val="left" w:pos="8217"/>
        </w:tabs>
        <w:kinsoku/>
        <w:wordWrap/>
        <w:overflowPunct/>
        <w:topLinePunct w:val="0"/>
        <w:autoSpaceDE/>
        <w:autoSpaceDN/>
        <w:bidi w:val="0"/>
        <w:spacing w:line="560" w:lineRule="exact"/>
        <w:ind w:firstLine="624" w:firstLineChars="200"/>
        <w:textAlignment w:val="auto"/>
        <w:rPr>
          <w:rFonts w:ascii="黑体" w:hAnsi="黑体" w:eastAsia="黑体" w:cs="黑体"/>
          <w:sz w:val="32"/>
          <w:szCs w:val="32"/>
        </w:rPr>
      </w:pPr>
      <w:r>
        <w:rPr>
          <w:rFonts w:hint="eastAsia" w:ascii="黑体" w:hAnsi="黑体" w:eastAsia="黑体" w:cs="黑体"/>
          <w:sz w:val="32"/>
          <w:szCs w:val="32"/>
          <w:lang w:val="en-US" w:eastAsia="zh-CN"/>
        </w:rPr>
        <w:t>八、</w:t>
      </w:r>
      <w:r>
        <w:rPr>
          <w:rFonts w:hint="eastAsia" w:ascii="黑体" w:hAnsi="黑体" w:eastAsia="黑体" w:cs="黑体"/>
          <w:sz w:val="32"/>
          <w:szCs w:val="32"/>
        </w:rPr>
        <w:t>采购人信息</w:t>
      </w:r>
    </w:p>
    <w:p w14:paraId="1F59920E">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（1）采购单位：</w:t>
      </w:r>
      <w:r>
        <w:rPr>
          <w:rFonts w:hint="eastAsia" w:ascii="仿宋_GB2312" w:hAnsi="仿宋_GB2312" w:eastAsia="仿宋_GB2312" w:cs="仿宋_GB2312"/>
          <w:sz w:val="32"/>
          <w:szCs w:val="32"/>
          <w:lang w:val="en-US" w:eastAsia="zh-CN"/>
        </w:rPr>
        <w:t>南县财政局财政投资评审中心</w:t>
      </w:r>
      <w:r>
        <w:rPr>
          <w:rFonts w:hint="eastAsia" w:ascii="仿宋_GB2312" w:hAnsi="仿宋_GB2312" w:eastAsia="仿宋_GB2312" w:cs="仿宋_GB2312"/>
          <w:sz w:val="32"/>
          <w:szCs w:val="32"/>
        </w:rPr>
        <w:t xml:space="preserve">                            </w:t>
      </w:r>
    </w:p>
    <w:p w14:paraId="682FE44A">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（2）采购单位地址：</w:t>
      </w:r>
      <w:r>
        <w:rPr>
          <w:rFonts w:hint="eastAsia" w:ascii="仿宋_GB2312" w:hAnsi="仿宋_GB2312" w:eastAsia="仿宋_GB2312" w:cs="仿宋_GB2312"/>
          <w:sz w:val="32"/>
          <w:szCs w:val="32"/>
          <w:lang w:val="en-US" w:eastAsia="zh-CN"/>
        </w:rPr>
        <w:t>湖南省益阳市南县振兴路1号</w:t>
      </w:r>
    </w:p>
    <w:p w14:paraId="061A6B95">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（3）联系人：</w:t>
      </w:r>
      <w:r>
        <w:rPr>
          <w:rFonts w:hint="eastAsia" w:ascii="仿宋_GB2312" w:hAnsi="仿宋_GB2312" w:eastAsia="仿宋_GB2312" w:cs="仿宋_GB2312"/>
          <w:sz w:val="32"/>
          <w:szCs w:val="32"/>
          <w:lang w:val="en-US" w:eastAsia="zh-CN"/>
        </w:rPr>
        <w:t>周女士</w:t>
      </w:r>
    </w:p>
    <w:p w14:paraId="23026309">
      <w:pPr>
        <w:pageBreakBefore w:val="0"/>
        <w:widowControl w:val="0"/>
        <w:tabs>
          <w:tab w:val="left" w:pos="8217"/>
        </w:tabs>
        <w:kinsoku/>
        <w:wordWrap/>
        <w:overflowPunct/>
        <w:topLinePunct w:val="0"/>
        <w:autoSpaceDE/>
        <w:autoSpaceDN/>
        <w:bidi w:val="0"/>
        <w:spacing w:line="560" w:lineRule="exact"/>
        <w:ind w:firstLine="624" w:firstLineChars="200"/>
        <w:textAlignment w:val="auto"/>
        <w:rPr>
          <w:rFonts w:hint="default" w:ascii="仿宋_GB2312" w:hAnsi="仿宋_GB2312" w:eastAsia="仿宋_GB2312" w:cs="仿宋_GB2312"/>
          <w:sz w:val="32"/>
          <w:szCs w:val="32"/>
          <w:lang w:val="en-US" w:eastAsia="zh-CN"/>
        </w:rPr>
        <w:sectPr>
          <w:headerReference r:id="rId3" w:type="default"/>
          <w:footerReference r:id="rId4" w:type="default"/>
          <w:pgSz w:w="11906" w:h="16838"/>
          <w:pgMar w:top="1156" w:right="1134" w:bottom="578" w:left="1134" w:header="851" w:footer="992" w:gutter="0"/>
          <w:pgNumType w:start="1"/>
          <w:cols w:space="720" w:num="1"/>
          <w:docGrid w:type="linesAndChars" w:linePitch="387" w:charSpace="-1661"/>
        </w:sectPr>
      </w:pPr>
      <w:r>
        <w:rPr>
          <w:rFonts w:hint="eastAsia" w:ascii="仿宋_GB2312" w:hAnsi="仿宋_GB2312" w:eastAsia="仿宋_GB2312" w:cs="仿宋_GB2312"/>
          <w:sz w:val="32"/>
          <w:szCs w:val="32"/>
        </w:rPr>
        <w:t>（4）联系电话：</w:t>
      </w:r>
      <w:r>
        <w:rPr>
          <w:rFonts w:hint="eastAsia" w:ascii="仿宋_GB2312" w:hAnsi="仿宋_GB2312" w:eastAsia="仿宋_GB2312" w:cs="仿宋_GB2312"/>
          <w:sz w:val="32"/>
          <w:szCs w:val="32"/>
          <w:lang w:val="en-US" w:eastAsia="zh-CN"/>
        </w:rPr>
        <w:t>0737-5781291</w:t>
      </w:r>
    </w:p>
    <w:p w14:paraId="0D65CF0A">
      <w:pPr>
        <w:pageBreakBefore w:val="0"/>
        <w:widowControl w:val="0"/>
        <w:kinsoku/>
        <w:wordWrap/>
        <w:overflowPunct/>
        <w:topLinePunct w:val="0"/>
        <w:autoSpaceDE/>
        <w:autoSpaceDN/>
        <w:bidi w:val="0"/>
        <w:spacing w:line="560" w:lineRule="exact"/>
        <w:textAlignment w:val="auto"/>
        <w:rPr>
          <w:rFonts w:ascii="宋体" w:hAnsi="宋体"/>
          <w:sz w:val="32"/>
          <w:szCs w:val="32"/>
        </w:rPr>
      </w:pPr>
      <w:r>
        <w:rPr>
          <w:rFonts w:hint="eastAsia" w:ascii="宋体" w:hAnsi="宋体"/>
          <w:sz w:val="32"/>
          <w:szCs w:val="32"/>
        </w:rPr>
        <w:t>附件</w:t>
      </w:r>
    </w:p>
    <w:p w14:paraId="6AA5B8A9">
      <w:pPr>
        <w:pageBreakBefore w:val="0"/>
        <w:widowControl w:val="0"/>
        <w:kinsoku/>
        <w:wordWrap/>
        <w:overflowPunct/>
        <w:topLinePunct w:val="0"/>
        <w:autoSpaceDE/>
        <w:autoSpaceDN/>
        <w:bidi w:val="0"/>
        <w:adjustRightInd w:val="0"/>
        <w:snapToGrid w:val="0"/>
        <w:spacing w:line="560" w:lineRule="exact"/>
        <w:jc w:val="center"/>
        <w:textAlignment w:val="auto"/>
        <w:rPr>
          <w:rFonts w:ascii="宋体" w:hAnsi="宋体" w:cs="黑体"/>
          <w:b/>
          <w:color w:val="000000"/>
          <w:sz w:val="32"/>
          <w:szCs w:val="32"/>
        </w:rPr>
      </w:pPr>
      <w:r>
        <w:rPr>
          <w:rFonts w:hint="eastAsia" w:ascii="宋体" w:hAnsi="宋体" w:cs="黑体"/>
          <w:b/>
          <w:sz w:val="32"/>
          <w:szCs w:val="32"/>
          <w:lang w:val="en-US" w:eastAsia="zh-CN"/>
        </w:rPr>
        <w:t xml:space="preserve"> </w:t>
      </w:r>
      <w:r>
        <w:rPr>
          <w:rFonts w:hint="eastAsia" w:ascii="宋体" w:hAnsi="宋体" w:cs="黑体"/>
          <w:b/>
          <w:sz w:val="32"/>
          <w:szCs w:val="32"/>
        </w:rPr>
        <w:t>报价一览表</w:t>
      </w:r>
    </w:p>
    <w:p w14:paraId="46746F51">
      <w:pPr>
        <w:pageBreakBefore w:val="0"/>
        <w:widowControl w:val="0"/>
        <w:kinsoku/>
        <w:wordWrap/>
        <w:overflowPunct/>
        <w:topLinePunct w:val="0"/>
        <w:autoSpaceDE/>
        <w:autoSpaceDN/>
        <w:bidi w:val="0"/>
        <w:adjustRightInd w:val="0"/>
        <w:snapToGrid w:val="0"/>
        <w:spacing w:line="560" w:lineRule="exact"/>
        <w:textAlignment w:val="auto"/>
        <w:rPr>
          <w:rFonts w:ascii="宋体" w:hAnsi="宋体"/>
          <w:color w:val="000000"/>
          <w:sz w:val="24"/>
        </w:rPr>
      </w:pPr>
    </w:p>
    <w:tbl>
      <w:tblPr>
        <w:tblStyle w:val="17"/>
        <w:tblW w:w="8811" w:type="dxa"/>
        <w:tblInd w:w="108"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709"/>
        <w:gridCol w:w="7102"/>
      </w:tblGrid>
      <w:tr w14:paraId="465FB47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50" w:hRule="atLeast"/>
        </w:trPr>
        <w:tc>
          <w:tcPr>
            <w:tcW w:w="1709" w:type="dxa"/>
            <w:tcBorders>
              <w:top w:val="double" w:color="auto" w:sz="4" w:space="0"/>
              <w:left w:val="double" w:color="auto" w:sz="4" w:space="0"/>
              <w:bottom w:val="single" w:color="auto" w:sz="6" w:space="0"/>
              <w:right w:val="single" w:color="auto" w:sz="6" w:space="0"/>
            </w:tcBorders>
            <w:vAlign w:val="center"/>
          </w:tcPr>
          <w:p w14:paraId="0A3FFB23">
            <w:pPr>
              <w:pageBreakBefore w:val="0"/>
              <w:widowControl w:val="0"/>
              <w:tabs>
                <w:tab w:val="left" w:pos="403"/>
                <w:tab w:val="center" w:pos="3781"/>
              </w:tabs>
              <w:kinsoku/>
              <w:wordWrap/>
              <w:overflowPunct/>
              <w:topLinePunct w:val="0"/>
              <w:autoSpaceDE/>
              <w:autoSpaceDN/>
              <w:bidi w:val="0"/>
              <w:spacing w:line="560" w:lineRule="exact"/>
              <w:ind w:right="-5206" w:rightChars="-2479" w:firstLine="240" w:firstLineChars="100"/>
              <w:textAlignment w:val="auto"/>
              <w:rPr>
                <w:rFonts w:ascii="宋体" w:hAnsi="宋体" w:cs="宋体"/>
                <w:color w:val="000000"/>
                <w:sz w:val="24"/>
                <w:szCs w:val="24"/>
              </w:rPr>
            </w:pPr>
            <w:r>
              <w:rPr>
                <w:rFonts w:hint="eastAsia" w:ascii="宋体" w:hAnsi="宋体" w:cs="宋体"/>
                <w:color w:val="000000"/>
                <w:sz w:val="24"/>
                <w:szCs w:val="24"/>
              </w:rPr>
              <w:t>项目名称</w:t>
            </w:r>
            <w:r>
              <w:rPr>
                <w:rFonts w:hint="eastAsia" w:ascii="宋体" w:hAnsi="宋体" w:cs="宋体"/>
                <w:color w:val="000000"/>
                <w:sz w:val="24"/>
                <w:szCs w:val="24"/>
              </w:rPr>
              <w:tab/>
            </w:r>
            <w:r>
              <w:rPr>
                <w:rFonts w:hint="eastAsia" w:ascii="宋体" w:hAnsi="宋体" w:cs="宋体"/>
                <w:color w:val="000000"/>
                <w:sz w:val="24"/>
                <w:szCs w:val="24"/>
              </w:rPr>
              <w:t>项目名称</w:t>
            </w:r>
          </w:p>
        </w:tc>
        <w:tc>
          <w:tcPr>
            <w:tcW w:w="7102" w:type="dxa"/>
            <w:tcBorders>
              <w:top w:val="double" w:color="auto" w:sz="4" w:space="0"/>
              <w:left w:val="single" w:color="auto" w:sz="6" w:space="0"/>
              <w:bottom w:val="single" w:color="auto" w:sz="6" w:space="0"/>
              <w:right w:val="double" w:color="auto" w:sz="4" w:space="0"/>
            </w:tcBorders>
            <w:vAlign w:val="center"/>
          </w:tcPr>
          <w:p w14:paraId="0710F742">
            <w:pPr>
              <w:pageBreakBefore w:val="0"/>
              <w:widowControl w:val="0"/>
              <w:kinsoku/>
              <w:wordWrap/>
              <w:overflowPunct/>
              <w:topLinePunct w:val="0"/>
              <w:autoSpaceDE/>
              <w:autoSpaceDN/>
              <w:bidi w:val="0"/>
              <w:spacing w:line="560" w:lineRule="exact"/>
              <w:jc w:val="center"/>
              <w:textAlignment w:val="auto"/>
              <w:rPr>
                <w:rFonts w:ascii="宋体" w:hAnsi="宋体" w:cs="宋体"/>
                <w:color w:val="000000"/>
                <w:sz w:val="24"/>
                <w:szCs w:val="24"/>
              </w:rPr>
            </w:pPr>
          </w:p>
        </w:tc>
      </w:tr>
      <w:tr w14:paraId="4BBCC48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730" w:hRule="atLeast"/>
        </w:trPr>
        <w:tc>
          <w:tcPr>
            <w:tcW w:w="1709" w:type="dxa"/>
            <w:tcBorders>
              <w:top w:val="single" w:color="auto" w:sz="6" w:space="0"/>
              <w:left w:val="double" w:color="auto" w:sz="4" w:space="0"/>
              <w:right w:val="single" w:color="auto" w:sz="6" w:space="0"/>
            </w:tcBorders>
            <w:vAlign w:val="center"/>
          </w:tcPr>
          <w:p w14:paraId="0BCA6589">
            <w:pPr>
              <w:pageBreakBefore w:val="0"/>
              <w:widowControl w:val="0"/>
              <w:kinsoku/>
              <w:wordWrap/>
              <w:overflowPunct/>
              <w:topLinePunct w:val="0"/>
              <w:autoSpaceDE/>
              <w:autoSpaceDN/>
              <w:bidi w:val="0"/>
              <w:spacing w:line="560" w:lineRule="exact"/>
              <w:jc w:val="center"/>
              <w:textAlignment w:val="auto"/>
              <w:rPr>
                <w:rFonts w:ascii="宋体" w:hAnsi="宋体" w:cs="宋体"/>
                <w:color w:val="000000"/>
                <w:sz w:val="24"/>
                <w:szCs w:val="24"/>
              </w:rPr>
            </w:pPr>
            <w:r>
              <w:rPr>
                <w:rFonts w:hint="eastAsia" w:ascii="宋体" w:hAnsi="宋体" w:cs="宋体"/>
                <w:color w:val="000000"/>
                <w:sz w:val="24"/>
                <w:szCs w:val="24"/>
                <w:lang w:eastAsia="zh-CN"/>
              </w:rPr>
              <w:t>项目</w:t>
            </w:r>
            <w:r>
              <w:rPr>
                <w:rFonts w:hint="eastAsia" w:ascii="宋体" w:hAnsi="宋体" w:cs="宋体"/>
                <w:color w:val="000000"/>
                <w:sz w:val="24"/>
                <w:szCs w:val="24"/>
              </w:rPr>
              <w:t>总报价</w:t>
            </w:r>
          </w:p>
        </w:tc>
        <w:tc>
          <w:tcPr>
            <w:tcW w:w="7102" w:type="dxa"/>
            <w:tcBorders>
              <w:top w:val="single" w:color="auto" w:sz="6" w:space="0"/>
              <w:left w:val="single" w:color="auto" w:sz="6" w:space="0"/>
              <w:bottom w:val="single" w:color="auto" w:sz="6" w:space="0"/>
              <w:right w:val="double" w:color="auto" w:sz="4" w:space="0"/>
            </w:tcBorders>
            <w:vAlign w:val="center"/>
          </w:tcPr>
          <w:p w14:paraId="4997296E">
            <w:pPr>
              <w:pageBreakBefore w:val="0"/>
              <w:widowControl w:val="0"/>
              <w:kinsoku/>
              <w:wordWrap/>
              <w:overflowPunct/>
              <w:topLinePunct w:val="0"/>
              <w:autoSpaceDE/>
              <w:autoSpaceDN/>
              <w:bidi w:val="0"/>
              <w:spacing w:line="560" w:lineRule="exact"/>
              <w:textAlignment w:val="auto"/>
              <w:rPr>
                <w:rFonts w:hint="eastAsia" w:ascii="宋体" w:hAnsi="宋体" w:cs="宋体"/>
                <w:color w:val="000000"/>
                <w:sz w:val="24"/>
                <w:szCs w:val="24"/>
              </w:rPr>
            </w:pPr>
          </w:p>
          <w:p w14:paraId="6E6A6126">
            <w:pPr>
              <w:pageBreakBefore w:val="0"/>
              <w:widowControl w:val="0"/>
              <w:kinsoku/>
              <w:wordWrap/>
              <w:overflowPunct/>
              <w:topLinePunct w:val="0"/>
              <w:autoSpaceDE/>
              <w:autoSpaceDN/>
              <w:bidi w:val="0"/>
              <w:spacing w:line="560" w:lineRule="exact"/>
              <w:textAlignment w:val="auto"/>
              <w:rPr>
                <w:rFonts w:hint="eastAsia" w:ascii="宋体" w:hAnsi="宋体" w:cs="宋体"/>
                <w:color w:val="000000"/>
                <w:sz w:val="24"/>
                <w:szCs w:val="24"/>
              </w:rPr>
            </w:pPr>
          </w:p>
          <w:p w14:paraId="1A47E9C7">
            <w:pPr>
              <w:pageBreakBefore w:val="0"/>
              <w:widowControl w:val="0"/>
              <w:kinsoku/>
              <w:wordWrap/>
              <w:overflowPunct/>
              <w:topLinePunct w:val="0"/>
              <w:autoSpaceDE/>
              <w:autoSpaceDN/>
              <w:bidi w:val="0"/>
              <w:spacing w:line="560" w:lineRule="exact"/>
              <w:textAlignment w:val="auto"/>
              <w:rPr>
                <w:rFonts w:hint="default" w:ascii="宋体" w:hAnsi="宋体" w:cs="宋体"/>
                <w:color w:val="000000"/>
                <w:sz w:val="24"/>
                <w:szCs w:val="24"/>
                <w:lang w:val="en-US" w:eastAsia="zh-CN"/>
              </w:rPr>
            </w:pPr>
            <w:r>
              <w:rPr>
                <w:rFonts w:hint="eastAsia" w:ascii="宋体" w:hAnsi="宋体" w:cs="宋体"/>
                <w:color w:val="000000"/>
                <w:sz w:val="24"/>
                <w:szCs w:val="24"/>
              </w:rPr>
              <w:t>大写：</w:t>
            </w:r>
            <w:r>
              <w:rPr>
                <w:rFonts w:hint="eastAsia" w:ascii="宋体" w:hAnsi="宋体" w:cs="宋体"/>
                <w:color w:val="000000"/>
                <w:sz w:val="24"/>
                <w:szCs w:val="24"/>
                <w:u w:val="single"/>
              </w:rPr>
              <w:t xml:space="preserve">       </w:t>
            </w:r>
            <w:r>
              <w:rPr>
                <w:rFonts w:hint="eastAsia" w:ascii="宋体" w:hAnsi="宋体" w:cs="宋体"/>
                <w:color w:val="000000"/>
                <w:sz w:val="24"/>
                <w:szCs w:val="24"/>
                <w:u w:val="single"/>
                <w:lang w:val="en-US" w:eastAsia="zh-CN"/>
              </w:rPr>
              <w:t xml:space="preserve">                   </w:t>
            </w:r>
            <w:r>
              <w:rPr>
                <w:rFonts w:hint="eastAsia" w:ascii="宋体" w:hAnsi="宋体" w:cs="宋体"/>
                <w:color w:val="000000"/>
                <w:sz w:val="24"/>
                <w:szCs w:val="24"/>
                <w:u w:val="single"/>
              </w:rPr>
              <w:t xml:space="preserve">            </w:t>
            </w:r>
            <w:r>
              <w:rPr>
                <w:rFonts w:hint="eastAsia" w:ascii="宋体" w:hAnsi="宋体" w:cs="宋体"/>
                <w:color w:val="000000"/>
                <w:sz w:val="24"/>
                <w:szCs w:val="24"/>
              </w:rPr>
              <w:t>元人民币</w:t>
            </w:r>
          </w:p>
          <w:p w14:paraId="531F8A15">
            <w:pPr>
              <w:pageBreakBefore w:val="0"/>
              <w:widowControl w:val="0"/>
              <w:kinsoku/>
              <w:wordWrap/>
              <w:overflowPunct/>
              <w:topLinePunct w:val="0"/>
              <w:autoSpaceDE/>
              <w:autoSpaceDN/>
              <w:bidi w:val="0"/>
              <w:spacing w:line="560" w:lineRule="exact"/>
              <w:textAlignment w:val="auto"/>
              <w:rPr>
                <w:rFonts w:hint="eastAsia" w:ascii="宋体" w:hAnsi="宋体" w:cs="宋体"/>
                <w:color w:val="000000"/>
                <w:sz w:val="24"/>
                <w:szCs w:val="24"/>
              </w:rPr>
            </w:pPr>
            <w:r>
              <w:rPr>
                <w:rFonts w:hint="eastAsia" w:ascii="宋体" w:hAnsi="宋体" w:cs="宋体"/>
                <w:color w:val="000000"/>
                <w:sz w:val="24"/>
                <w:szCs w:val="24"/>
              </w:rPr>
              <w:t>小写：</w:t>
            </w:r>
            <w:r>
              <w:rPr>
                <w:rFonts w:hint="eastAsia" w:ascii="宋体" w:hAnsi="宋体" w:cs="宋体"/>
                <w:color w:val="000000"/>
                <w:sz w:val="24"/>
                <w:szCs w:val="24"/>
                <w:u w:val="single"/>
              </w:rPr>
              <w:t xml:space="preserve">         </w:t>
            </w:r>
            <w:r>
              <w:rPr>
                <w:rFonts w:hint="eastAsia" w:ascii="宋体" w:hAnsi="宋体" w:cs="宋体"/>
                <w:color w:val="000000"/>
                <w:sz w:val="24"/>
                <w:szCs w:val="24"/>
                <w:u w:val="single"/>
                <w:lang w:val="en-US" w:eastAsia="zh-CN"/>
              </w:rPr>
              <w:t xml:space="preserve">                 </w:t>
            </w:r>
            <w:r>
              <w:rPr>
                <w:rFonts w:hint="eastAsia" w:ascii="宋体" w:hAnsi="宋体" w:cs="宋体"/>
                <w:color w:val="000000"/>
                <w:sz w:val="24"/>
                <w:szCs w:val="24"/>
                <w:u w:val="single"/>
              </w:rPr>
              <w:t xml:space="preserve">    </w:t>
            </w:r>
            <w:r>
              <w:rPr>
                <w:rFonts w:hint="eastAsia" w:ascii="宋体" w:hAnsi="宋体" w:cs="宋体"/>
                <w:color w:val="000000"/>
                <w:sz w:val="24"/>
                <w:szCs w:val="24"/>
                <w:u w:val="single"/>
                <w:lang w:val="en-US" w:eastAsia="zh-CN"/>
              </w:rPr>
              <w:t xml:space="preserve">  </w:t>
            </w:r>
            <w:r>
              <w:rPr>
                <w:rFonts w:hint="eastAsia" w:ascii="宋体" w:hAnsi="宋体" w:cs="宋体"/>
                <w:color w:val="000000"/>
                <w:sz w:val="24"/>
                <w:szCs w:val="24"/>
                <w:u w:val="single"/>
              </w:rPr>
              <w:t xml:space="preserve">      </w:t>
            </w:r>
            <w:r>
              <w:rPr>
                <w:rFonts w:hint="eastAsia" w:ascii="宋体" w:hAnsi="宋体" w:cs="宋体"/>
                <w:color w:val="000000"/>
                <w:sz w:val="24"/>
                <w:szCs w:val="24"/>
              </w:rPr>
              <w:t>元人民币</w:t>
            </w:r>
          </w:p>
          <w:p w14:paraId="4D590843">
            <w:pPr>
              <w:pageBreakBefore w:val="0"/>
              <w:widowControl w:val="0"/>
              <w:kinsoku/>
              <w:wordWrap/>
              <w:overflowPunct/>
              <w:topLinePunct w:val="0"/>
              <w:autoSpaceDE/>
              <w:autoSpaceDN/>
              <w:bidi w:val="0"/>
              <w:spacing w:line="560" w:lineRule="exact"/>
              <w:textAlignment w:val="auto"/>
              <w:rPr>
                <w:rFonts w:hint="default" w:ascii="宋体" w:hAnsi="宋体" w:eastAsia="宋体" w:cs="宋体"/>
                <w:color w:val="000000"/>
                <w:kern w:val="2"/>
                <w:sz w:val="24"/>
                <w:szCs w:val="24"/>
                <w:lang w:val="en-US" w:eastAsia="zh-CN" w:bidi="ar-SA"/>
              </w:rPr>
            </w:pPr>
            <w:r>
              <w:rPr>
                <w:rFonts w:hint="eastAsia" w:ascii="宋体" w:hAnsi="宋体" w:cs="宋体"/>
                <w:color w:val="000000"/>
                <w:kern w:val="2"/>
                <w:sz w:val="24"/>
                <w:szCs w:val="24"/>
                <w:lang w:val="en-US" w:eastAsia="zh-CN" w:bidi="ar-SA"/>
              </w:rPr>
              <w:t>报价已包含暂定</w:t>
            </w:r>
            <w:r>
              <w:rPr>
                <w:rFonts w:hint="eastAsia" w:ascii="宋体" w:hAnsi="宋体" w:eastAsia="宋体" w:cs="宋体"/>
                <w:color w:val="000000"/>
                <w:kern w:val="2"/>
                <w:sz w:val="24"/>
                <w:szCs w:val="24"/>
                <w:lang w:val="en-US" w:eastAsia="zh-CN" w:bidi="ar-SA"/>
              </w:rPr>
              <w:t>驻场费用</w:t>
            </w:r>
            <w:r>
              <w:rPr>
                <w:rFonts w:hint="eastAsia" w:ascii="宋体" w:hAnsi="宋体" w:cs="宋体"/>
                <w:color w:val="000000"/>
                <w:kern w:val="2"/>
                <w:sz w:val="24"/>
                <w:szCs w:val="24"/>
                <w:lang w:val="en-US" w:eastAsia="zh-CN" w:bidi="ar-SA"/>
              </w:rPr>
              <w:t>124800</w:t>
            </w:r>
            <w:r>
              <w:rPr>
                <w:rFonts w:hint="eastAsia" w:ascii="宋体" w:hAnsi="宋体" w:eastAsia="宋体" w:cs="宋体"/>
                <w:color w:val="000000"/>
                <w:kern w:val="2"/>
                <w:sz w:val="24"/>
                <w:szCs w:val="24"/>
                <w:lang w:val="en-US" w:eastAsia="zh-CN" w:bidi="ar-SA"/>
              </w:rPr>
              <w:t>元</w:t>
            </w:r>
            <w:r>
              <w:rPr>
                <w:rFonts w:hint="eastAsia" w:ascii="宋体" w:hAnsi="宋体" w:cs="宋体"/>
                <w:color w:val="000000"/>
                <w:kern w:val="2"/>
                <w:sz w:val="24"/>
                <w:szCs w:val="24"/>
                <w:lang w:val="en-US" w:eastAsia="zh-CN" w:bidi="ar-SA"/>
              </w:rPr>
              <w:t>，此部分具体按实际发生结算</w:t>
            </w:r>
            <w:r>
              <w:rPr>
                <w:rFonts w:hint="eastAsia" w:ascii="宋体" w:hAnsi="宋体" w:eastAsia="宋体" w:cs="宋体"/>
                <w:color w:val="000000"/>
                <w:kern w:val="2"/>
                <w:sz w:val="24"/>
                <w:szCs w:val="24"/>
                <w:lang w:val="en-US" w:eastAsia="zh-CN" w:bidi="ar-SA"/>
              </w:rPr>
              <w:t>。</w:t>
            </w:r>
          </w:p>
          <w:p w14:paraId="7A9B7624">
            <w:pPr>
              <w:pageBreakBefore w:val="0"/>
              <w:widowControl w:val="0"/>
              <w:kinsoku/>
              <w:wordWrap/>
              <w:overflowPunct/>
              <w:topLinePunct w:val="0"/>
              <w:autoSpaceDE/>
              <w:autoSpaceDN/>
              <w:bidi w:val="0"/>
              <w:spacing w:line="560" w:lineRule="exact"/>
              <w:textAlignment w:val="auto"/>
              <w:rPr>
                <w:rFonts w:hint="eastAsia" w:ascii="宋体" w:hAnsi="宋体" w:cs="宋体"/>
                <w:color w:val="000000"/>
                <w:sz w:val="24"/>
                <w:szCs w:val="24"/>
                <w:lang w:eastAsia="zh-CN"/>
              </w:rPr>
            </w:pPr>
          </w:p>
          <w:p w14:paraId="2934549C">
            <w:pPr>
              <w:pageBreakBefore w:val="0"/>
              <w:widowControl w:val="0"/>
              <w:kinsoku/>
              <w:wordWrap/>
              <w:overflowPunct/>
              <w:topLinePunct w:val="0"/>
              <w:autoSpaceDE/>
              <w:autoSpaceDN/>
              <w:bidi w:val="0"/>
              <w:spacing w:line="560" w:lineRule="exact"/>
              <w:textAlignment w:val="auto"/>
              <w:rPr>
                <w:rFonts w:hint="default" w:ascii="宋体" w:hAnsi="宋体" w:cs="宋体"/>
                <w:color w:val="000000"/>
                <w:sz w:val="24"/>
                <w:szCs w:val="24"/>
                <w:lang w:val="en-US"/>
              </w:rPr>
            </w:pPr>
          </w:p>
        </w:tc>
      </w:tr>
      <w:tr w14:paraId="64A2892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721" w:hRule="atLeast"/>
        </w:trPr>
        <w:tc>
          <w:tcPr>
            <w:tcW w:w="1709" w:type="dxa"/>
            <w:tcBorders>
              <w:top w:val="single" w:color="auto" w:sz="6" w:space="0"/>
              <w:left w:val="double" w:color="auto" w:sz="4" w:space="0"/>
              <w:bottom w:val="single" w:color="auto" w:sz="6" w:space="0"/>
              <w:right w:val="single" w:color="auto" w:sz="6" w:space="0"/>
            </w:tcBorders>
            <w:vAlign w:val="center"/>
          </w:tcPr>
          <w:p w14:paraId="5FD1D52E">
            <w:pPr>
              <w:pageBreakBefore w:val="0"/>
              <w:widowControl w:val="0"/>
              <w:kinsoku/>
              <w:wordWrap/>
              <w:overflowPunct/>
              <w:topLinePunct w:val="0"/>
              <w:autoSpaceDE/>
              <w:autoSpaceDN/>
              <w:bidi w:val="0"/>
              <w:spacing w:line="560" w:lineRule="exact"/>
              <w:jc w:val="center"/>
              <w:textAlignment w:val="auto"/>
              <w:rPr>
                <w:rFonts w:ascii="宋体" w:hAnsi="宋体" w:cs="宋体"/>
                <w:color w:val="000000"/>
                <w:sz w:val="24"/>
                <w:szCs w:val="24"/>
              </w:rPr>
            </w:pPr>
            <w:r>
              <w:rPr>
                <w:rFonts w:hint="eastAsia" w:ascii="宋体" w:hAnsi="宋体" w:cs="宋体"/>
                <w:color w:val="000000"/>
                <w:sz w:val="24"/>
                <w:szCs w:val="24"/>
              </w:rPr>
              <w:t>质量承诺</w:t>
            </w:r>
          </w:p>
        </w:tc>
        <w:tc>
          <w:tcPr>
            <w:tcW w:w="7102" w:type="dxa"/>
            <w:tcBorders>
              <w:top w:val="single" w:color="auto" w:sz="6" w:space="0"/>
              <w:left w:val="single" w:color="auto" w:sz="6" w:space="0"/>
              <w:bottom w:val="single" w:color="auto" w:sz="6" w:space="0"/>
              <w:right w:val="double" w:color="auto" w:sz="4" w:space="0"/>
            </w:tcBorders>
            <w:vAlign w:val="center"/>
          </w:tcPr>
          <w:p w14:paraId="7CDFC538">
            <w:pPr>
              <w:pageBreakBefore w:val="0"/>
              <w:widowControl w:val="0"/>
              <w:kinsoku/>
              <w:wordWrap/>
              <w:overflowPunct/>
              <w:topLinePunct w:val="0"/>
              <w:autoSpaceDE/>
              <w:autoSpaceDN/>
              <w:bidi w:val="0"/>
              <w:spacing w:line="560" w:lineRule="exact"/>
              <w:textAlignment w:val="auto"/>
              <w:rPr>
                <w:rFonts w:hint="default" w:ascii="宋体" w:hAnsi="宋体" w:eastAsia="宋体" w:cs="宋体"/>
                <w:color w:val="000000"/>
                <w:sz w:val="24"/>
                <w:szCs w:val="24"/>
                <w:lang w:val="en-US" w:eastAsia="zh-CN"/>
              </w:rPr>
            </w:pPr>
            <w:r>
              <w:rPr>
                <w:rFonts w:hint="eastAsia" w:ascii="宋体" w:hAnsi="宋体" w:cs="宋体"/>
                <w:color w:val="000000"/>
                <w:sz w:val="24"/>
                <w:szCs w:val="24"/>
                <w:lang w:val="en-US" w:eastAsia="zh-CN"/>
              </w:rPr>
              <w:t>客观公正出具审核报告。</w:t>
            </w:r>
          </w:p>
        </w:tc>
      </w:tr>
      <w:tr w14:paraId="7CE32A3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18" w:hRule="atLeast"/>
        </w:trPr>
        <w:tc>
          <w:tcPr>
            <w:tcW w:w="1709" w:type="dxa"/>
            <w:tcBorders>
              <w:top w:val="single" w:color="auto" w:sz="6" w:space="0"/>
              <w:left w:val="double" w:color="auto" w:sz="4" w:space="0"/>
              <w:bottom w:val="single" w:color="auto" w:sz="6" w:space="0"/>
              <w:right w:val="single" w:color="auto" w:sz="6" w:space="0"/>
            </w:tcBorders>
            <w:vAlign w:val="center"/>
          </w:tcPr>
          <w:p w14:paraId="48F58036">
            <w:pPr>
              <w:pageBreakBefore w:val="0"/>
              <w:widowControl w:val="0"/>
              <w:kinsoku/>
              <w:wordWrap/>
              <w:overflowPunct/>
              <w:topLinePunct w:val="0"/>
              <w:autoSpaceDE/>
              <w:autoSpaceDN/>
              <w:bidi w:val="0"/>
              <w:spacing w:line="560" w:lineRule="exact"/>
              <w:jc w:val="center"/>
              <w:textAlignment w:val="auto"/>
              <w:rPr>
                <w:rFonts w:ascii="宋体" w:hAnsi="宋体" w:cs="宋体"/>
                <w:color w:val="000000"/>
                <w:sz w:val="24"/>
                <w:szCs w:val="24"/>
              </w:rPr>
            </w:pPr>
            <w:r>
              <w:rPr>
                <w:rFonts w:hint="eastAsia" w:ascii="宋体" w:hAnsi="宋体" w:cs="宋体"/>
                <w:color w:val="000000"/>
                <w:sz w:val="24"/>
                <w:szCs w:val="24"/>
              </w:rPr>
              <w:t>项目负责人</w:t>
            </w:r>
          </w:p>
        </w:tc>
        <w:tc>
          <w:tcPr>
            <w:tcW w:w="7102" w:type="dxa"/>
            <w:tcBorders>
              <w:top w:val="single" w:color="auto" w:sz="6" w:space="0"/>
              <w:left w:val="single" w:color="auto" w:sz="6" w:space="0"/>
              <w:bottom w:val="single" w:color="auto" w:sz="6" w:space="0"/>
              <w:right w:val="double" w:color="auto" w:sz="4" w:space="0"/>
            </w:tcBorders>
            <w:vAlign w:val="center"/>
          </w:tcPr>
          <w:p w14:paraId="47F307E9">
            <w:pPr>
              <w:pageBreakBefore w:val="0"/>
              <w:widowControl w:val="0"/>
              <w:kinsoku/>
              <w:wordWrap/>
              <w:overflowPunct/>
              <w:topLinePunct w:val="0"/>
              <w:autoSpaceDE/>
              <w:autoSpaceDN/>
              <w:bidi w:val="0"/>
              <w:spacing w:line="560" w:lineRule="exact"/>
              <w:ind w:firstLine="240" w:firstLineChars="100"/>
              <w:textAlignment w:val="auto"/>
              <w:rPr>
                <w:rFonts w:ascii="宋体" w:hAnsi="宋体" w:cs="宋体"/>
                <w:color w:val="000000"/>
                <w:sz w:val="24"/>
                <w:szCs w:val="24"/>
              </w:rPr>
            </w:pPr>
          </w:p>
        </w:tc>
      </w:tr>
      <w:tr w14:paraId="0890D42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85" w:hRule="atLeast"/>
        </w:trPr>
        <w:tc>
          <w:tcPr>
            <w:tcW w:w="1709" w:type="dxa"/>
            <w:tcBorders>
              <w:top w:val="single" w:color="auto" w:sz="6" w:space="0"/>
              <w:left w:val="double" w:color="auto" w:sz="4" w:space="0"/>
              <w:bottom w:val="double" w:color="auto" w:sz="4" w:space="0"/>
              <w:right w:val="single" w:color="auto" w:sz="6" w:space="0"/>
            </w:tcBorders>
            <w:vAlign w:val="center"/>
          </w:tcPr>
          <w:p w14:paraId="7397B12A">
            <w:pPr>
              <w:pageBreakBefore w:val="0"/>
              <w:widowControl w:val="0"/>
              <w:kinsoku/>
              <w:wordWrap/>
              <w:overflowPunct/>
              <w:topLinePunct w:val="0"/>
              <w:autoSpaceDE/>
              <w:autoSpaceDN/>
              <w:bidi w:val="0"/>
              <w:spacing w:line="560" w:lineRule="exact"/>
              <w:jc w:val="center"/>
              <w:textAlignment w:val="auto"/>
              <w:rPr>
                <w:rFonts w:ascii="宋体" w:hAnsi="宋体" w:cs="宋体"/>
                <w:color w:val="000000"/>
                <w:sz w:val="24"/>
                <w:szCs w:val="24"/>
              </w:rPr>
            </w:pPr>
            <w:r>
              <w:rPr>
                <w:rFonts w:hint="eastAsia" w:ascii="宋体" w:hAnsi="宋体" w:cs="宋体"/>
                <w:color w:val="000000"/>
                <w:sz w:val="24"/>
                <w:szCs w:val="24"/>
              </w:rPr>
              <w:t>备  注</w:t>
            </w:r>
          </w:p>
        </w:tc>
        <w:tc>
          <w:tcPr>
            <w:tcW w:w="7102" w:type="dxa"/>
            <w:tcBorders>
              <w:top w:val="single" w:color="auto" w:sz="6" w:space="0"/>
              <w:left w:val="single" w:color="auto" w:sz="6" w:space="0"/>
              <w:bottom w:val="double" w:color="auto" w:sz="4" w:space="0"/>
              <w:right w:val="double" w:color="auto" w:sz="4" w:space="0"/>
            </w:tcBorders>
            <w:vAlign w:val="center"/>
          </w:tcPr>
          <w:p w14:paraId="43F4CCF2">
            <w:pPr>
              <w:pageBreakBefore w:val="0"/>
              <w:widowControl w:val="0"/>
              <w:kinsoku/>
              <w:wordWrap/>
              <w:overflowPunct/>
              <w:topLinePunct w:val="0"/>
              <w:autoSpaceDE/>
              <w:autoSpaceDN/>
              <w:bidi w:val="0"/>
              <w:adjustRightInd w:val="0"/>
              <w:snapToGrid w:val="0"/>
              <w:spacing w:line="560" w:lineRule="exact"/>
              <w:textAlignment w:val="auto"/>
              <w:rPr>
                <w:rFonts w:ascii="宋体" w:hAnsi="宋体" w:cs="宋体"/>
                <w:color w:val="000000"/>
                <w:sz w:val="24"/>
                <w:szCs w:val="24"/>
              </w:rPr>
            </w:pPr>
          </w:p>
        </w:tc>
      </w:tr>
    </w:tbl>
    <w:p w14:paraId="78DCE7FE">
      <w:pPr>
        <w:pageBreakBefore w:val="0"/>
        <w:widowControl w:val="0"/>
        <w:kinsoku/>
        <w:wordWrap/>
        <w:overflowPunct/>
        <w:topLinePunct w:val="0"/>
        <w:autoSpaceDE/>
        <w:autoSpaceDN/>
        <w:bidi w:val="0"/>
        <w:adjustRightInd w:val="0"/>
        <w:snapToGrid w:val="0"/>
        <w:spacing w:line="560" w:lineRule="exact"/>
        <w:ind w:left="-88" w:leftChars="-42" w:firstLine="210" w:firstLineChars="100"/>
        <w:textAlignment w:val="auto"/>
        <w:rPr>
          <w:rFonts w:ascii="宋体" w:hAnsi="宋体" w:cs="宋体"/>
          <w:kern w:val="1"/>
          <w:szCs w:val="21"/>
        </w:rPr>
      </w:pPr>
    </w:p>
    <w:p w14:paraId="0CF22DA5">
      <w:pPr>
        <w:pageBreakBefore w:val="0"/>
        <w:widowControl w:val="0"/>
        <w:kinsoku/>
        <w:wordWrap/>
        <w:overflowPunct/>
        <w:topLinePunct w:val="0"/>
        <w:autoSpaceDE/>
        <w:autoSpaceDN/>
        <w:bidi w:val="0"/>
        <w:adjustRightInd w:val="0"/>
        <w:snapToGrid w:val="0"/>
        <w:spacing w:line="560" w:lineRule="exact"/>
        <w:textAlignment w:val="auto"/>
        <w:rPr>
          <w:rFonts w:hint="eastAsia" w:ascii="宋体" w:hAnsi="宋体" w:cs="宋体"/>
          <w:color w:val="000000"/>
          <w:sz w:val="28"/>
          <w:szCs w:val="28"/>
        </w:rPr>
      </w:pPr>
    </w:p>
    <w:p w14:paraId="12ED4EC0">
      <w:pPr>
        <w:pageBreakBefore w:val="0"/>
        <w:widowControl w:val="0"/>
        <w:kinsoku/>
        <w:wordWrap/>
        <w:overflowPunct/>
        <w:topLinePunct w:val="0"/>
        <w:autoSpaceDE/>
        <w:autoSpaceDN/>
        <w:bidi w:val="0"/>
        <w:adjustRightInd w:val="0"/>
        <w:snapToGrid w:val="0"/>
        <w:spacing w:line="560" w:lineRule="exact"/>
        <w:textAlignment w:val="auto"/>
      </w:pPr>
      <w:r>
        <w:rPr>
          <w:rFonts w:hint="eastAsia" w:ascii="宋体" w:hAnsi="宋体" w:cs="宋体"/>
          <w:color w:val="000000"/>
          <w:sz w:val="28"/>
          <w:szCs w:val="28"/>
        </w:rPr>
        <w:t>供应商（盖单位章）：</w:t>
      </w:r>
      <w:r>
        <w:rPr>
          <w:rFonts w:hint="eastAsia" w:ascii="宋体" w:hAnsi="宋体" w:cs="宋体"/>
          <w:color w:val="000000"/>
          <w:sz w:val="28"/>
          <w:szCs w:val="28"/>
          <w:u w:val="single"/>
        </w:rPr>
        <w:t xml:space="preserve">                     </w:t>
      </w:r>
    </w:p>
    <w:p w14:paraId="76E16D91">
      <w:pPr>
        <w:pageBreakBefore w:val="0"/>
        <w:widowControl w:val="0"/>
        <w:kinsoku/>
        <w:wordWrap/>
        <w:overflowPunct/>
        <w:topLinePunct w:val="0"/>
        <w:autoSpaceDE/>
        <w:autoSpaceDN/>
        <w:bidi w:val="0"/>
        <w:adjustRightInd w:val="0"/>
        <w:snapToGrid w:val="0"/>
        <w:spacing w:line="560" w:lineRule="exact"/>
        <w:textAlignment w:val="auto"/>
        <w:rPr>
          <w:rFonts w:hint="eastAsia" w:ascii="宋体" w:hAnsi="宋体" w:cs="宋体"/>
          <w:color w:val="000000"/>
          <w:sz w:val="28"/>
          <w:szCs w:val="28"/>
        </w:rPr>
      </w:pPr>
    </w:p>
    <w:p w14:paraId="789CD9DB">
      <w:pPr>
        <w:pageBreakBefore w:val="0"/>
        <w:widowControl w:val="0"/>
        <w:kinsoku/>
        <w:wordWrap/>
        <w:overflowPunct/>
        <w:topLinePunct w:val="0"/>
        <w:autoSpaceDE/>
        <w:autoSpaceDN/>
        <w:bidi w:val="0"/>
        <w:adjustRightInd w:val="0"/>
        <w:snapToGrid w:val="0"/>
        <w:spacing w:line="560" w:lineRule="exact"/>
        <w:textAlignment w:val="auto"/>
        <w:rPr>
          <w:rFonts w:ascii="宋体" w:hAnsi="宋体" w:cs="宋体"/>
          <w:color w:val="000000"/>
          <w:sz w:val="28"/>
          <w:szCs w:val="28"/>
        </w:rPr>
      </w:pPr>
      <w:r>
        <w:rPr>
          <w:rFonts w:hint="eastAsia" w:ascii="宋体" w:hAnsi="宋体" w:cs="宋体"/>
          <w:color w:val="000000"/>
          <w:sz w:val="28"/>
          <w:szCs w:val="28"/>
        </w:rPr>
        <w:t>法定代表人签字：</w:t>
      </w:r>
      <w:r>
        <w:rPr>
          <w:rFonts w:hint="eastAsia" w:ascii="宋体" w:hAnsi="宋体" w:cs="宋体"/>
          <w:color w:val="000000"/>
          <w:sz w:val="28"/>
          <w:szCs w:val="28"/>
          <w:lang w:val="en-US" w:eastAsia="zh-CN"/>
        </w:rPr>
        <w:t xml:space="preserve">   </w:t>
      </w:r>
      <w:r>
        <w:rPr>
          <w:rFonts w:hint="eastAsia" w:ascii="宋体" w:hAnsi="宋体" w:cs="宋体"/>
          <w:color w:val="000000"/>
          <w:sz w:val="28"/>
          <w:szCs w:val="28"/>
          <w:u w:val="single"/>
        </w:rPr>
        <w:t xml:space="preserve">      </w:t>
      </w:r>
      <w:r>
        <w:rPr>
          <w:rFonts w:hint="eastAsia" w:ascii="宋体" w:hAnsi="宋体" w:cs="宋体"/>
          <w:color w:val="000000"/>
          <w:sz w:val="28"/>
          <w:szCs w:val="28"/>
          <w:u w:val="single"/>
          <w:lang w:val="en-US" w:eastAsia="zh-CN"/>
        </w:rPr>
        <w:t xml:space="preserve">            </w:t>
      </w:r>
      <w:r>
        <w:rPr>
          <w:rFonts w:hint="eastAsia" w:ascii="宋体" w:hAnsi="宋体" w:cs="宋体"/>
          <w:color w:val="000000"/>
          <w:sz w:val="28"/>
          <w:szCs w:val="28"/>
          <w:u w:val="single"/>
        </w:rPr>
        <w:t xml:space="preserve">   </w:t>
      </w:r>
    </w:p>
    <w:p w14:paraId="0F68AF3D">
      <w:pPr>
        <w:pageBreakBefore w:val="0"/>
        <w:widowControl w:val="0"/>
        <w:kinsoku/>
        <w:wordWrap/>
        <w:overflowPunct/>
        <w:topLinePunct w:val="0"/>
        <w:autoSpaceDE/>
        <w:autoSpaceDN/>
        <w:bidi w:val="0"/>
        <w:spacing w:line="560" w:lineRule="exact"/>
        <w:textAlignment w:val="auto"/>
        <w:rPr>
          <w:color w:val="000000" w:themeColor="text1"/>
          <w14:textFill>
            <w14:solidFill>
              <w14:schemeClr w14:val="tx1"/>
            </w14:solidFill>
          </w14:textFill>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2D29C6">
    <w:pPr>
      <w:pStyle w:val="11"/>
      <w:ind w:right="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3F617A">
                          <w:pPr>
                            <w:pStyle w:val="11"/>
                            <w:rPr>
                              <w:rStyle w:val="19"/>
                            </w:rPr>
                          </w:pPr>
                          <w:r>
                            <w:rPr>
                              <w:rStyle w:val="19"/>
                            </w:rPr>
                            <w:fldChar w:fldCharType="begin"/>
                          </w:r>
                          <w:r>
                            <w:rPr>
                              <w:rStyle w:val="19"/>
                            </w:rPr>
                            <w:instrText xml:space="preserve">PAGE  </w:instrText>
                          </w:r>
                          <w:r>
                            <w:rPr>
                              <w:rStyle w:val="19"/>
                            </w:rPr>
                            <w:fldChar w:fldCharType="separate"/>
                          </w:r>
                          <w:r>
                            <w:rPr>
                              <w:rStyle w:val="19"/>
                            </w:rPr>
                            <w:t>4</w:t>
                          </w:r>
                          <w:r>
                            <w:rPr>
                              <w:rStyle w:val="19"/>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7E3F617A">
                    <w:pPr>
                      <w:pStyle w:val="11"/>
                      <w:rPr>
                        <w:rStyle w:val="19"/>
                      </w:rPr>
                    </w:pPr>
                    <w:r>
                      <w:rPr>
                        <w:rStyle w:val="19"/>
                      </w:rPr>
                      <w:fldChar w:fldCharType="begin"/>
                    </w:r>
                    <w:r>
                      <w:rPr>
                        <w:rStyle w:val="19"/>
                      </w:rPr>
                      <w:instrText xml:space="preserve">PAGE  </w:instrText>
                    </w:r>
                    <w:r>
                      <w:rPr>
                        <w:rStyle w:val="19"/>
                      </w:rPr>
                      <w:fldChar w:fldCharType="separate"/>
                    </w:r>
                    <w:r>
                      <w:rPr>
                        <w:rStyle w:val="19"/>
                      </w:rPr>
                      <w:t>4</w:t>
                    </w:r>
                    <w:r>
                      <w:rPr>
                        <w:rStyle w:val="19"/>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12A0A6">
    <w:pPr>
      <w:pStyle w:val="12"/>
      <w:pBdr>
        <w:bottom w:val="none" w:color="auto" w:sz="0" w:space="0"/>
      </w:pBdr>
      <w:jc w:val="both"/>
      <w:rPr>
        <w:rFonts w:ascii="宋体" w:hAnsi="宋体"/>
        <w:szCs w:val="1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RkZTZkOTBlZjY0YmMwMGVjYWU4OGRiZTYxZTYyY2UifQ=="/>
  </w:docVars>
  <w:rsids>
    <w:rsidRoot w:val="3AA14675"/>
    <w:rsid w:val="0001505D"/>
    <w:rsid w:val="00024AC7"/>
    <w:rsid w:val="00026AD5"/>
    <w:rsid w:val="00046B10"/>
    <w:rsid w:val="00071369"/>
    <w:rsid w:val="000A715A"/>
    <w:rsid w:val="000B358C"/>
    <w:rsid w:val="000D0A9C"/>
    <w:rsid w:val="000D1282"/>
    <w:rsid w:val="000D407D"/>
    <w:rsid w:val="000D5862"/>
    <w:rsid w:val="000E6CA4"/>
    <w:rsid w:val="000F06B0"/>
    <w:rsid w:val="000F61DE"/>
    <w:rsid w:val="00117E73"/>
    <w:rsid w:val="001340EE"/>
    <w:rsid w:val="00143399"/>
    <w:rsid w:val="00156BC3"/>
    <w:rsid w:val="00191969"/>
    <w:rsid w:val="001A6A9E"/>
    <w:rsid w:val="001B5D44"/>
    <w:rsid w:val="001D1406"/>
    <w:rsid w:val="001D4485"/>
    <w:rsid w:val="0022021E"/>
    <w:rsid w:val="00241A2C"/>
    <w:rsid w:val="00260A85"/>
    <w:rsid w:val="002A1441"/>
    <w:rsid w:val="002B077E"/>
    <w:rsid w:val="002B2634"/>
    <w:rsid w:val="002D2D3F"/>
    <w:rsid w:val="002E00A0"/>
    <w:rsid w:val="002E327C"/>
    <w:rsid w:val="002E72B7"/>
    <w:rsid w:val="002F1FA2"/>
    <w:rsid w:val="002F56E9"/>
    <w:rsid w:val="00312F35"/>
    <w:rsid w:val="00313B2D"/>
    <w:rsid w:val="00340040"/>
    <w:rsid w:val="003968CB"/>
    <w:rsid w:val="003A05D9"/>
    <w:rsid w:val="003A53BA"/>
    <w:rsid w:val="003B617A"/>
    <w:rsid w:val="003C34AD"/>
    <w:rsid w:val="003E475A"/>
    <w:rsid w:val="004219AD"/>
    <w:rsid w:val="00426D2D"/>
    <w:rsid w:val="00457CE7"/>
    <w:rsid w:val="00460B40"/>
    <w:rsid w:val="004644AB"/>
    <w:rsid w:val="00470465"/>
    <w:rsid w:val="00484916"/>
    <w:rsid w:val="00484E68"/>
    <w:rsid w:val="00487EBE"/>
    <w:rsid w:val="004B5AA7"/>
    <w:rsid w:val="004C28E7"/>
    <w:rsid w:val="004D72FF"/>
    <w:rsid w:val="004F6399"/>
    <w:rsid w:val="005042E4"/>
    <w:rsid w:val="00504C66"/>
    <w:rsid w:val="00505118"/>
    <w:rsid w:val="0052125B"/>
    <w:rsid w:val="005642D2"/>
    <w:rsid w:val="00565D51"/>
    <w:rsid w:val="005E67CE"/>
    <w:rsid w:val="00607E39"/>
    <w:rsid w:val="006835DC"/>
    <w:rsid w:val="006B2AEC"/>
    <w:rsid w:val="006F5CF8"/>
    <w:rsid w:val="00720BFE"/>
    <w:rsid w:val="007309DB"/>
    <w:rsid w:val="007347A4"/>
    <w:rsid w:val="0073545B"/>
    <w:rsid w:val="00735940"/>
    <w:rsid w:val="007468A2"/>
    <w:rsid w:val="00747DEC"/>
    <w:rsid w:val="007957B6"/>
    <w:rsid w:val="007C2FFD"/>
    <w:rsid w:val="007C7B66"/>
    <w:rsid w:val="007D0FFE"/>
    <w:rsid w:val="007D1719"/>
    <w:rsid w:val="007E173D"/>
    <w:rsid w:val="007F54DD"/>
    <w:rsid w:val="008213B1"/>
    <w:rsid w:val="00885993"/>
    <w:rsid w:val="008A1DDD"/>
    <w:rsid w:val="008A4BA0"/>
    <w:rsid w:val="008B65A0"/>
    <w:rsid w:val="008C281C"/>
    <w:rsid w:val="008C6F4C"/>
    <w:rsid w:val="008E60E2"/>
    <w:rsid w:val="008F0D64"/>
    <w:rsid w:val="008F5A53"/>
    <w:rsid w:val="008F7245"/>
    <w:rsid w:val="009131C0"/>
    <w:rsid w:val="009359DB"/>
    <w:rsid w:val="00947924"/>
    <w:rsid w:val="00962663"/>
    <w:rsid w:val="0098533C"/>
    <w:rsid w:val="009C6A3D"/>
    <w:rsid w:val="009D2DDC"/>
    <w:rsid w:val="009E24D3"/>
    <w:rsid w:val="009E48E5"/>
    <w:rsid w:val="009F04FA"/>
    <w:rsid w:val="00A80CEB"/>
    <w:rsid w:val="00A82D1B"/>
    <w:rsid w:val="00AC13CF"/>
    <w:rsid w:val="00AD7769"/>
    <w:rsid w:val="00AE6564"/>
    <w:rsid w:val="00B11F80"/>
    <w:rsid w:val="00B351AF"/>
    <w:rsid w:val="00B544BB"/>
    <w:rsid w:val="00B60B04"/>
    <w:rsid w:val="00B655AE"/>
    <w:rsid w:val="00B8155C"/>
    <w:rsid w:val="00B81C51"/>
    <w:rsid w:val="00B8313F"/>
    <w:rsid w:val="00B9595A"/>
    <w:rsid w:val="00BB73D8"/>
    <w:rsid w:val="00BF06E4"/>
    <w:rsid w:val="00BF26F0"/>
    <w:rsid w:val="00C02790"/>
    <w:rsid w:val="00C1039E"/>
    <w:rsid w:val="00C408BA"/>
    <w:rsid w:val="00C5245E"/>
    <w:rsid w:val="00C657CB"/>
    <w:rsid w:val="00C7442B"/>
    <w:rsid w:val="00C8513B"/>
    <w:rsid w:val="00C86C3E"/>
    <w:rsid w:val="00CA624B"/>
    <w:rsid w:val="00CA6324"/>
    <w:rsid w:val="00CE13F9"/>
    <w:rsid w:val="00D147C9"/>
    <w:rsid w:val="00D178FC"/>
    <w:rsid w:val="00D506EF"/>
    <w:rsid w:val="00DE09F9"/>
    <w:rsid w:val="00DE6AAB"/>
    <w:rsid w:val="00DE6F9A"/>
    <w:rsid w:val="00E251CC"/>
    <w:rsid w:val="00E47C8E"/>
    <w:rsid w:val="00E67216"/>
    <w:rsid w:val="00E72AD5"/>
    <w:rsid w:val="00E74B92"/>
    <w:rsid w:val="00EB2F0A"/>
    <w:rsid w:val="00EB6155"/>
    <w:rsid w:val="00EC03A2"/>
    <w:rsid w:val="00ED0FFF"/>
    <w:rsid w:val="00ED207C"/>
    <w:rsid w:val="00ED5207"/>
    <w:rsid w:val="00EF2754"/>
    <w:rsid w:val="00F13305"/>
    <w:rsid w:val="00F36F83"/>
    <w:rsid w:val="00F63887"/>
    <w:rsid w:val="00F72DAB"/>
    <w:rsid w:val="00F9441C"/>
    <w:rsid w:val="00FD397B"/>
    <w:rsid w:val="01347097"/>
    <w:rsid w:val="017646EC"/>
    <w:rsid w:val="01801587"/>
    <w:rsid w:val="019A68CE"/>
    <w:rsid w:val="02441F1E"/>
    <w:rsid w:val="02D21429"/>
    <w:rsid w:val="0394269F"/>
    <w:rsid w:val="039E2E37"/>
    <w:rsid w:val="055E6816"/>
    <w:rsid w:val="05CC30A2"/>
    <w:rsid w:val="05F65A8C"/>
    <w:rsid w:val="0604434F"/>
    <w:rsid w:val="066974B0"/>
    <w:rsid w:val="06A77624"/>
    <w:rsid w:val="06AC04EF"/>
    <w:rsid w:val="06C43221"/>
    <w:rsid w:val="079B38DC"/>
    <w:rsid w:val="07BF6F3F"/>
    <w:rsid w:val="08384801"/>
    <w:rsid w:val="08484B05"/>
    <w:rsid w:val="08C0017C"/>
    <w:rsid w:val="08F06A70"/>
    <w:rsid w:val="09055C34"/>
    <w:rsid w:val="094A4C61"/>
    <w:rsid w:val="0A155750"/>
    <w:rsid w:val="0AE94FC7"/>
    <w:rsid w:val="0B723DAC"/>
    <w:rsid w:val="0B745622"/>
    <w:rsid w:val="0B796442"/>
    <w:rsid w:val="0BD93FB2"/>
    <w:rsid w:val="0BEB6F66"/>
    <w:rsid w:val="0C3643F1"/>
    <w:rsid w:val="0C563109"/>
    <w:rsid w:val="0D8B0A48"/>
    <w:rsid w:val="0DBA3263"/>
    <w:rsid w:val="0E587F36"/>
    <w:rsid w:val="0E772D33"/>
    <w:rsid w:val="0E792541"/>
    <w:rsid w:val="0E8A4A1B"/>
    <w:rsid w:val="0ECB357B"/>
    <w:rsid w:val="0ECB47AD"/>
    <w:rsid w:val="0F5F1C21"/>
    <w:rsid w:val="104135F9"/>
    <w:rsid w:val="10996B57"/>
    <w:rsid w:val="10EF5A27"/>
    <w:rsid w:val="10F06D68"/>
    <w:rsid w:val="10F43CA3"/>
    <w:rsid w:val="117A6179"/>
    <w:rsid w:val="1287743E"/>
    <w:rsid w:val="131C5AD5"/>
    <w:rsid w:val="14275458"/>
    <w:rsid w:val="14445DAD"/>
    <w:rsid w:val="14A564F2"/>
    <w:rsid w:val="14C44CA4"/>
    <w:rsid w:val="153047EB"/>
    <w:rsid w:val="15C54AC9"/>
    <w:rsid w:val="17D82A95"/>
    <w:rsid w:val="17DB192E"/>
    <w:rsid w:val="182578BE"/>
    <w:rsid w:val="18257B17"/>
    <w:rsid w:val="18270379"/>
    <w:rsid w:val="182C215F"/>
    <w:rsid w:val="183A5F08"/>
    <w:rsid w:val="184574DC"/>
    <w:rsid w:val="185E41F7"/>
    <w:rsid w:val="18E13A4C"/>
    <w:rsid w:val="19150C64"/>
    <w:rsid w:val="1939597E"/>
    <w:rsid w:val="19FE57C8"/>
    <w:rsid w:val="1AD44DBB"/>
    <w:rsid w:val="1B351FAC"/>
    <w:rsid w:val="1C0178D2"/>
    <w:rsid w:val="1C3333E3"/>
    <w:rsid w:val="1C41355E"/>
    <w:rsid w:val="1C982A49"/>
    <w:rsid w:val="1CC161ED"/>
    <w:rsid w:val="1D6D1DF6"/>
    <w:rsid w:val="1DA8756D"/>
    <w:rsid w:val="1DE32193"/>
    <w:rsid w:val="1E0B3247"/>
    <w:rsid w:val="1E7C5866"/>
    <w:rsid w:val="1EA412B5"/>
    <w:rsid w:val="1F617814"/>
    <w:rsid w:val="1FEC62AF"/>
    <w:rsid w:val="1FF71F26"/>
    <w:rsid w:val="2098214F"/>
    <w:rsid w:val="20EE29A7"/>
    <w:rsid w:val="210973A1"/>
    <w:rsid w:val="2134282E"/>
    <w:rsid w:val="214C4235"/>
    <w:rsid w:val="21784C53"/>
    <w:rsid w:val="21954CAA"/>
    <w:rsid w:val="21B80032"/>
    <w:rsid w:val="227E0290"/>
    <w:rsid w:val="228E3FF5"/>
    <w:rsid w:val="22BB07B7"/>
    <w:rsid w:val="2316079C"/>
    <w:rsid w:val="23522158"/>
    <w:rsid w:val="23D044E8"/>
    <w:rsid w:val="24163B28"/>
    <w:rsid w:val="243A4F49"/>
    <w:rsid w:val="2444142A"/>
    <w:rsid w:val="24A170B0"/>
    <w:rsid w:val="2510454E"/>
    <w:rsid w:val="252B4F91"/>
    <w:rsid w:val="2565290C"/>
    <w:rsid w:val="25662D3C"/>
    <w:rsid w:val="25BD4AC8"/>
    <w:rsid w:val="25E9154E"/>
    <w:rsid w:val="261767A6"/>
    <w:rsid w:val="26E050DC"/>
    <w:rsid w:val="275A0046"/>
    <w:rsid w:val="27B5694E"/>
    <w:rsid w:val="282355CA"/>
    <w:rsid w:val="28960FD2"/>
    <w:rsid w:val="28B12D33"/>
    <w:rsid w:val="28B87F97"/>
    <w:rsid w:val="28E812BD"/>
    <w:rsid w:val="292E7D8D"/>
    <w:rsid w:val="299853BD"/>
    <w:rsid w:val="29A03B45"/>
    <w:rsid w:val="29F84683"/>
    <w:rsid w:val="2A236235"/>
    <w:rsid w:val="2AF712B8"/>
    <w:rsid w:val="2B133327"/>
    <w:rsid w:val="2B470661"/>
    <w:rsid w:val="2B4D00D1"/>
    <w:rsid w:val="2B6C37C8"/>
    <w:rsid w:val="2B80537F"/>
    <w:rsid w:val="2BF510AD"/>
    <w:rsid w:val="2C2F0132"/>
    <w:rsid w:val="2C735529"/>
    <w:rsid w:val="2DE67932"/>
    <w:rsid w:val="2F0D5799"/>
    <w:rsid w:val="2F1176A4"/>
    <w:rsid w:val="2F7E2814"/>
    <w:rsid w:val="307C210E"/>
    <w:rsid w:val="30B3525D"/>
    <w:rsid w:val="312945C7"/>
    <w:rsid w:val="315E0267"/>
    <w:rsid w:val="32093B89"/>
    <w:rsid w:val="322B70C2"/>
    <w:rsid w:val="32671CD8"/>
    <w:rsid w:val="32ED176D"/>
    <w:rsid w:val="330F0ECF"/>
    <w:rsid w:val="33150855"/>
    <w:rsid w:val="333040CD"/>
    <w:rsid w:val="33AE7CCA"/>
    <w:rsid w:val="33CA19D4"/>
    <w:rsid w:val="34F07218"/>
    <w:rsid w:val="351667CD"/>
    <w:rsid w:val="3547163C"/>
    <w:rsid w:val="354A2E3B"/>
    <w:rsid w:val="370F24E5"/>
    <w:rsid w:val="379B3176"/>
    <w:rsid w:val="37A028C9"/>
    <w:rsid w:val="37A30566"/>
    <w:rsid w:val="38044F8C"/>
    <w:rsid w:val="384C1ED2"/>
    <w:rsid w:val="3882575D"/>
    <w:rsid w:val="39164841"/>
    <w:rsid w:val="394E09B1"/>
    <w:rsid w:val="3A540EE9"/>
    <w:rsid w:val="3A900169"/>
    <w:rsid w:val="3A9E14C4"/>
    <w:rsid w:val="3AA14675"/>
    <w:rsid w:val="3AAB03F1"/>
    <w:rsid w:val="3AD431E0"/>
    <w:rsid w:val="3BB40108"/>
    <w:rsid w:val="3C6B5910"/>
    <w:rsid w:val="3C9E35BD"/>
    <w:rsid w:val="3D112A4F"/>
    <w:rsid w:val="3D467551"/>
    <w:rsid w:val="3E9F36C7"/>
    <w:rsid w:val="3EA47C25"/>
    <w:rsid w:val="3F4216E5"/>
    <w:rsid w:val="3F471164"/>
    <w:rsid w:val="3F6F5544"/>
    <w:rsid w:val="3F71589A"/>
    <w:rsid w:val="3F944257"/>
    <w:rsid w:val="40544864"/>
    <w:rsid w:val="40992C40"/>
    <w:rsid w:val="40D9324E"/>
    <w:rsid w:val="41663FF2"/>
    <w:rsid w:val="41C30357"/>
    <w:rsid w:val="426227C4"/>
    <w:rsid w:val="42A81132"/>
    <w:rsid w:val="42DD08F0"/>
    <w:rsid w:val="43015AAC"/>
    <w:rsid w:val="43130D96"/>
    <w:rsid w:val="43307508"/>
    <w:rsid w:val="443D5252"/>
    <w:rsid w:val="44451BD7"/>
    <w:rsid w:val="44973974"/>
    <w:rsid w:val="44A770C1"/>
    <w:rsid w:val="45445A66"/>
    <w:rsid w:val="45786C3A"/>
    <w:rsid w:val="459763A8"/>
    <w:rsid w:val="45BC58EE"/>
    <w:rsid w:val="46882B3D"/>
    <w:rsid w:val="468B5B8B"/>
    <w:rsid w:val="469B3FD9"/>
    <w:rsid w:val="46C97372"/>
    <w:rsid w:val="471928AE"/>
    <w:rsid w:val="472403D3"/>
    <w:rsid w:val="483209BB"/>
    <w:rsid w:val="4B2255C3"/>
    <w:rsid w:val="4B6362F4"/>
    <w:rsid w:val="4BB2196E"/>
    <w:rsid w:val="4BC7093E"/>
    <w:rsid w:val="4C20329E"/>
    <w:rsid w:val="4C2F45A2"/>
    <w:rsid w:val="4CED6FAB"/>
    <w:rsid w:val="4D3F76EC"/>
    <w:rsid w:val="4DC90DAC"/>
    <w:rsid w:val="4DCA6F6E"/>
    <w:rsid w:val="4DE223B6"/>
    <w:rsid w:val="4E1C5EBA"/>
    <w:rsid w:val="4E5A1E03"/>
    <w:rsid w:val="4EC73FED"/>
    <w:rsid w:val="4ED97A72"/>
    <w:rsid w:val="4F460732"/>
    <w:rsid w:val="4F6A2E5D"/>
    <w:rsid w:val="4FD6015F"/>
    <w:rsid w:val="50151DD1"/>
    <w:rsid w:val="50D75370"/>
    <w:rsid w:val="516B6EF2"/>
    <w:rsid w:val="51B73100"/>
    <w:rsid w:val="522904D0"/>
    <w:rsid w:val="52323085"/>
    <w:rsid w:val="52C55E45"/>
    <w:rsid w:val="535F0F48"/>
    <w:rsid w:val="53B55765"/>
    <w:rsid w:val="53CE4EF6"/>
    <w:rsid w:val="543842E0"/>
    <w:rsid w:val="55AA2337"/>
    <w:rsid w:val="55F62FD8"/>
    <w:rsid w:val="565821AC"/>
    <w:rsid w:val="56BA6619"/>
    <w:rsid w:val="577B42F5"/>
    <w:rsid w:val="57815A65"/>
    <w:rsid w:val="57C6249F"/>
    <w:rsid w:val="585F2663"/>
    <w:rsid w:val="58B305B4"/>
    <w:rsid w:val="58C55542"/>
    <w:rsid w:val="59066E9C"/>
    <w:rsid w:val="595B744C"/>
    <w:rsid w:val="5977280A"/>
    <w:rsid w:val="5B7E4CCE"/>
    <w:rsid w:val="5CD06125"/>
    <w:rsid w:val="5D482DEC"/>
    <w:rsid w:val="5D8017DC"/>
    <w:rsid w:val="5D812854"/>
    <w:rsid w:val="5DDD5A83"/>
    <w:rsid w:val="5F0410BE"/>
    <w:rsid w:val="5F3A6656"/>
    <w:rsid w:val="5F5D2E4C"/>
    <w:rsid w:val="60C5643B"/>
    <w:rsid w:val="60CF1B28"/>
    <w:rsid w:val="615436E0"/>
    <w:rsid w:val="6162769A"/>
    <w:rsid w:val="623642AE"/>
    <w:rsid w:val="62867592"/>
    <w:rsid w:val="63E47569"/>
    <w:rsid w:val="641C1EA3"/>
    <w:rsid w:val="645958B2"/>
    <w:rsid w:val="6492774D"/>
    <w:rsid w:val="64C5500C"/>
    <w:rsid w:val="64C84F19"/>
    <w:rsid w:val="65C93CA5"/>
    <w:rsid w:val="66023EEA"/>
    <w:rsid w:val="661D1C4C"/>
    <w:rsid w:val="66D47B24"/>
    <w:rsid w:val="670868AE"/>
    <w:rsid w:val="677E6253"/>
    <w:rsid w:val="68B32778"/>
    <w:rsid w:val="68FC0753"/>
    <w:rsid w:val="690031C6"/>
    <w:rsid w:val="693532B0"/>
    <w:rsid w:val="696F4F53"/>
    <w:rsid w:val="69A417CF"/>
    <w:rsid w:val="6AE8510B"/>
    <w:rsid w:val="6BD07EFC"/>
    <w:rsid w:val="6C3A079D"/>
    <w:rsid w:val="6CAD5413"/>
    <w:rsid w:val="6D1246D7"/>
    <w:rsid w:val="6D7A580F"/>
    <w:rsid w:val="6E647AAD"/>
    <w:rsid w:val="6F0461F9"/>
    <w:rsid w:val="6F0F1AC7"/>
    <w:rsid w:val="6F95569F"/>
    <w:rsid w:val="6F9F60CC"/>
    <w:rsid w:val="6FA82530"/>
    <w:rsid w:val="6FC26371"/>
    <w:rsid w:val="6FE6538B"/>
    <w:rsid w:val="6FE720D4"/>
    <w:rsid w:val="701429E7"/>
    <w:rsid w:val="709661BE"/>
    <w:rsid w:val="70A13D83"/>
    <w:rsid w:val="70BC5702"/>
    <w:rsid w:val="70F2351B"/>
    <w:rsid w:val="71AE4BAE"/>
    <w:rsid w:val="71B24EB9"/>
    <w:rsid w:val="72934980"/>
    <w:rsid w:val="73AF4FB5"/>
    <w:rsid w:val="744570C7"/>
    <w:rsid w:val="74F9360F"/>
    <w:rsid w:val="76690BBF"/>
    <w:rsid w:val="767F53B1"/>
    <w:rsid w:val="783E36BD"/>
    <w:rsid w:val="78482494"/>
    <w:rsid w:val="78797308"/>
    <w:rsid w:val="78B22ADC"/>
    <w:rsid w:val="78DF3332"/>
    <w:rsid w:val="78F844AB"/>
    <w:rsid w:val="792B7DEB"/>
    <w:rsid w:val="7951166F"/>
    <w:rsid w:val="79AE27CB"/>
    <w:rsid w:val="79BA2F1D"/>
    <w:rsid w:val="7A421DA2"/>
    <w:rsid w:val="7A440A39"/>
    <w:rsid w:val="7A625810"/>
    <w:rsid w:val="7B0B0A86"/>
    <w:rsid w:val="7B891E74"/>
    <w:rsid w:val="7BC57958"/>
    <w:rsid w:val="7C2A2EBC"/>
    <w:rsid w:val="7CB67092"/>
    <w:rsid w:val="7CC11902"/>
    <w:rsid w:val="7CD907D5"/>
    <w:rsid w:val="7D6A1735"/>
    <w:rsid w:val="7D8B75BF"/>
    <w:rsid w:val="7E90393D"/>
    <w:rsid w:val="7F0F40ED"/>
    <w:rsid w:val="7F616FE7"/>
    <w:rsid w:val="7F934716"/>
    <w:rsid w:val="7FD910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iPriority="39" w:semiHidden="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qFormat="1" w:unhideWhenUsed="0"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nhideWhenUsed="0" w:uiPriority="0" w:semiHidden="0" w:name="macro"/>
    <w:lsdException w:uiPriority="0" w:name="toa heading"/>
    <w:lsdException w:uiPriority="0" w:name="List"/>
    <w:lsdException w:unhideWhenUsed="0" w:uiPriority="0" w:semiHidden="0" w:name="List Bullet"/>
    <w:lsdException w:unhideWhenUsed="0" w:uiPriority="0" w:semiHidden="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99" w:semiHidden="0" w:name="Body Text"/>
    <w:lsdException w:qFormat="1" w:uiPriority="99" w:semiHidden="0" w:name="Body Text Indent"/>
    <w:lsdException w:uiPriority="0" w:name="List Continue"/>
    <w:lsdException w:uiPriority="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iPriority="99" w:semiHidden="0" w:name="Hyperlink"/>
    <w:lsdException w:uiPriority="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22"/>
    <w:qFormat/>
    <w:uiPriority w:val="0"/>
    <w:pPr>
      <w:keepNext/>
      <w:keepLines/>
      <w:spacing w:beforeLines="100" w:afterLines="100" w:line="360" w:lineRule="auto"/>
      <w:jc w:val="center"/>
      <w:outlineLvl w:val="0"/>
    </w:pPr>
    <w:rPr>
      <w:rFonts w:eastAsia="黑体"/>
      <w:kern w:val="44"/>
      <w:sz w:val="36"/>
    </w:rPr>
  </w:style>
  <w:style w:type="paragraph" w:styleId="3">
    <w:name w:val="heading 2"/>
    <w:basedOn w:val="1"/>
    <w:next w:val="1"/>
    <w:link w:val="23"/>
    <w:unhideWhenUsed/>
    <w:qFormat/>
    <w:uiPriority w:val="0"/>
    <w:pPr>
      <w:keepNext/>
      <w:keepLines/>
      <w:spacing w:before="260" w:after="260" w:line="413" w:lineRule="auto"/>
      <w:outlineLvl w:val="1"/>
    </w:pPr>
    <w:rPr>
      <w:rFonts w:ascii="Arial" w:hAnsi="Arial" w:eastAsia="黑体"/>
      <w:b/>
      <w:sz w:val="32"/>
    </w:rPr>
  </w:style>
  <w:style w:type="paragraph" w:styleId="4">
    <w:name w:val="heading 3"/>
    <w:basedOn w:val="1"/>
    <w:next w:val="1"/>
    <w:link w:val="29"/>
    <w:semiHidden/>
    <w:unhideWhenUsed/>
    <w:qFormat/>
    <w:uiPriority w:val="0"/>
    <w:pPr>
      <w:keepNext/>
      <w:keepLines/>
      <w:spacing w:before="260" w:after="260" w:line="416" w:lineRule="auto"/>
      <w:outlineLvl w:val="2"/>
    </w:pPr>
    <w:rPr>
      <w:b/>
      <w:bCs/>
      <w:sz w:val="32"/>
      <w:szCs w:val="32"/>
    </w:rPr>
  </w:style>
  <w:style w:type="character" w:default="1" w:styleId="18">
    <w:name w:val="Default Paragraph Font"/>
    <w:semiHidden/>
    <w:unhideWhenUsed/>
    <w:qFormat/>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styleId="5">
    <w:name w:val="Document Map"/>
    <w:basedOn w:val="1"/>
    <w:link w:val="25"/>
    <w:qFormat/>
    <w:uiPriority w:val="0"/>
    <w:rPr>
      <w:rFonts w:ascii="宋体"/>
      <w:sz w:val="18"/>
      <w:szCs w:val="18"/>
    </w:rPr>
  </w:style>
  <w:style w:type="paragraph" w:styleId="6">
    <w:name w:val="annotation text"/>
    <w:basedOn w:val="1"/>
    <w:link w:val="26"/>
    <w:semiHidden/>
    <w:qFormat/>
    <w:uiPriority w:val="0"/>
    <w:pPr>
      <w:jc w:val="left"/>
    </w:pPr>
    <w:rPr>
      <w:kern w:val="0"/>
      <w:sz w:val="20"/>
      <w:szCs w:val="24"/>
    </w:rPr>
  </w:style>
  <w:style w:type="paragraph" w:styleId="7">
    <w:name w:val="Body Text"/>
    <w:basedOn w:val="1"/>
    <w:next w:val="8"/>
    <w:qFormat/>
    <w:uiPriority w:val="99"/>
    <w:pPr>
      <w:spacing w:after="120"/>
    </w:pPr>
    <w:rPr>
      <w:rFonts w:ascii="Calibri" w:hAnsi="Calibri"/>
    </w:rPr>
  </w:style>
  <w:style w:type="paragraph" w:customStyle="1" w:styleId="8">
    <w:name w:val="正文首行缩进1"/>
    <w:basedOn w:val="1"/>
    <w:qFormat/>
    <w:uiPriority w:val="99"/>
    <w:pPr>
      <w:spacing w:after="120"/>
      <w:ind w:firstLine="420" w:firstLineChars="100"/>
    </w:pPr>
  </w:style>
  <w:style w:type="paragraph" w:styleId="9">
    <w:name w:val="Body Text Indent"/>
    <w:basedOn w:val="1"/>
    <w:unhideWhenUsed/>
    <w:qFormat/>
    <w:uiPriority w:val="99"/>
    <w:pPr>
      <w:ind w:left="540" w:leftChars="257" w:firstLine="20" w:firstLineChars="7"/>
    </w:pPr>
    <w:rPr>
      <w:sz w:val="28"/>
    </w:rPr>
  </w:style>
  <w:style w:type="paragraph" w:styleId="10">
    <w:name w:val="Date"/>
    <w:basedOn w:val="1"/>
    <w:next w:val="1"/>
    <w:link w:val="28"/>
    <w:qFormat/>
    <w:uiPriority w:val="0"/>
    <w:pPr>
      <w:ind w:left="100" w:leftChars="2500"/>
    </w:pPr>
    <w:rPr>
      <w:rFonts w:ascii="楷体_GB2312"/>
      <w:sz w:val="36"/>
    </w:rPr>
  </w:style>
  <w:style w:type="paragraph" w:styleId="11">
    <w:name w:val="footer"/>
    <w:basedOn w:val="1"/>
    <w:qFormat/>
    <w:uiPriority w:val="0"/>
    <w:pPr>
      <w:tabs>
        <w:tab w:val="center" w:pos="4153"/>
        <w:tab w:val="right" w:pos="8306"/>
      </w:tabs>
      <w:snapToGrid w:val="0"/>
      <w:jc w:val="left"/>
    </w:pPr>
    <w:rPr>
      <w:sz w:val="18"/>
    </w:rPr>
  </w:style>
  <w:style w:type="paragraph" w:styleId="12">
    <w:name w:val="header"/>
    <w:basedOn w:val="1"/>
    <w:qFormat/>
    <w:uiPriority w:val="0"/>
    <w:pPr>
      <w:pBdr>
        <w:bottom w:val="single" w:color="auto" w:sz="6" w:space="1"/>
      </w:pBdr>
      <w:tabs>
        <w:tab w:val="center" w:pos="4153"/>
        <w:tab w:val="right" w:pos="8306"/>
      </w:tabs>
      <w:snapToGrid w:val="0"/>
      <w:jc w:val="center"/>
    </w:pPr>
    <w:rPr>
      <w:sz w:val="18"/>
    </w:rPr>
  </w:style>
  <w:style w:type="paragraph" w:styleId="13">
    <w:name w:val="toc 1"/>
    <w:basedOn w:val="1"/>
    <w:next w:val="1"/>
    <w:link w:val="24"/>
    <w:qFormat/>
    <w:uiPriority w:val="39"/>
  </w:style>
  <w:style w:type="paragraph" w:styleId="14">
    <w:name w:val="toc 2"/>
    <w:basedOn w:val="1"/>
    <w:next w:val="1"/>
    <w:unhideWhenUsed/>
    <w:qFormat/>
    <w:uiPriority w:val="39"/>
    <w:pPr>
      <w:ind w:left="420" w:leftChars="200"/>
    </w:pPr>
  </w:style>
  <w:style w:type="paragraph" w:styleId="15">
    <w:name w:val="Body Text First Indent"/>
    <w:basedOn w:val="7"/>
    <w:next w:val="1"/>
    <w:qFormat/>
    <w:uiPriority w:val="0"/>
    <w:pPr>
      <w:ind w:firstLine="100" w:firstLineChars="100"/>
    </w:pPr>
  </w:style>
  <w:style w:type="paragraph" w:styleId="16">
    <w:name w:val="Body Text First Indent 2"/>
    <w:basedOn w:val="9"/>
    <w:qFormat/>
    <w:uiPriority w:val="0"/>
    <w:pPr>
      <w:autoSpaceDE w:val="0"/>
      <w:autoSpaceDN w:val="0"/>
      <w:adjustRightInd w:val="0"/>
      <w:ind w:firstLine="420"/>
      <w:jc w:val="left"/>
    </w:pPr>
    <w:rPr>
      <w:kern w:val="0"/>
    </w:rPr>
  </w:style>
  <w:style w:type="character" w:styleId="19">
    <w:name w:val="page number"/>
    <w:basedOn w:val="18"/>
    <w:qFormat/>
    <w:uiPriority w:val="0"/>
    <w:rPr>
      <w:rFonts w:ascii="Times New Roman" w:hAnsi="Times New Roman" w:eastAsia="宋体" w:cs="Times New Roman"/>
    </w:rPr>
  </w:style>
  <w:style w:type="character" w:styleId="20">
    <w:name w:val="Hyperlink"/>
    <w:basedOn w:val="18"/>
    <w:unhideWhenUsed/>
    <w:qFormat/>
    <w:uiPriority w:val="99"/>
    <w:rPr>
      <w:color w:val="0563C1" w:themeColor="hyperlink"/>
      <w:u w:val="single"/>
      <w14:textFill>
        <w14:solidFill>
          <w14:schemeClr w14:val="hlink"/>
        </w14:solidFill>
      </w14:textFill>
    </w:rPr>
  </w:style>
  <w:style w:type="paragraph" w:customStyle="1" w:styleId="21">
    <w:name w:val="列出段落112"/>
    <w:basedOn w:val="1"/>
    <w:qFormat/>
    <w:uiPriority w:val="99"/>
    <w:pPr>
      <w:ind w:firstLine="420" w:firstLineChars="200"/>
    </w:pPr>
  </w:style>
  <w:style w:type="character" w:customStyle="1" w:styleId="22">
    <w:name w:val="标题 1 Char"/>
    <w:link w:val="2"/>
    <w:qFormat/>
    <w:uiPriority w:val="0"/>
    <w:rPr>
      <w:rFonts w:ascii="Times New Roman" w:hAnsi="Times New Roman" w:eastAsia="黑体" w:cs="Times New Roman"/>
      <w:kern w:val="44"/>
      <w:sz w:val="36"/>
    </w:rPr>
  </w:style>
  <w:style w:type="character" w:customStyle="1" w:styleId="23">
    <w:name w:val="标题 2 Char"/>
    <w:link w:val="3"/>
    <w:qFormat/>
    <w:uiPriority w:val="0"/>
    <w:rPr>
      <w:rFonts w:ascii="Arial" w:hAnsi="Arial" w:eastAsia="黑体"/>
      <w:b/>
      <w:sz w:val="32"/>
    </w:rPr>
  </w:style>
  <w:style w:type="character" w:customStyle="1" w:styleId="24">
    <w:name w:val="目录 1 Char"/>
    <w:link w:val="13"/>
    <w:qFormat/>
    <w:uiPriority w:val="0"/>
    <w:rPr>
      <w:rFonts w:ascii="Times New Roman" w:hAnsi="Times New Roman" w:eastAsia="宋体" w:cs="Times New Roman"/>
    </w:rPr>
  </w:style>
  <w:style w:type="character" w:customStyle="1" w:styleId="25">
    <w:name w:val="文档结构图 Char"/>
    <w:basedOn w:val="18"/>
    <w:link w:val="5"/>
    <w:qFormat/>
    <w:uiPriority w:val="0"/>
    <w:rPr>
      <w:rFonts w:ascii="宋体"/>
      <w:kern w:val="2"/>
      <w:sz w:val="18"/>
      <w:szCs w:val="18"/>
    </w:rPr>
  </w:style>
  <w:style w:type="character" w:customStyle="1" w:styleId="26">
    <w:name w:val="批注文字 Char"/>
    <w:link w:val="6"/>
    <w:semiHidden/>
    <w:qFormat/>
    <w:uiPriority w:val="0"/>
    <w:rPr>
      <w:szCs w:val="24"/>
    </w:rPr>
  </w:style>
  <w:style w:type="character" w:customStyle="1" w:styleId="27">
    <w:name w:val="批注文字 字符"/>
    <w:basedOn w:val="18"/>
    <w:semiHidden/>
    <w:qFormat/>
    <w:uiPriority w:val="0"/>
    <w:rPr>
      <w:kern w:val="2"/>
      <w:sz w:val="21"/>
    </w:rPr>
  </w:style>
  <w:style w:type="character" w:customStyle="1" w:styleId="28">
    <w:name w:val="日期 Char"/>
    <w:link w:val="10"/>
    <w:qFormat/>
    <w:uiPriority w:val="0"/>
    <w:rPr>
      <w:rFonts w:ascii="楷体_GB2312"/>
      <w:kern w:val="2"/>
      <w:sz w:val="36"/>
    </w:rPr>
  </w:style>
  <w:style w:type="character" w:customStyle="1" w:styleId="29">
    <w:name w:val="标题 3 Char"/>
    <w:basedOn w:val="18"/>
    <w:link w:val="4"/>
    <w:semiHidden/>
    <w:qFormat/>
    <w:uiPriority w:val="0"/>
    <w:rPr>
      <w:b/>
      <w:bCs/>
      <w:kern w:val="2"/>
      <w:sz w:val="32"/>
      <w:szCs w:val="3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1E16CB5-E68C-4D5F-9F7A-50FA4013B9B8}">
  <ds:schemaRefs/>
</ds:datastoreItem>
</file>

<file path=docProps/app.xml><?xml version="1.0" encoding="utf-8"?>
<Properties xmlns="http://schemas.openxmlformats.org/officeDocument/2006/extended-properties" xmlns:vt="http://schemas.openxmlformats.org/officeDocument/2006/docPropsVTypes">
  <Template>Normal</Template>
  <Company>P R C</Company>
  <Pages>6</Pages>
  <Words>2906</Words>
  <Characters>3004</Characters>
  <Lines>15</Lines>
  <Paragraphs>4</Paragraphs>
  <TotalTime>16</TotalTime>
  <ScaleCrop>false</ScaleCrop>
  <LinksUpToDate>false</LinksUpToDate>
  <CharactersWithSpaces>3172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2022-02-16T01:15:00Z</dcterms:created>
  <dc:creator>蚂蚁</dc:creator>
  <cp:lastModifiedBy>隔壁家的老周</cp:lastModifiedBy>
  <cp:lastPrinted>2025-03-17T09:26:00Z</cp:lastPrinted>
  <dcterms:modified xsi:type="dcterms:W3CDTF">2025-03-17T10:16:08Z</dcterms:modified>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A67145F58B704F6C9556962A4DB4E5A2_13</vt:lpwstr>
  </property>
  <property fmtid="{D5CDD505-2E9C-101B-9397-08002B2CF9AE}" pid="4" name="KSOTemplateDocerSaveRecord">
    <vt:lpwstr>eyJoZGlkIjoiMTk2MzM2NzE2YjkwY2ZiNmU5MmE4YWZmYmNjOThlOWMiLCJ1c2VySWQiOiIyNzk2NTQxMzYifQ==</vt:lpwstr>
  </property>
</Properties>
</file>