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A7" w:rsidRPr="005F2DB8" w:rsidRDefault="005F2DB8" w:rsidP="005F2DB8">
      <w:pPr>
        <w:jc w:val="center"/>
        <w:rPr>
          <w:rFonts w:asciiTheme="minorEastAsia" w:hAnsiTheme="minorEastAsia"/>
          <w:b/>
          <w:sz w:val="32"/>
          <w:szCs w:val="32"/>
        </w:rPr>
      </w:pPr>
      <w:r w:rsidRPr="005F2DB8">
        <w:rPr>
          <w:rFonts w:asciiTheme="minorEastAsia" w:hAnsiTheme="minorEastAsia" w:hint="eastAsia"/>
          <w:b/>
          <w:sz w:val="32"/>
          <w:szCs w:val="32"/>
        </w:rPr>
        <w:t>常德职业技术学院202</w:t>
      </w:r>
      <w:r w:rsidR="00622E95">
        <w:rPr>
          <w:rFonts w:asciiTheme="minorEastAsia" w:hAnsiTheme="minorEastAsia" w:hint="eastAsia"/>
          <w:b/>
          <w:sz w:val="32"/>
          <w:szCs w:val="32"/>
        </w:rPr>
        <w:t>3</w:t>
      </w:r>
      <w:r w:rsidRPr="005F2DB8">
        <w:rPr>
          <w:rFonts w:asciiTheme="minorEastAsia" w:hAnsiTheme="minorEastAsia" w:hint="eastAsia"/>
          <w:b/>
          <w:sz w:val="32"/>
          <w:szCs w:val="32"/>
        </w:rPr>
        <w:t>年医学系学生听诊器采购</w:t>
      </w:r>
    </w:p>
    <w:tbl>
      <w:tblPr>
        <w:tblpPr w:leftFromText="180" w:rightFromText="180" w:vertAnchor="text" w:horzAnchor="margin" w:tblpY="58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790"/>
        <w:gridCol w:w="936"/>
        <w:gridCol w:w="1109"/>
      </w:tblGrid>
      <w:tr w:rsidR="00B25024" w:rsidRPr="00B25024" w:rsidTr="00927517">
        <w:trPr>
          <w:trHeight w:val="566"/>
        </w:trPr>
        <w:tc>
          <w:tcPr>
            <w:tcW w:w="5098" w:type="dxa"/>
            <w:shd w:val="clear" w:color="auto" w:fill="auto"/>
            <w:noWrap/>
            <w:vAlign w:val="center"/>
            <w:hideMark/>
          </w:tcPr>
          <w:p w:rsidR="00B25024" w:rsidRPr="00B25024" w:rsidRDefault="00B25024" w:rsidP="00B25024">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技术参数</w:t>
            </w:r>
          </w:p>
        </w:tc>
        <w:tc>
          <w:tcPr>
            <w:tcW w:w="851" w:type="dxa"/>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单位</w:t>
            </w:r>
          </w:p>
        </w:tc>
        <w:tc>
          <w:tcPr>
            <w:tcW w:w="790" w:type="dxa"/>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数量</w:t>
            </w:r>
          </w:p>
        </w:tc>
        <w:tc>
          <w:tcPr>
            <w:tcW w:w="936" w:type="dxa"/>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单价（元）</w:t>
            </w:r>
          </w:p>
        </w:tc>
        <w:tc>
          <w:tcPr>
            <w:tcW w:w="1109" w:type="dxa"/>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金额（元）</w:t>
            </w:r>
          </w:p>
        </w:tc>
      </w:tr>
      <w:tr w:rsidR="00B25024" w:rsidRPr="00B25024" w:rsidTr="00927517">
        <w:trPr>
          <w:trHeight w:val="312"/>
        </w:trPr>
        <w:tc>
          <w:tcPr>
            <w:tcW w:w="5098" w:type="dxa"/>
            <w:vMerge w:val="restart"/>
            <w:shd w:val="clear" w:color="auto" w:fill="auto"/>
            <w:vAlign w:val="center"/>
            <w:hideMark/>
          </w:tcPr>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品牌：富林T006.技术参数：</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1、听诊器的频响曲线符合下列要求：</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 xml:space="preserve">   在100～500Hz范围内，以测试声源为基准衰减不大于12dB；</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 xml:space="preserve">   在500～1000Hz范围内，以测试声源为基准衰减不大于20dB。</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2、耳环弹簧片的硬度在HR15N82.9～88.4范围内。</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3、耳环的弹力适宜，当二耳塞拉开相距140mm时，其弹力值在1.372～1.960N范围内。</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4、耳环的弹性良好，当二耳塞拉开相距300mm时，回复后其变形距离不大于10mm。</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5、扁形听诊头上的膜片不松动。</w:t>
            </w:r>
          </w:p>
          <w:p w:rsid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6、听诊器内腔无裂痕、砂眼、听诊器各部件的外形对称，无裂纹、凹陷和镀层脱落以及焊接处残留堆积现象。</w:t>
            </w:r>
          </w:p>
          <w:p w:rsidR="00B25024" w:rsidRPr="00B25024" w:rsidRDefault="00B25024" w:rsidP="00B25024">
            <w:pPr>
              <w:widowControl/>
              <w:jc w:val="left"/>
              <w:rPr>
                <w:rFonts w:ascii="宋体" w:eastAsia="宋体" w:hAnsi="宋体" w:cs="宋体"/>
                <w:kern w:val="0"/>
                <w:sz w:val="22"/>
              </w:rPr>
            </w:pPr>
            <w:r w:rsidRPr="00B25024">
              <w:rPr>
                <w:rFonts w:ascii="宋体" w:eastAsia="宋体" w:hAnsi="宋体" w:cs="宋体" w:hint="eastAsia"/>
                <w:kern w:val="0"/>
                <w:sz w:val="22"/>
              </w:rPr>
              <w:t>7、三通导管为聚氯乙烯管，外径为ф8.5±0.5mm，内径为ф50-0.20 mm。</w:t>
            </w:r>
          </w:p>
        </w:tc>
        <w:tc>
          <w:tcPr>
            <w:tcW w:w="851" w:type="dxa"/>
            <w:vMerge w:val="restart"/>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套</w:t>
            </w:r>
          </w:p>
        </w:tc>
        <w:tc>
          <w:tcPr>
            <w:tcW w:w="790" w:type="dxa"/>
            <w:vMerge w:val="restart"/>
            <w:shd w:val="clear" w:color="auto" w:fill="auto"/>
            <w:vAlign w:val="center"/>
            <w:hideMark/>
          </w:tcPr>
          <w:p w:rsidR="00B25024" w:rsidRPr="00B25024" w:rsidRDefault="00622E95" w:rsidP="00B25024">
            <w:pPr>
              <w:widowControl/>
              <w:jc w:val="center"/>
              <w:rPr>
                <w:rFonts w:ascii="宋体" w:eastAsia="宋体" w:hAnsi="宋体" w:cs="宋体"/>
                <w:kern w:val="0"/>
                <w:sz w:val="24"/>
                <w:szCs w:val="24"/>
              </w:rPr>
            </w:pPr>
            <w:r>
              <w:rPr>
                <w:rFonts w:ascii="宋体" w:eastAsia="宋体" w:hAnsi="宋体" w:cs="宋体" w:hint="eastAsia"/>
                <w:kern w:val="0"/>
                <w:sz w:val="24"/>
                <w:szCs w:val="24"/>
              </w:rPr>
              <w:t>629</w:t>
            </w:r>
          </w:p>
        </w:tc>
        <w:tc>
          <w:tcPr>
            <w:tcW w:w="936" w:type="dxa"/>
            <w:vMerge w:val="restart"/>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p>
        </w:tc>
        <w:tc>
          <w:tcPr>
            <w:tcW w:w="1109" w:type="dxa"/>
            <w:vMerge w:val="restart"/>
            <w:shd w:val="clear" w:color="auto" w:fill="auto"/>
            <w:vAlign w:val="center"/>
            <w:hideMark/>
          </w:tcPr>
          <w:p w:rsidR="00B25024" w:rsidRPr="00B25024" w:rsidRDefault="00B25024" w:rsidP="00B25024">
            <w:pPr>
              <w:widowControl/>
              <w:jc w:val="center"/>
              <w:rPr>
                <w:rFonts w:ascii="宋体" w:eastAsia="宋体" w:hAnsi="宋体" w:cs="宋体"/>
                <w:kern w:val="0"/>
                <w:sz w:val="24"/>
                <w:szCs w:val="24"/>
              </w:rPr>
            </w:pPr>
          </w:p>
        </w:tc>
      </w:tr>
      <w:tr w:rsidR="00927517" w:rsidRPr="00B25024" w:rsidTr="00927517">
        <w:trPr>
          <w:trHeight w:val="312"/>
        </w:trPr>
        <w:tc>
          <w:tcPr>
            <w:tcW w:w="5098" w:type="dxa"/>
            <w:vMerge/>
            <w:shd w:val="clear" w:color="auto" w:fill="auto"/>
            <w:vAlign w:val="center"/>
          </w:tcPr>
          <w:p w:rsidR="00927517" w:rsidRPr="00B25024" w:rsidRDefault="00927517" w:rsidP="00B25024">
            <w:pPr>
              <w:widowControl/>
              <w:jc w:val="left"/>
              <w:rPr>
                <w:rFonts w:ascii="宋体" w:eastAsia="宋体" w:hAnsi="宋体" w:cs="宋体"/>
                <w:kern w:val="0"/>
                <w:sz w:val="22"/>
              </w:rPr>
            </w:pPr>
          </w:p>
        </w:tc>
        <w:tc>
          <w:tcPr>
            <w:tcW w:w="851" w:type="dxa"/>
            <w:vMerge/>
            <w:shd w:val="clear" w:color="auto" w:fill="auto"/>
            <w:vAlign w:val="center"/>
          </w:tcPr>
          <w:p w:rsidR="00927517" w:rsidRPr="00B25024" w:rsidRDefault="00927517" w:rsidP="00B25024">
            <w:pPr>
              <w:widowControl/>
              <w:jc w:val="center"/>
              <w:rPr>
                <w:rFonts w:ascii="宋体" w:eastAsia="宋体" w:hAnsi="宋体" w:cs="宋体"/>
                <w:kern w:val="0"/>
                <w:sz w:val="24"/>
                <w:szCs w:val="24"/>
              </w:rPr>
            </w:pPr>
          </w:p>
        </w:tc>
        <w:tc>
          <w:tcPr>
            <w:tcW w:w="790" w:type="dxa"/>
            <w:vMerge/>
            <w:shd w:val="clear" w:color="auto" w:fill="auto"/>
            <w:vAlign w:val="center"/>
          </w:tcPr>
          <w:p w:rsidR="00927517" w:rsidRDefault="00927517" w:rsidP="00B25024">
            <w:pPr>
              <w:widowControl/>
              <w:jc w:val="center"/>
              <w:rPr>
                <w:rFonts w:ascii="宋体" w:eastAsia="宋体" w:hAnsi="宋体" w:cs="宋体"/>
                <w:kern w:val="0"/>
                <w:sz w:val="24"/>
                <w:szCs w:val="24"/>
              </w:rPr>
            </w:pPr>
          </w:p>
        </w:tc>
        <w:tc>
          <w:tcPr>
            <w:tcW w:w="936" w:type="dxa"/>
            <w:vMerge/>
            <w:shd w:val="clear" w:color="auto" w:fill="auto"/>
            <w:vAlign w:val="center"/>
          </w:tcPr>
          <w:p w:rsidR="00927517" w:rsidRPr="00B25024" w:rsidRDefault="00927517" w:rsidP="00B25024">
            <w:pPr>
              <w:widowControl/>
              <w:jc w:val="center"/>
              <w:rPr>
                <w:rFonts w:ascii="宋体" w:eastAsia="宋体" w:hAnsi="宋体" w:cs="宋体"/>
                <w:kern w:val="0"/>
                <w:sz w:val="24"/>
                <w:szCs w:val="24"/>
              </w:rPr>
            </w:pPr>
          </w:p>
        </w:tc>
        <w:tc>
          <w:tcPr>
            <w:tcW w:w="1109" w:type="dxa"/>
            <w:vMerge/>
            <w:shd w:val="clear" w:color="auto" w:fill="auto"/>
            <w:vAlign w:val="center"/>
          </w:tcPr>
          <w:p w:rsidR="00927517" w:rsidRPr="00B25024" w:rsidRDefault="00927517" w:rsidP="00B25024">
            <w:pPr>
              <w:widowControl/>
              <w:jc w:val="center"/>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2"/>
              </w:rPr>
            </w:pPr>
          </w:p>
        </w:tc>
        <w:tc>
          <w:tcPr>
            <w:tcW w:w="851"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790"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936"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1109" w:type="dxa"/>
            <w:vMerge/>
            <w:vAlign w:val="center"/>
            <w:hideMark/>
          </w:tcPr>
          <w:p w:rsidR="00B25024" w:rsidRPr="00B25024" w:rsidRDefault="00B25024" w:rsidP="00B25024">
            <w:pPr>
              <w:widowControl/>
              <w:jc w:val="left"/>
              <w:rPr>
                <w:rFonts w:ascii="宋体" w:eastAsia="宋体" w:hAnsi="宋体" w:cs="宋体"/>
                <w:kern w:val="0"/>
                <w:sz w:val="24"/>
                <w:szCs w:val="24"/>
              </w:rPr>
            </w:pPr>
          </w:p>
        </w:tc>
      </w:tr>
      <w:tr w:rsidR="00927517" w:rsidRPr="00B25024" w:rsidTr="00927517">
        <w:trPr>
          <w:trHeight w:val="312"/>
        </w:trPr>
        <w:tc>
          <w:tcPr>
            <w:tcW w:w="5098" w:type="dxa"/>
            <w:shd w:val="clear" w:color="auto" w:fill="auto"/>
            <w:vAlign w:val="center"/>
          </w:tcPr>
          <w:p w:rsidR="00927517" w:rsidRDefault="00927517" w:rsidP="00927517">
            <w:pPr>
              <w:widowControl/>
              <w:jc w:val="left"/>
              <w:rPr>
                <w:rFonts w:ascii="宋体" w:eastAsia="宋体" w:hAnsi="宋体" w:cs="宋体"/>
                <w:kern w:val="0"/>
                <w:sz w:val="22"/>
              </w:rPr>
            </w:pPr>
            <w:r w:rsidRPr="00B25024">
              <w:rPr>
                <w:rFonts w:ascii="宋体" w:eastAsia="宋体" w:hAnsi="宋体" w:cs="宋体" w:hint="eastAsia"/>
                <w:kern w:val="0"/>
                <w:sz w:val="22"/>
              </w:rPr>
              <w:t>品牌：</w:t>
            </w:r>
            <w:r w:rsidRPr="00927517">
              <w:rPr>
                <w:rFonts w:ascii="宋体" w:eastAsia="宋体" w:hAnsi="宋体" w:cs="宋体" w:hint="eastAsia"/>
                <w:kern w:val="0"/>
                <w:sz w:val="22"/>
              </w:rPr>
              <w:t>麦迪芬型号</w:t>
            </w:r>
            <w:r w:rsidRPr="00927517">
              <w:rPr>
                <w:rFonts w:ascii="宋体" w:eastAsia="宋体" w:hAnsi="宋体" w:cs="宋体"/>
                <w:kern w:val="0"/>
                <w:sz w:val="22"/>
              </w:rPr>
              <w:t>mdf767</w:t>
            </w:r>
            <w:r w:rsidRPr="00B25024">
              <w:rPr>
                <w:rFonts w:ascii="宋体" w:eastAsia="宋体" w:hAnsi="宋体" w:cs="宋体" w:hint="eastAsia"/>
                <w:kern w:val="0"/>
                <w:sz w:val="22"/>
              </w:rPr>
              <w:t>.技术参数：</w:t>
            </w:r>
            <w:r w:rsidRPr="00927517">
              <w:rPr>
                <w:rFonts w:ascii="宋体" w:eastAsia="宋体" w:hAnsi="宋体" w:cs="宋体" w:hint="eastAsia"/>
                <w:kern w:val="0"/>
                <w:sz w:val="22"/>
              </w:rPr>
              <w:t>听诊头：高</w:t>
            </w:r>
            <w:r w:rsidRPr="00927517">
              <w:rPr>
                <w:rFonts w:ascii="宋体" w:eastAsia="宋体" w:hAnsi="宋体" w:cs="宋体"/>
                <w:kern w:val="0"/>
                <w:sz w:val="22"/>
              </w:rPr>
              <w:t>35.5mm，大振动膜界面直径46mm，小振动膜界面直径31mm，大喇叭头界面直径33mm, 中喇叭头界面直径27mm,小喇叭头界面直径21mm.该听诊头由经单独加工的各个组件精确组装而成，并装配有转动灵活的双输出声学阀门杆。</w:t>
            </w:r>
            <w:r w:rsidRPr="00927517">
              <w:rPr>
                <w:rFonts w:ascii="宋体" w:eastAsia="宋体" w:hAnsi="宋体" w:cs="宋体" w:hint="eastAsia"/>
                <w:kern w:val="0"/>
                <w:sz w:val="22"/>
              </w:rPr>
              <w:t>精确的公差控制和阀门装置确保了阀杆的灵活旋转和声响的准确传输。该多功能听诊器的听头可在成人和小儿听诊界面间自由转换，同时配有大、中、小三种不同尺寸的碗型界面供更换以满足医学专家更为精确的听诊要求。</w:t>
            </w:r>
          </w:p>
          <w:p w:rsidR="00927517" w:rsidRPr="00927517" w:rsidRDefault="00927517" w:rsidP="00927517">
            <w:pPr>
              <w:widowControl/>
              <w:jc w:val="center"/>
              <w:rPr>
                <w:rFonts w:ascii="宋体" w:eastAsia="宋体" w:hAnsi="宋体" w:cs="宋体"/>
                <w:kern w:val="0"/>
                <w:sz w:val="24"/>
                <w:szCs w:val="24"/>
              </w:rPr>
            </w:pPr>
          </w:p>
        </w:tc>
        <w:tc>
          <w:tcPr>
            <w:tcW w:w="851" w:type="dxa"/>
            <w:shd w:val="clear" w:color="auto" w:fill="auto"/>
            <w:vAlign w:val="center"/>
          </w:tcPr>
          <w:p w:rsidR="00927517" w:rsidRPr="00B25024" w:rsidRDefault="00927517" w:rsidP="00927517">
            <w:pPr>
              <w:widowControl/>
              <w:jc w:val="center"/>
              <w:rPr>
                <w:rFonts w:ascii="宋体" w:eastAsia="宋体" w:hAnsi="宋体" w:cs="宋体"/>
                <w:kern w:val="0"/>
                <w:sz w:val="24"/>
                <w:szCs w:val="24"/>
              </w:rPr>
            </w:pPr>
            <w:r w:rsidRPr="00B25024">
              <w:rPr>
                <w:rFonts w:ascii="宋体" w:eastAsia="宋体" w:hAnsi="宋体" w:cs="宋体" w:hint="eastAsia"/>
                <w:kern w:val="0"/>
                <w:sz w:val="24"/>
                <w:szCs w:val="24"/>
              </w:rPr>
              <w:t>套</w:t>
            </w:r>
          </w:p>
        </w:tc>
        <w:tc>
          <w:tcPr>
            <w:tcW w:w="790" w:type="dxa"/>
            <w:shd w:val="clear" w:color="auto" w:fill="auto"/>
            <w:vAlign w:val="center"/>
          </w:tcPr>
          <w:p w:rsidR="00927517" w:rsidRPr="00B25024" w:rsidRDefault="00927517" w:rsidP="00927517">
            <w:pPr>
              <w:widowControl/>
              <w:jc w:val="center"/>
              <w:rPr>
                <w:rFonts w:ascii="宋体" w:eastAsia="宋体" w:hAnsi="宋体" w:cs="宋体"/>
                <w:kern w:val="0"/>
                <w:sz w:val="24"/>
                <w:szCs w:val="24"/>
              </w:rPr>
            </w:pPr>
            <w:r>
              <w:rPr>
                <w:rFonts w:ascii="宋体" w:eastAsia="宋体" w:hAnsi="宋体" w:cs="宋体" w:hint="eastAsia"/>
                <w:kern w:val="0"/>
                <w:sz w:val="24"/>
                <w:szCs w:val="24"/>
              </w:rPr>
              <w:t>629</w:t>
            </w:r>
          </w:p>
        </w:tc>
        <w:tc>
          <w:tcPr>
            <w:tcW w:w="936" w:type="dxa"/>
            <w:shd w:val="clear" w:color="auto" w:fill="auto"/>
            <w:vAlign w:val="center"/>
          </w:tcPr>
          <w:p w:rsidR="00927517" w:rsidRDefault="00927517" w:rsidP="00927517">
            <w:pPr>
              <w:widowControl/>
              <w:jc w:val="center"/>
              <w:rPr>
                <w:rFonts w:ascii="宋体" w:eastAsia="宋体" w:hAnsi="宋体" w:cs="宋体"/>
                <w:kern w:val="0"/>
                <w:sz w:val="24"/>
                <w:szCs w:val="24"/>
              </w:rPr>
            </w:pPr>
          </w:p>
        </w:tc>
        <w:tc>
          <w:tcPr>
            <w:tcW w:w="1109" w:type="dxa"/>
            <w:shd w:val="clear" w:color="auto" w:fill="auto"/>
            <w:vAlign w:val="center"/>
          </w:tcPr>
          <w:p w:rsidR="00927517" w:rsidRDefault="00927517" w:rsidP="00927517">
            <w:pPr>
              <w:widowControl/>
              <w:jc w:val="center"/>
              <w:rPr>
                <w:rFonts w:ascii="宋体" w:eastAsia="宋体" w:hAnsi="宋体" w:cs="宋体"/>
                <w:kern w:val="0"/>
                <w:sz w:val="24"/>
                <w:szCs w:val="24"/>
              </w:rPr>
            </w:pPr>
          </w:p>
        </w:tc>
      </w:tr>
      <w:tr w:rsidR="00B25024" w:rsidRPr="00B25024" w:rsidTr="00927517">
        <w:trPr>
          <w:trHeight w:val="312"/>
        </w:trPr>
        <w:tc>
          <w:tcPr>
            <w:tcW w:w="5098" w:type="dxa"/>
            <w:vMerge w:val="restart"/>
            <w:shd w:val="clear" w:color="auto" w:fill="auto"/>
            <w:vAlign w:val="center"/>
            <w:hideMark/>
          </w:tcPr>
          <w:p w:rsidR="00B25024" w:rsidRPr="00B25024" w:rsidRDefault="005F2DB8" w:rsidP="00B25024">
            <w:pPr>
              <w:widowControl/>
              <w:jc w:val="center"/>
              <w:rPr>
                <w:rFonts w:ascii="宋体" w:eastAsia="宋体" w:hAnsi="宋体" w:cs="宋体"/>
                <w:kern w:val="0"/>
                <w:sz w:val="24"/>
                <w:szCs w:val="24"/>
              </w:rPr>
            </w:pPr>
            <w:r>
              <w:rPr>
                <w:rFonts w:ascii="宋体" w:eastAsia="宋体" w:hAnsi="宋体" w:cs="宋体" w:hint="eastAsia"/>
                <w:kern w:val="0"/>
                <w:sz w:val="24"/>
                <w:szCs w:val="24"/>
              </w:rPr>
              <w:t>标底价格：</w:t>
            </w:r>
            <w:r w:rsidR="004832D8">
              <w:rPr>
                <w:rFonts w:ascii="宋体" w:eastAsia="宋体" w:hAnsi="宋体" w:cs="宋体" w:hint="eastAsia"/>
                <w:kern w:val="0"/>
                <w:sz w:val="24"/>
                <w:szCs w:val="24"/>
              </w:rPr>
              <w:t>(以上两个品牌任选其一)</w:t>
            </w:r>
          </w:p>
        </w:tc>
        <w:tc>
          <w:tcPr>
            <w:tcW w:w="3686" w:type="dxa"/>
            <w:gridSpan w:val="4"/>
            <w:vMerge w:val="restart"/>
            <w:shd w:val="clear" w:color="auto" w:fill="auto"/>
            <w:vAlign w:val="center"/>
            <w:hideMark/>
          </w:tcPr>
          <w:p w:rsidR="00B25024" w:rsidRPr="00B25024" w:rsidRDefault="00622E95" w:rsidP="00B25024">
            <w:pPr>
              <w:widowControl/>
              <w:jc w:val="center"/>
              <w:rPr>
                <w:rFonts w:ascii="宋体" w:eastAsia="宋体" w:hAnsi="宋体" w:cs="宋体"/>
                <w:kern w:val="0"/>
                <w:sz w:val="24"/>
                <w:szCs w:val="24"/>
              </w:rPr>
            </w:pPr>
            <w:r>
              <w:rPr>
                <w:rFonts w:ascii="宋体" w:eastAsia="宋体" w:hAnsi="宋体" w:cs="宋体" w:hint="eastAsia"/>
                <w:kern w:val="0"/>
                <w:sz w:val="24"/>
                <w:szCs w:val="24"/>
              </w:rPr>
              <w:t>38000</w:t>
            </w:r>
            <w:r w:rsidR="00B25024" w:rsidRPr="00B25024">
              <w:rPr>
                <w:rFonts w:ascii="宋体" w:eastAsia="宋体" w:hAnsi="宋体" w:cs="宋体" w:hint="eastAsia"/>
                <w:kern w:val="0"/>
                <w:sz w:val="24"/>
                <w:szCs w:val="24"/>
              </w:rPr>
              <w:t>元</w:t>
            </w:r>
          </w:p>
        </w:tc>
      </w:tr>
      <w:tr w:rsidR="00B25024" w:rsidRPr="00B25024" w:rsidTr="00927517">
        <w:trPr>
          <w:trHeight w:val="312"/>
        </w:trPr>
        <w:tc>
          <w:tcPr>
            <w:tcW w:w="5098" w:type="dxa"/>
            <w:vMerge/>
            <w:vAlign w:val="center"/>
            <w:hideMark/>
          </w:tcPr>
          <w:p w:rsidR="00B25024" w:rsidRPr="00B25024" w:rsidRDefault="00B25024" w:rsidP="00B25024">
            <w:pPr>
              <w:widowControl/>
              <w:jc w:val="left"/>
              <w:rPr>
                <w:rFonts w:ascii="宋体" w:eastAsia="宋体" w:hAnsi="宋体" w:cs="宋体"/>
                <w:kern w:val="0"/>
                <w:sz w:val="24"/>
                <w:szCs w:val="24"/>
              </w:rPr>
            </w:pPr>
          </w:p>
        </w:tc>
        <w:tc>
          <w:tcPr>
            <w:tcW w:w="3686" w:type="dxa"/>
            <w:gridSpan w:val="4"/>
            <w:vMerge/>
            <w:vAlign w:val="center"/>
            <w:hideMark/>
          </w:tcPr>
          <w:p w:rsidR="00B25024" w:rsidRPr="00B25024" w:rsidRDefault="00B25024" w:rsidP="00B25024">
            <w:pPr>
              <w:widowControl/>
              <w:jc w:val="left"/>
              <w:rPr>
                <w:rFonts w:ascii="宋体" w:eastAsia="宋体" w:hAnsi="宋体" w:cs="宋体"/>
                <w:kern w:val="0"/>
                <w:sz w:val="24"/>
                <w:szCs w:val="24"/>
              </w:rPr>
            </w:pPr>
          </w:p>
        </w:tc>
      </w:tr>
    </w:tbl>
    <w:p w:rsidR="003541AE" w:rsidRPr="003541AE" w:rsidRDefault="003541AE" w:rsidP="003541AE">
      <w:pPr>
        <w:jc w:val="left"/>
        <w:rPr>
          <w:rFonts w:ascii="宋体" w:eastAsia="宋体" w:hAnsi="宋体"/>
          <w:b/>
          <w:bCs/>
          <w:sz w:val="24"/>
          <w:szCs w:val="24"/>
        </w:rPr>
      </w:pPr>
      <w:r w:rsidRPr="003541AE">
        <w:rPr>
          <w:rFonts w:ascii="宋体" w:eastAsia="宋体" w:hAnsi="宋体" w:hint="eastAsia"/>
          <w:b/>
          <w:bCs/>
          <w:sz w:val="24"/>
          <w:szCs w:val="24"/>
        </w:rPr>
        <w:t>供货要求</w:t>
      </w:r>
      <w:r>
        <w:rPr>
          <w:rFonts w:ascii="宋体" w:eastAsia="宋体" w:hAnsi="宋体" w:hint="eastAsia"/>
          <w:b/>
          <w:bCs/>
          <w:sz w:val="24"/>
          <w:szCs w:val="24"/>
        </w:rPr>
        <w:t>：</w:t>
      </w:r>
    </w:p>
    <w:p w:rsidR="00BD33A7" w:rsidRPr="00BD33A7" w:rsidRDefault="00BD33A7" w:rsidP="00B25024">
      <w:pPr>
        <w:jc w:val="left"/>
        <w:rPr>
          <w:rFonts w:ascii="宋体" w:eastAsia="宋体" w:hAnsi="宋体"/>
          <w:sz w:val="24"/>
          <w:szCs w:val="24"/>
        </w:rPr>
      </w:pPr>
      <w:bookmarkStart w:id="0" w:name="_GoBack"/>
      <w:bookmarkEnd w:id="0"/>
    </w:p>
    <w:sectPr w:rsidR="00BD33A7" w:rsidRPr="00BD33A7" w:rsidSect="003541AE">
      <w:pgSz w:w="11906" w:h="16838"/>
      <w:pgMar w:top="1304" w:right="1797" w:bottom="107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F9" w:rsidRDefault="00A763F9" w:rsidP="00BD33A7">
      <w:r>
        <w:separator/>
      </w:r>
    </w:p>
  </w:endnote>
  <w:endnote w:type="continuationSeparator" w:id="0">
    <w:p w:rsidR="00A763F9" w:rsidRDefault="00A763F9" w:rsidP="00BD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F9" w:rsidRDefault="00A763F9" w:rsidP="00BD33A7">
      <w:r>
        <w:separator/>
      </w:r>
    </w:p>
  </w:footnote>
  <w:footnote w:type="continuationSeparator" w:id="0">
    <w:p w:rsidR="00A763F9" w:rsidRDefault="00A763F9" w:rsidP="00BD3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CD"/>
    <w:rsid w:val="00033965"/>
    <w:rsid w:val="00070E6B"/>
    <w:rsid w:val="000C5411"/>
    <w:rsid w:val="0011600F"/>
    <w:rsid w:val="00283805"/>
    <w:rsid w:val="003541AE"/>
    <w:rsid w:val="003C61C0"/>
    <w:rsid w:val="00440E30"/>
    <w:rsid w:val="00463A2F"/>
    <w:rsid w:val="004832D8"/>
    <w:rsid w:val="004B49BA"/>
    <w:rsid w:val="004F6228"/>
    <w:rsid w:val="00510EC5"/>
    <w:rsid w:val="005758B7"/>
    <w:rsid w:val="005F2DB8"/>
    <w:rsid w:val="00611AD9"/>
    <w:rsid w:val="00622E95"/>
    <w:rsid w:val="006A616B"/>
    <w:rsid w:val="006C4238"/>
    <w:rsid w:val="006F5A6B"/>
    <w:rsid w:val="007553D8"/>
    <w:rsid w:val="007579A8"/>
    <w:rsid w:val="008200ED"/>
    <w:rsid w:val="00897109"/>
    <w:rsid w:val="00925260"/>
    <w:rsid w:val="00927517"/>
    <w:rsid w:val="0097784F"/>
    <w:rsid w:val="009D2AA4"/>
    <w:rsid w:val="00A43381"/>
    <w:rsid w:val="00A677B1"/>
    <w:rsid w:val="00A763F9"/>
    <w:rsid w:val="00AE36F9"/>
    <w:rsid w:val="00B25024"/>
    <w:rsid w:val="00BA2552"/>
    <w:rsid w:val="00BC212C"/>
    <w:rsid w:val="00BD33A7"/>
    <w:rsid w:val="00CC4190"/>
    <w:rsid w:val="00F351C0"/>
    <w:rsid w:val="00F85AAC"/>
    <w:rsid w:val="00F9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3A7"/>
    <w:rPr>
      <w:sz w:val="18"/>
      <w:szCs w:val="18"/>
    </w:rPr>
  </w:style>
  <w:style w:type="paragraph" w:styleId="a4">
    <w:name w:val="footer"/>
    <w:basedOn w:val="a"/>
    <w:link w:val="Char0"/>
    <w:uiPriority w:val="99"/>
    <w:unhideWhenUsed/>
    <w:rsid w:val="00BD33A7"/>
    <w:pPr>
      <w:tabs>
        <w:tab w:val="center" w:pos="4153"/>
        <w:tab w:val="right" w:pos="8306"/>
      </w:tabs>
      <w:snapToGrid w:val="0"/>
      <w:jc w:val="left"/>
    </w:pPr>
    <w:rPr>
      <w:sz w:val="18"/>
      <w:szCs w:val="18"/>
    </w:rPr>
  </w:style>
  <w:style w:type="character" w:customStyle="1" w:styleId="Char0">
    <w:name w:val="页脚 Char"/>
    <w:basedOn w:val="a0"/>
    <w:link w:val="a4"/>
    <w:uiPriority w:val="99"/>
    <w:rsid w:val="00BD33A7"/>
    <w:rPr>
      <w:sz w:val="18"/>
      <w:szCs w:val="18"/>
    </w:rPr>
  </w:style>
  <w:style w:type="paragraph" w:styleId="a5">
    <w:name w:val="Date"/>
    <w:basedOn w:val="a"/>
    <w:next w:val="a"/>
    <w:link w:val="Char1"/>
    <w:uiPriority w:val="99"/>
    <w:semiHidden/>
    <w:unhideWhenUsed/>
    <w:rsid w:val="00BD33A7"/>
    <w:pPr>
      <w:ind w:leftChars="2500" w:left="100"/>
    </w:pPr>
  </w:style>
  <w:style w:type="character" w:customStyle="1" w:styleId="Char1">
    <w:name w:val="日期 Char"/>
    <w:basedOn w:val="a0"/>
    <w:link w:val="a5"/>
    <w:uiPriority w:val="99"/>
    <w:semiHidden/>
    <w:rsid w:val="00BD33A7"/>
  </w:style>
  <w:style w:type="paragraph" w:styleId="a6">
    <w:name w:val="Balloon Text"/>
    <w:basedOn w:val="a"/>
    <w:link w:val="Char2"/>
    <w:uiPriority w:val="99"/>
    <w:semiHidden/>
    <w:unhideWhenUsed/>
    <w:rsid w:val="00A677B1"/>
    <w:rPr>
      <w:sz w:val="18"/>
      <w:szCs w:val="18"/>
    </w:rPr>
  </w:style>
  <w:style w:type="character" w:customStyle="1" w:styleId="Char2">
    <w:name w:val="批注框文本 Char"/>
    <w:basedOn w:val="a0"/>
    <w:link w:val="a6"/>
    <w:uiPriority w:val="99"/>
    <w:semiHidden/>
    <w:rsid w:val="00A677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3A7"/>
    <w:rPr>
      <w:sz w:val="18"/>
      <w:szCs w:val="18"/>
    </w:rPr>
  </w:style>
  <w:style w:type="paragraph" w:styleId="a4">
    <w:name w:val="footer"/>
    <w:basedOn w:val="a"/>
    <w:link w:val="Char0"/>
    <w:uiPriority w:val="99"/>
    <w:unhideWhenUsed/>
    <w:rsid w:val="00BD33A7"/>
    <w:pPr>
      <w:tabs>
        <w:tab w:val="center" w:pos="4153"/>
        <w:tab w:val="right" w:pos="8306"/>
      </w:tabs>
      <w:snapToGrid w:val="0"/>
      <w:jc w:val="left"/>
    </w:pPr>
    <w:rPr>
      <w:sz w:val="18"/>
      <w:szCs w:val="18"/>
    </w:rPr>
  </w:style>
  <w:style w:type="character" w:customStyle="1" w:styleId="Char0">
    <w:name w:val="页脚 Char"/>
    <w:basedOn w:val="a0"/>
    <w:link w:val="a4"/>
    <w:uiPriority w:val="99"/>
    <w:rsid w:val="00BD33A7"/>
    <w:rPr>
      <w:sz w:val="18"/>
      <w:szCs w:val="18"/>
    </w:rPr>
  </w:style>
  <w:style w:type="paragraph" w:styleId="a5">
    <w:name w:val="Date"/>
    <w:basedOn w:val="a"/>
    <w:next w:val="a"/>
    <w:link w:val="Char1"/>
    <w:uiPriority w:val="99"/>
    <w:semiHidden/>
    <w:unhideWhenUsed/>
    <w:rsid w:val="00BD33A7"/>
    <w:pPr>
      <w:ind w:leftChars="2500" w:left="100"/>
    </w:pPr>
  </w:style>
  <w:style w:type="character" w:customStyle="1" w:styleId="Char1">
    <w:name w:val="日期 Char"/>
    <w:basedOn w:val="a0"/>
    <w:link w:val="a5"/>
    <w:uiPriority w:val="99"/>
    <w:semiHidden/>
    <w:rsid w:val="00BD33A7"/>
  </w:style>
  <w:style w:type="paragraph" w:styleId="a6">
    <w:name w:val="Balloon Text"/>
    <w:basedOn w:val="a"/>
    <w:link w:val="Char2"/>
    <w:uiPriority w:val="99"/>
    <w:semiHidden/>
    <w:unhideWhenUsed/>
    <w:rsid w:val="00A677B1"/>
    <w:rPr>
      <w:sz w:val="18"/>
      <w:szCs w:val="18"/>
    </w:rPr>
  </w:style>
  <w:style w:type="character" w:customStyle="1" w:styleId="Char2">
    <w:name w:val="批注框文本 Char"/>
    <w:basedOn w:val="a0"/>
    <w:link w:val="a6"/>
    <w:uiPriority w:val="99"/>
    <w:semiHidden/>
    <w:rsid w:val="00A677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72957">
      <w:bodyDiv w:val="1"/>
      <w:marLeft w:val="0"/>
      <w:marRight w:val="0"/>
      <w:marTop w:val="0"/>
      <w:marBottom w:val="0"/>
      <w:divBdr>
        <w:top w:val="none" w:sz="0" w:space="0" w:color="auto"/>
        <w:left w:val="none" w:sz="0" w:space="0" w:color="auto"/>
        <w:bottom w:val="none" w:sz="0" w:space="0" w:color="auto"/>
        <w:right w:val="none" w:sz="0" w:space="0" w:color="auto"/>
      </w:divBdr>
    </w:div>
    <w:div w:id="10453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2023-12-25T06:45:00Z</cp:lastPrinted>
  <dcterms:created xsi:type="dcterms:W3CDTF">2022-10-17T15:15:00Z</dcterms:created>
  <dcterms:modified xsi:type="dcterms:W3CDTF">2023-12-26T07:42:00Z</dcterms:modified>
</cp:coreProperties>
</file>