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46" w:rsidRDefault="001E37D8">
      <w:pPr>
        <w:jc w:val="center"/>
        <w:rPr>
          <w:rStyle w:val="bookmark-item"/>
          <w:rFonts w:ascii="黑体" w:eastAsia="黑体" w:hAnsi="黑体" w:cs="Arial"/>
          <w:bCs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hint="eastAsia"/>
          <w:sz w:val="36"/>
          <w:szCs w:val="36"/>
        </w:rPr>
        <w:t>经开大队工会会员比赛用运动服、运动鞋采购需求</w:t>
      </w:r>
    </w:p>
    <w:p w:rsidR="00765146" w:rsidRDefault="001E37D8">
      <w:pPr>
        <w:jc w:val="left"/>
      </w:pPr>
      <w:r>
        <w:rPr>
          <w:rStyle w:val="bookmark-item"/>
          <w:rFonts w:ascii="黑体" w:eastAsia="黑体" w:hAnsi="黑体" w:cs="Arial" w:hint="eastAsia"/>
          <w:bCs/>
          <w:sz w:val="32"/>
          <w:szCs w:val="32"/>
          <w:shd w:val="clear" w:color="auto" w:fill="FFFFFF"/>
        </w:rPr>
        <w:t>一、预算控制价：</w:t>
      </w:r>
      <w:r w:rsidR="00272065">
        <w:rPr>
          <w:rStyle w:val="bookmark-item"/>
          <w:rFonts w:ascii="黑体" w:eastAsia="黑体" w:hAnsi="黑体" w:cs="Arial" w:hint="eastAsia"/>
          <w:bCs/>
          <w:sz w:val="32"/>
          <w:szCs w:val="32"/>
          <w:shd w:val="clear" w:color="auto" w:fill="FFFFFF"/>
        </w:rPr>
        <w:t>6000元</w:t>
      </w:r>
    </w:p>
    <w:p w:rsidR="00765146" w:rsidRDefault="001E37D8">
      <w:pPr>
        <w:jc w:val="left"/>
        <w:rPr>
          <w:rStyle w:val="bookmark-item"/>
          <w:rFonts w:ascii="黑体" w:eastAsia="黑体" w:hAnsi="黑体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黑体" w:eastAsia="黑体" w:hAnsi="黑体" w:cs="Arial" w:hint="eastAsia"/>
          <w:bCs/>
          <w:sz w:val="32"/>
          <w:szCs w:val="32"/>
          <w:shd w:val="clear" w:color="auto" w:fill="FFFFFF"/>
        </w:rPr>
        <w:t>二、供应商竞价要求</w:t>
      </w:r>
      <w:r>
        <w:rPr>
          <w:rStyle w:val="bookmark-item"/>
          <w:rFonts w:ascii="黑体" w:eastAsia="黑体" w:hAnsi="黑体" w:cs="Arial"/>
          <w:bCs/>
          <w:sz w:val="32"/>
          <w:szCs w:val="32"/>
          <w:shd w:val="clear" w:color="auto" w:fill="FFFFFF"/>
        </w:rPr>
        <w:t>：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1、供应商具备条件：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（一）具有独立承担民事责任的能力；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（二）具有良好的商业信誉和健全的财务会计制度；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（三）具有履行合同所必需的设备和专业技术能力；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（四）有依法缴纳税收和社会保障资金的良好记录；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（五）参加政府采购活动前三年内，在经营活动中没有重大违法记录；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  <w:lang w:val="en-US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（六）法律、行政法规规定的其他条件；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2、</w:t>
      </w: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具有有效的企业法人营业执照、税务登记证、组织机构代码证或具有有效的三证合一的营业执照。</w:t>
      </w:r>
    </w:p>
    <w:p w:rsidR="00765146" w:rsidRDefault="001E37D8" w:rsidP="001E37D8">
      <w:pPr>
        <w:pStyle w:val="a3"/>
        <w:ind w:firstLine="64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  <w:lang w:val="en-US"/>
        </w:rPr>
        <w:t>3、竞价时，投标人须上传营业执照、项目不接受转包、分包，如果供应商履约过程中如发现分包、转包等行为，我方有权取消合作，并要求乙方赔偿损失。</w:t>
      </w:r>
    </w:p>
    <w:p w:rsidR="00765146" w:rsidRDefault="001E37D8">
      <w:pPr>
        <w:jc w:val="left"/>
        <w:rPr>
          <w:rStyle w:val="bookmark-item"/>
          <w:rFonts w:ascii="黑体" w:eastAsia="黑体" w:hAnsi="黑体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黑体" w:eastAsia="黑体" w:hAnsi="黑体" w:cs="Arial" w:hint="eastAsia"/>
          <w:bCs/>
          <w:sz w:val="32"/>
          <w:szCs w:val="32"/>
          <w:shd w:val="clear" w:color="auto" w:fill="FFFFFF"/>
        </w:rPr>
        <w:t>三、服务要求：</w:t>
      </w:r>
    </w:p>
    <w:p w:rsidR="00765146" w:rsidRDefault="001E37D8">
      <w:pPr>
        <w:overflowPunct w:val="0"/>
        <w:spacing w:line="440" w:lineRule="exact"/>
        <w:ind w:firstLineChars="150" w:firstLine="48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①中标单位在公示结束后需及时与采购方联系商定所需物料清单内容；</w:t>
      </w:r>
    </w:p>
    <w:p w:rsidR="00765146" w:rsidRDefault="001E37D8">
      <w:pPr>
        <w:overflowPunct w:val="0"/>
        <w:spacing w:line="440" w:lineRule="exact"/>
        <w:ind w:firstLineChars="150" w:firstLine="48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②在商定物料内容后需在3日内将物料送至甲方指定地点验收；</w:t>
      </w:r>
    </w:p>
    <w:p w:rsidR="00765146" w:rsidRDefault="001E37D8">
      <w:pPr>
        <w:overflowPunct w:val="0"/>
        <w:spacing w:line="440" w:lineRule="exact"/>
        <w:ind w:firstLineChars="150" w:firstLine="48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2、比赛装备清单：</w:t>
      </w:r>
    </w:p>
    <w:tbl>
      <w:tblPr>
        <w:tblW w:w="9421" w:type="dxa"/>
        <w:jc w:val="center"/>
        <w:tblBorders>
          <w:top w:val="single" w:sz="6" w:space="0" w:color="080000"/>
          <w:left w:val="single" w:sz="6" w:space="0" w:color="080000"/>
          <w:bottom w:val="single" w:sz="6" w:space="0" w:color="080000"/>
          <w:right w:val="single" w:sz="6" w:space="0" w:color="080000"/>
          <w:insideH w:val="single" w:sz="6" w:space="0" w:color="080000"/>
          <w:insideV w:val="single" w:sz="6" w:space="0" w:color="08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4794"/>
        <w:gridCol w:w="1933"/>
      </w:tblGrid>
      <w:tr w:rsidR="00765146">
        <w:trPr>
          <w:trHeight w:val="510"/>
          <w:tblHeader/>
          <w:jc w:val="center"/>
        </w:trPr>
        <w:tc>
          <w:tcPr>
            <w:tcW w:w="2694" w:type="dxa"/>
            <w:tcBorders>
              <w:top w:val="single" w:sz="2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内容</w:t>
            </w:r>
          </w:p>
        </w:tc>
        <w:tc>
          <w:tcPr>
            <w:tcW w:w="4794" w:type="dxa"/>
            <w:tcBorders>
              <w:top w:val="single" w:sz="2" w:space="0" w:color="080000"/>
              <w:bottom w:val="single" w:sz="6" w:space="0" w:color="080000"/>
            </w:tcBorders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参考参数</w:t>
            </w:r>
          </w:p>
        </w:tc>
        <w:tc>
          <w:tcPr>
            <w:tcW w:w="1933" w:type="dxa"/>
            <w:tcBorders>
              <w:top w:val="single" w:sz="2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数量（单位）</w:t>
            </w:r>
          </w:p>
        </w:tc>
      </w:tr>
      <w:tr w:rsidR="00765146">
        <w:trPr>
          <w:trHeight w:val="454"/>
          <w:jc w:val="center"/>
        </w:trPr>
        <w:tc>
          <w:tcPr>
            <w:tcW w:w="26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left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运动短袖</w:t>
            </w:r>
          </w:p>
        </w:tc>
        <w:tc>
          <w:tcPr>
            <w:tcW w:w="47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聚酰胺纤维（锦纶）76％聚氨酯弹</w:t>
            </w: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lastRenderedPageBreak/>
              <w:t>性纤维（氨纶）24%</w:t>
            </w:r>
          </w:p>
        </w:tc>
        <w:tc>
          <w:tcPr>
            <w:tcW w:w="1933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lastRenderedPageBreak/>
              <w:t>30件</w:t>
            </w:r>
          </w:p>
        </w:tc>
      </w:tr>
      <w:tr w:rsidR="00765146">
        <w:trPr>
          <w:trHeight w:val="454"/>
          <w:jc w:val="center"/>
        </w:trPr>
        <w:tc>
          <w:tcPr>
            <w:tcW w:w="26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left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lastRenderedPageBreak/>
              <w:t>运动短裤</w:t>
            </w:r>
          </w:p>
        </w:tc>
        <w:tc>
          <w:tcPr>
            <w:tcW w:w="47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tabs>
                <w:tab w:val="left" w:pos="1001"/>
              </w:tabs>
              <w:overflowPunct w:val="0"/>
              <w:spacing w:line="440" w:lineRule="exact"/>
              <w:jc w:val="left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ab/>
              <w:t>棉51％聚酯纤维44％，聚氨酯弹性纤维（氨纶）5％</w:t>
            </w:r>
          </w:p>
        </w:tc>
        <w:tc>
          <w:tcPr>
            <w:tcW w:w="1933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272065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24</w:t>
            </w:r>
            <w:r w:rsidR="001E37D8"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件</w:t>
            </w:r>
          </w:p>
        </w:tc>
      </w:tr>
      <w:tr w:rsidR="00765146">
        <w:trPr>
          <w:trHeight w:val="454"/>
          <w:jc w:val="center"/>
        </w:trPr>
        <w:tc>
          <w:tcPr>
            <w:tcW w:w="26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left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运动鞋</w:t>
            </w:r>
          </w:p>
        </w:tc>
        <w:tc>
          <w:tcPr>
            <w:tcW w:w="4794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透气、缓震、帮面材质：纺织品+聚氨酯（油墨印刷）、外底：橡塑+热塑性弹性体</w:t>
            </w:r>
          </w:p>
        </w:tc>
        <w:tc>
          <w:tcPr>
            <w:tcW w:w="1933" w:type="dxa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272065">
            <w:pPr>
              <w:overflowPunct w:val="0"/>
              <w:spacing w:line="440" w:lineRule="exact"/>
              <w:jc w:val="center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12</w:t>
            </w:r>
            <w:r w:rsidR="001E37D8"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双</w:t>
            </w:r>
          </w:p>
        </w:tc>
      </w:tr>
      <w:tr w:rsidR="00765146">
        <w:trPr>
          <w:trHeight w:val="454"/>
          <w:jc w:val="center"/>
        </w:trPr>
        <w:tc>
          <w:tcPr>
            <w:tcW w:w="9421" w:type="dxa"/>
            <w:gridSpan w:val="3"/>
            <w:tcBorders>
              <w:top w:val="single" w:sz="6" w:space="0" w:color="080000"/>
              <w:bottom w:val="single" w:sz="6" w:space="0" w:color="080000"/>
            </w:tcBorders>
            <w:vAlign w:val="center"/>
          </w:tcPr>
          <w:p w:rsidR="00765146" w:rsidRDefault="001E37D8" w:rsidP="00130D00">
            <w:pPr>
              <w:overflowPunct w:val="0"/>
              <w:spacing w:line="440" w:lineRule="exact"/>
              <w:rPr>
                <w:rStyle w:val="bookmark-item"/>
                <w:rFonts w:ascii="仿宋" w:eastAsia="仿宋" w:hAnsi="仿宋" w:cs="Arial"/>
                <w:bCs/>
                <w:sz w:val="32"/>
                <w:szCs w:val="32"/>
                <w:shd w:val="clear" w:color="auto" w:fill="FFFFFF"/>
              </w:rPr>
            </w:pP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以上物品需国产一线运动品牌，服装需绣上号码“1-</w:t>
            </w:r>
            <w:r w:rsidR="00130D00"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12</w:t>
            </w: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”数字及“</w:t>
            </w:r>
            <w:r w:rsidR="00BD78BF"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经开</w:t>
            </w:r>
            <w:r>
              <w:rPr>
                <w:rStyle w:val="bookmark-item"/>
                <w:rFonts w:ascii="仿宋" w:eastAsia="仿宋" w:hAnsi="仿宋" w:cs="Arial" w:hint="eastAsia"/>
                <w:bCs/>
                <w:sz w:val="32"/>
                <w:szCs w:val="32"/>
                <w:shd w:val="clear" w:color="auto" w:fill="FFFFFF"/>
              </w:rPr>
              <w:t>大队”</w:t>
            </w:r>
          </w:p>
        </w:tc>
      </w:tr>
    </w:tbl>
    <w:p w:rsidR="00765146" w:rsidRDefault="001E37D8">
      <w:pPr>
        <w:overflowPunct w:val="0"/>
        <w:spacing w:line="440" w:lineRule="exact"/>
        <w:ind w:firstLineChars="150" w:firstLine="480"/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3、费用结算：以上费用共计</w:t>
      </w:r>
      <w:r w:rsidR="00CB749D"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6000</w:t>
      </w:r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元，验收合格后乙方开具发票，甲方按程序转</w:t>
      </w:r>
      <w:bookmarkStart w:id="0" w:name="_GoBack"/>
      <w:bookmarkEnd w:id="0"/>
      <w:r>
        <w:rPr>
          <w:rStyle w:val="bookmark-item"/>
          <w:rFonts w:ascii="仿宋" w:eastAsia="仿宋" w:hAnsi="仿宋" w:cs="Arial" w:hint="eastAsia"/>
          <w:bCs/>
          <w:sz w:val="32"/>
          <w:szCs w:val="32"/>
          <w:shd w:val="clear" w:color="auto" w:fill="FFFFFF"/>
        </w:rPr>
        <w:t>账付款。</w:t>
      </w:r>
    </w:p>
    <w:p w:rsidR="00765146" w:rsidRDefault="00765146">
      <w:pPr>
        <w:rPr>
          <w:rStyle w:val="bookmark-item"/>
          <w:rFonts w:ascii="仿宋" w:eastAsia="仿宋" w:hAnsi="仿宋" w:cs="Arial"/>
          <w:bCs/>
          <w:sz w:val="32"/>
          <w:szCs w:val="32"/>
          <w:shd w:val="clear" w:color="auto" w:fill="FFFFFF"/>
        </w:rPr>
      </w:pPr>
    </w:p>
    <w:p w:rsidR="00765146" w:rsidRDefault="00765146"/>
    <w:sectPr w:rsidR="00765146" w:rsidSect="0076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5NWNhYWFjOGJkOWQ0ZjZhYzY2YTZkNmIwOGRmYWMifQ=="/>
  </w:docVars>
  <w:rsids>
    <w:rsidRoot w:val="39080680"/>
    <w:rsid w:val="00130D00"/>
    <w:rsid w:val="001E37D8"/>
    <w:rsid w:val="00272065"/>
    <w:rsid w:val="00765146"/>
    <w:rsid w:val="00AD228A"/>
    <w:rsid w:val="00BD78BF"/>
    <w:rsid w:val="00CB749D"/>
    <w:rsid w:val="00D30E74"/>
    <w:rsid w:val="11D91644"/>
    <w:rsid w:val="39080680"/>
    <w:rsid w:val="4250431D"/>
    <w:rsid w:val="4427518E"/>
    <w:rsid w:val="495C4A24"/>
    <w:rsid w:val="4D343B30"/>
    <w:rsid w:val="5298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651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okmark-item">
    <w:name w:val="bookmark-item"/>
    <w:basedOn w:val="a0"/>
    <w:autoRedefine/>
    <w:qFormat/>
    <w:rsid w:val="00765146"/>
  </w:style>
  <w:style w:type="paragraph" w:customStyle="1" w:styleId="a3">
    <w:name w:val="首行缩进"/>
    <w:basedOn w:val="a"/>
    <w:autoRedefine/>
    <w:qFormat/>
    <w:rsid w:val="00765146"/>
    <w:pPr>
      <w:ind w:firstLineChars="200" w:firstLine="480"/>
    </w:pPr>
    <w:rPr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雪中</dc:creator>
  <cp:lastModifiedBy>Administrator</cp:lastModifiedBy>
  <cp:revision>6</cp:revision>
  <dcterms:created xsi:type="dcterms:W3CDTF">2024-05-24T01:28:00Z</dcterms:created>
  <dcterms:modified xsi:type="dcterms:W3CDTF">2024-05-27T06:45:00Z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6916844455224003AAFD49C52F5F5D7F_11</vt:lpwstr>
  </property>
</Properties>
</file>