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岳阳市中心医院自行监测委托服务项目</w:t>
      </w:r>
    </w:p>
    <w:p>
      <w:pPr>
        <w:adjustRightInd w:val="0"/>
        <w:snapToGri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采购需求</w:t>
      </w:r>
    </w:p>
    <w:p>
      <w:pPr>
        <w:numPr>
          <w:ilvl w:val="0"/>
          <w:numId w:val="1"/>
        </w:numPr>
        <w:spacing w:line="360" w:lineRule="auto"/>
        <w:rPr>
          <w:rFonts w:hint="eastAsia" w:hAnsi="宋体" w:cs="宋体"/>
          <w:bCs/>
          <w:i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项目名称：岳阳市中心医院</w:t>
      </w:r>
      <w:r>
        <w:rPr>
          <w:rFonts w:hint="eastAsia" w:ascii="宋体" w:hAnsi="宋体" w:cs="宋体"/>
          <w:sz w:val="28"/>
          <w:szCs w:val="28"/>
        </w:rPr>
        <w:t>自行监测委托服务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cs="宋体"/>
          <w:kern w:val="0"/>
          <w:sz w:val="28"/>
          <w:szCs w:val="28"/>
        </w:rPr>
        <w:t>内容：自行监测方案的编制，三个院区各污水站的污水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与</w:t>
      </w:r>
      <w:r>
        <w:rPr>
          <w:rFonts w:hint="eastAsia" w:ascii="宋体" w:hAnsi="宋体" w:cs="宋体"/>
          <w:kern w:val="0"/>
          <w:sz w:val="28"/>
          <w:szCs w:val="28"/>
        </w:rPr>
        <w:t>废气监测，珍珠山院区锅炉烟气监测，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三个院区噪声监测，</w:t>
      </w:r>
      <w:r>
        <w:rPr>
          <w:rFonts w:hint="eastAsia" w:ascii="宋体" w:hAnsi="宋体" w:cs="宋体"/>
          <w:kern w:val="0"/>
          <w:sz w:val="28"/>
          <w:szCs w:val="28"/>
        </w:rPr>
        <w:t>以及每月监测数据上传、排污许可执行报告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（季报和年报）</w:t>
      </w:r>
      <w:r>
        <w:rPr>
          <w:rFonts w:hint="eastAsia" w:ascii="宋体" w:hAnsi="宋体" w:cs="宋体"/>
          <w:kern w:val="0"/>
          <w:sz w:val="28"/>
          <w:szCs w:val="28"/>
        </w:rPr>
        <w:t>编制与发布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；每年进行企业</w:t>
      </w:r>
      <w:r>
        <w:rPr>
          <w:rFonts w:hint="eastAsia"/>
          <w:sz w:val="28"/>
          <w:szCs w:val="28"/>
          <w:lang w:val="en-US" w:eastAsia="zh-CN"/>
        </w:rPr>
        <w:t>环境信息披露填报；</w:t>
      </w:r>
      <w:r>
        <w:rPr>
          <w:rFonts w:hint="eastAsia" w:ascii="宋体" w:hAnsi="宋体" w:cs="宋体"/>
          <w:kern w:val="0"/>
          <w:sz w:val="28"/>
          <w:szCs w:val="28"/>
        </w:rPr>
        <w:t>三个院区的二次供水检测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（详见</w:t>
      </w:r>
      <w:r>
        <w:rPr>
          <w:rFonts w:hint="eastAsia" w:ascii="宋体" w:hAnsi="宋体" w:cs="宋体"/>
          <w:sz w:val="28"/>
          <w:szCs w:val="28"/>
          <w:lang w:eastAsia="zh-CN"/>
        </w:rPr>
        <w:t>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1和表2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pStyle w:val="9"/>
        <w:rPr>
          <w:rFonts w:hint="eastAsia"/>
        </w:rPr>
      </w:pPr>
    </w:p>
    <w:p>
      <w:pPr>
        <w:pStyle w:val="11"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相关要求</w:t>
      </w:r>
    </w:p>
    <w:p>
      <w:pPr>
        <w:pStyle w:val="11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1、中标方根据院方排污许可证及其它相关要求，</w:t>
      </w:r>
      <w:r>
        <w:rPr>
          <w:rFonts w:hint="eastAsia" w:ascii="宋体" w:hAnsi="宋体" w:eastAsia="宋体" w:cs="宋体"/>
          <w:sz w:val="28"/>
          <w:szCs w:val="28"/>
        </w:rPr>
        <w:t>按国家现行的技术规范、标准进行技术服务工作，对结果的公正性、科学性、准确性、可追溯性负法律责任。</w:t>
      </w:r>
    </w:p>
    <w:p>
      <w:pPr>
        <w:pStyle w:val="11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如相关</w:t>
      </w:r>
      <w:r>
        <w:rPr>
          <w:rFonts w:hint="eastAsia" w:ascii="宋体" w:hAnsi="宋体" w:cs="宋体"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sz w:val="28"/>
          <w:szCs w:val="28"/>
        </w:rPr>
        <w:t>部门有新的要求，则检测项目与频次将做相应调整</w:t>
      </w:r>
      <w:r>
        <w:rPr>
          <w:rFonts w:hint="eastAsia" w:ascii="宋体" w:hAnsi="宋体" w:cs="宋体"/>
          <w:sz w:val="28"/>
          <w:szCs w:val="28"/>
          <w:lang w:eastAsia="zh-CN"/>
        </w:rPr>
        <w:t>，由此产生的费用另行协商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>
      <w:pPr>
        <w:snapToGrid w:val="0"/>
        <w:spacing w:line="360" w:lineRule="auto"/>
        <w:jc w:val="left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医院遇到突发环境事件时，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方必须在1小时内赶到现场进行污染物采样，并立即安排开始进行检测工作。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提供保证措施方案）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4、中标方</w:t>
      </w:r>
      <w:r>
        <w:rPr>
          <w:rFonts w:hint="eastAsia" w:ascii="宋体" w:hAnsi="宋体" w:eastAsia="宋体" w:cs="宋体"/>
          <w:sz w:val="28"/>
          <w:szCs w:val="28"/>
        </w:rPr>
        <w:t>应加强对相关工作人员的安全教育，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员工在检测过程中发生事故造成自身损伤的，由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中标方</w:t>
      </w:r>
      <w:r>
        <w:rPr>
          <w:rFonts w:hint="eastAsia" w:ascii="宋体" w:hAnsi="宋体" w:eastAsia="宋体" w:cs="宋体"/>
          <w:sz w:val="28"/>
          <w:szCs w:val="28"/>
        </w:rPr>
        <w:t>承担相应责任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方不遵守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方规章制度或因为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方过错而导致自身、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方或其他任何第三方人身或财产损失的，由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方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承担相应的法律责任。</w:t>
      </w:r>
    </w:p>
    <w:p>
      <w:pPr>
        <w:pStyle w:val="4"/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方检测报告不准确导致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方遭受行政处罚或造成其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它</w:t>
      </w:r>
      <w:r>
        <w:rPr>
          <w:rFonts w:hint="eastAsia" w:ascii="宋体" w:hAnsi="宋体" w:eastAsia="宋体" w:cs="宋体"/>
          <w:sz w:val="28"/>
          <w:szCs w:val="28"/>
        </w:rPr>
        <w:t>损失的，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</w:t>
      </w:r>
      <w:r>
        <w:rPr>
          <w:rFonts w:hint="eastAsia" w:ascii="宋体" w:hAnsi="宋体" w:eastAsia="宋体" w:cs="宋体"/>
          <w:sz w:val="28"/>
          <w:szCs w:val="28"/>
        </w:rPr>
        <w:t>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赔偿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方为此支出的全部费用。</w:t>
      </w:r>
    </w:p>
    <w:p>
      <w:pPr>
        <w:pStyle w:val="4"/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6、对投标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的其它要求</w:t>
      </w:r>
    </w:p>
    <w:p>
      <w:pPr>
        <w:rPr>
          <w:rFonts w:hint="default"/>
          <w:color w:val="0000FF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）具有与监测活动相匹配的监测人员、场所环境、设备设施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color w:val="0000FF"/>
          <w:sz w:val="28"/>
          <w:szCs w:val="28"/>
          <w:lang w:val="en-US" w:eastAsia="zh-CN"/>
        </w:rPr>
        <w:t>[提供员工花名册及采样与分析等相关人员的资质证书、实验室整体情况描述（附图片）、设备设施一览表]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）建立与监测活动相适应的，覆盖全场所、全过程的质量管理体系</w:t>
      </w:r>
      <w:r>
        <w:rPr>
          <w:rFonts w:hint="eastAsia"/>
          <w:sz w:val="28"/>
          <w:szCs w:val="28"/>
          <w:lang w:eastAsia="zh-CN"/>
        </w:rPr>
        <w:t>、质量保证措施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提供质控施措及质量保障体系阐述</w:t>
      </w:r>
      <w:r>
        <w:rPr>
          <w:rFonts w:hint="eastAsia"/>
          <w:color w:val="0000FF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）使用有证标准物质（样品）或者具有计量溯源性的标准物质</w:t>
      </w:r>
      <w:r>
        <w:rPr>
          <w:rFonts w:hint="eastAsia"/>
          <w:color w:val="auto"/>
          <w:sz w:val="28"/>
          <w:szCs w:val="28"/>
        </w:rPr>
        <w:t>（样品）开展监测活动</w:t>
      </w:r>
      <w:r>
        <w:rPr>
          <w:rFonts w:hint="eastAsia"/>
          <w:color w:val="auto"/>
          <w:sz w:val="28"/>
          <w:szCs w:val="28"/>
          <w:lang w:eastAsia="zh-CN"/>
        </w:rPr>
        <w:t>；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提供采购公司的相关证书及营业执照</w:t>
      </w:r>
      <w:r>
        <w:rPr>
          <w:rFonts w:hint="eastAsia"/>
          <w:color w:val="0000FF"/>
          <w:sz w:val="28"/>
          <w:szCs w:val="28"/>
          <w:lang w:eastAsia="zh-CN"/>
        </w:rPr>
        <w:t>）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）使用的监测设备应当符合国家标准以及生态环境保护标准规范要求；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提供仪器设备信息一览表，并注明仪器型号、生产厂家、检测范围</w:t>
      </w:r>
      <w:r>
        <w:rPr>
          <w:rFonts w:hint="eastAsia"/>
          <w:color w:val="0000FF"/>
          <w:sz w:val="28"/>
          <w:szCs w:val="28"/>
          <w:lang w:eastAsia="zh-CN"/>
        </w:rPr>
        <w:t>）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）按规定期限保存监测数据、监测报告、原始记录、报告审核记录及监测任务合同等档案资料，保证监测数据、结果及报告可追溯；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提供从数据到报告完整的保存措施方案</w:t>
      </w:r>
      <w:r>
        <w:rPr>
          <w:rFonts w:hint="eastAsia"/>
          <w:color w:val="0000FF"/>
          <w:sz w:val="28"/>
          <w:szCs w:val="28"/>
          <w:lang w:eastAsia="zh-CN"/>
        </w:rPr>
        <w:t>）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）国务院生态环境主管部门规定的其</w:t>
      </w:r>
      <w:r>
        <w:rPr>
          <w:rFonts w:hint="eastAsia"/>
          <w:sz w:val="28"/>
          <w:szCs w:val="28"/>
          <w:lang w:eastAsia="zh-CN"/>
        </w:rPr>
        <w:t>它</w:t>
      </w:r>
      <w:r>
        <w:rPr>
          <w:rFonts w:hint="eastAsia"/>
          <w:sz w:val="28"/>
          <w:szCs w:val="28"/>
        </w:rPr>
        <w:t>要求。</w:t>
      </w:r>
    </w:p>
    <w:tbl>
      <w:tblPr>
        <w:tblStyle w:val="8"/>
        <w:tblpPr w:leftFromText="180" w:rightFromText="180" w:vertAnchor="text" w:horzAnchor="page" w:tblpX="1513" w:tblpY="5737"/>
        <w:tblOverlap w:val="never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724"/>
        <w:gridCol w:w="1534"/>
        <w:gridCol w:w="836"/>
        <w:gridCol w:w="987"/>
        <w:gridCol w:w="2407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abs>
                <w:tab w:val="left" w:pos="1021"/>
              </w:tabs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8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表1  污染源监测工作内容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3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检测项</w:t>
            </w:r>
          </w:p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目类型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监测因子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采样方法</w:t>
            </w:r>
          </w:p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及个数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监测频次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测定方法</w:t>
            </w:r>
          </w:p>
        </w:tc>
        <w:tc>
          <w:tcPr>
            <w:tcW w:w="2407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监测点位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vMerge w:val="restart"/>
            <w:vAlign w:val="center"/>
          </w:tcPr>
          <w:p>
            <w:pPr>
              <w:tabs>
                <w:tab w:val="left" w:pos="1021"/>
              </w:tabs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废水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tabs>
                <w:tab w:val="left" w:pos="1021"/>
              </w:tabs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混合采样至少4个混合样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1次/月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按排污许可证要求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tabs>
                <w:tab w:val="left" w:pos="102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东茅岭院区工作区综合污水排放口（DW001）、东茅岭院区北区综合污水排放口（DW002）、金鹗山院区综合废水总排口（DW004）、珍珠山院区综合废水排放口（DW005），共计4个点位。</w:t>
            </w: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总余氯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tabs>
                <w:tab w:val="left" w:pos="1021"/>
              </w:tabs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采瞬时样至少4个瞬时样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1次/月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悬浮物</w:t>
            </w:r>
          </w:p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化学需氧量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1次/月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氨氮、总氮、总磷、</w:t>
            </w:r>
          </w:p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粪大肠菌群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1次/月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color w:val="000000"/>
              </w:rPr>
            </w:pP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五日生化需氧量、阴离子表面活性剂、石油类、动植物油、挥发酚、总氰化物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1次/季度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悬浮物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采瞬时样至少4个瞬时样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加测</w:t>
            </w:r>
          </w:p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/>
                <w:sz w:val="20"/>
                <w:szCs w:val="20"/>
              </w:rPr>
              <w:t>次/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tabs>
                <w:tab w:val="left" w:pos="1021"/>
              </w:tabs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珍珠山院区废水排口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tabs>
                <w:tab w:val="left" w:pos="1021"/>
              </w:tabs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13" w:type="dxa"/>
            <w:vMerge w:val="continue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悬浮物、化学需氧量</w:t>
            </w: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tabs>
                <w:tab w:val="left" w:pos="1021"/>
              </w:tabs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东茅岭北区废水排口</w:t>
            </w:r>
          </w:p>
        </w:tc>
        <w:tc>
          <w:tcPr>
            <w:tcW w:w="579" w:type="dxa"/>
            <w:vMerge w:val="continue"/>
            <w:vAlign w:val="center"/>
          </w:tcPr>
          <w:p>
            <w:pPr>
              <w:tabs>
                <w:tab w:val="left" w:pos="1021"/>
              </w:tabs>
              <w:ind w:firstLine="400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13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有组织</w:t>
            </w:r>
          </w:p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废气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颗粒物、二氧化硫、氮氧化物、烟气黑度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非连续采样至少3个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1次/月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珍珠山院区燃气锅炉排放口（DA001）</w:t>
            </w: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913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无组织</w:t>
            </w:r>
          </w:p>
          <w:p>
            <w:pPr>
              <w:tabs>
                <w:tab w:val="left" w:pos="1021"/>
              </w:tabs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废气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</w:pPr>
            <w:r>
              <w:rPr>
                <w:rFonts w:hint="eastAsia"/>
              </w:rPr>
              <w:t>甲烷、臭气浓度、氨气、氯、硫化氢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</w:pPr>
            <w:r>
              <w:rPr>
                <w:rFonts w:hint="eastAsia"/>
              </w:rPr>
              <w:t>非连续采样至少3个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</w:pPr>
            <w:r>
              <w:rPr>
                <w:rFonts w:hint="eastAsia"/>
              </w:rPr>
              <w:t>1次/季度</w:t>
            </w:r>
          </w:p>
        </w:tc>
        <w:tc>
          <w:tcPr>
            <w:tcW w:w="987" w:type="dxa"/>
            <w:vMerge w:val="continue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</w:pPr>
          </w:p>
        </w:tc>
        <w:tc>
          <w:tcPr>
            <w:tcW w:w="2407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东茅岭院区</w:t>
            </w:r>
            <w:r>
              <w:rPr>
                <w:rFonts w:hint="eastAsia"/>
                <w:color w:val="000000"/>
              </w:rPr>
              <w:t>工作区</w:t>
            </w:r>
            <w:r>
              <w:rPr>
                <w:rFonts w:hint="eastAsia"/>
                <w:color w:val="000000"/>
                <w:lang w:eastAsia="zh-CN"/>
              </w:rPr>
              <w:t>与</w:t>
            </w:r>
            <w:r>
              <w:rPr>
                <w:rFonts w:hint="eastAsia"/>
                <w:color w:val="000000"/>
              </w:rPr>
              <w:t>北区污水站、</w:t>
            </w:r>
            <w:r>
              <w:rPr>
                <w:rFonts w:hint="eastAsia"/>
                <w:color w:val="000000"/>
                <w:lang w:eastAsia="zh-CN"/>
              </w:rPr>
              <w:t>珍珠山院区</w:t>
            </w:r>
            <w:r>
              <w:rPr>
                <w:rFonts w:hint="eastAsia"/>
                <w:color w:val="000000"/>
              </w:rPr>
              <w:t>污水站、</w:t>
            </w:r>
            <w:r>
              <w:rPr>
                <w:rFonts w:hint="eastAsia"/>
                <w:color w:val="000000"/>
                <w:lang w:eastAsia="zh-CN"/>
              </w:rPr>
              <w:t>金鹗山院区</w:t>
            </w:r>
            <w:r>
              <w:rPr>
                <w:rFonts w:hint="eastAsia"/>
                <w:color w:val="000000"/>
              </w:rPr>
              <w:t>总污水站，共4个污水站，每个污水站上风向设置1个点、下风向设置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个点，共计1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个点位。</w:t>
            </w: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13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院界</w:t>
            </w:r>
          </w:p>
          <w:p>
            <w:pPr>
              <w:tabs>
                <w:tab w:val="left" w:pos="1021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  <w:t>噪声</w:t>
            </w:r>
          </w:p>
        </w:tc>
        <w:tc>
          <w:tcPr>
            <w:tcW w:w="272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噪声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各院区四个方向，昼间与夜间</w:t>
            </w:r>
          </w:p>
        </w:tc>
        <w:tc>
          <w:tcPr>
            <w:tcW w:w="836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1次/季度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tabs>
                <w:tab w:val="left" w:pos="1021"/>
              </w:tabs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按排污许可证和规范要求</w:t>
            </w:r>
          </w:p>
        </w:tc>
        <w:tc>
          <w:tcPr>
            <w:tcW w:w="2407" w:type="dxa"/>
            <w:vAlign w:val="center"/>
          </w:tcPr>
          <w:p>
            <w:pPr>
              <w:tabs>
                <w:tab w:val="left" w:pos="1021"/>
              </w:tabs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东茅岭院区</w:t>
            </w:r>
          </w:p>
          <w:p>
            <w:pPr>
              <w:pStyle w:val="2"/>
              <w:ind w:firstLine="630" w:firstLineChars="300"/>
              <w:rPr>
                <w:rFonts w:hint="eastAsia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珍珠山院区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金鹗山院区</w:t>
            </w:r>
          </w:p>
        </w:tc>
        <w:tc>
          <w:tcPr>
            <w:tcW w:w="579" w:type="dxa"/>
            <w:vAlign w:val="center"/>
          </w:tcPr>
          <w:p>
            <w:pPr>
              <w:tabs>
                <w:tab w:val="left" w:pos="1021"/>
              </w:tabs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80" w:type="dxa"/>
            <w:gridSpan w:val="7"/>
            <w:vAlign w:val="center"/>
          </w:tcPr>
          <w:p>
            <w:pPr>
              <w:tabs>
                <w:tab w:val="left" w:pos="1021"/>
              </w:tabs>
              <w:ind w:firstLine="40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其它工作内容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980" w:type="dxa"/>
            <w:gridSpan w:val="7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021"/>
              </w:tabs>
              <w:ind w:firstLine="400" w:firstLine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全国排污许可证管理信息平台数据上传</w:t>
            </w:r>
          </w:p>
          <w:p>
            <w:pPr>
              <w:numPr>
                <w:ilvl w:val="0"/>
                <w:numId w:val="2"/>
              </w:numPr>
              <w:tabs>
                <w:tab w:val="left" w:pos="1021"/>
              </w:tabs>
              <w:ind w:firstLine="40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排污许可季度、年度执行报告编制与发布</w:t>
            </w:r>
          </w:p>
          <w:p>
            <w:pPr>
              <w:pStyle w:val="9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环境信息披露填报</w:t>
            </w:r>
          </w:p>
        </w:tc>
      </w:tr>
    </w:tbl>
    <w:p>
      <w:pPr>
        <w:pStyle w:val="4"/>
        <w:spacing w:after="0"/>
        <w:ind w:left="0" w:leftChars="0"/>
        <w:rPr>
          <w:rFonts w:hint="eastAsia" w:ascii="宋体" w:hAnsi="宋体" w:cs="宋体"/>
          <w:sz w:val="28"/>
          <w:szCs w:val="28"/>
        </w:rPr>
      </w:pPr>
    </w:p>
    <w:p>
      <w:pPr>
        <w:pStyle w:val="4"/>
        <w:spacing w:after="0"/>
        <w:ind w:left="0" w:leftChars="0" w:firstLine="560" w:firstLineChars="200"/>
        <w:rPr>
          <w:rFonts w:hint="eastAsia" w:ascii="Calibri" w:hAnsi="Calibri" w:eastAsia="宋体" w:cs="Times New Roman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宋体" w:cs="Times New Roman"/>
          <w:color w:val="0000FF"/>
          <w:kern w:val="2"/>
          <w:sz w:val="28"/>
          <w:szCs w:val="28"/>
          <w:lang w:val="en-US" w:eastAsia="zh-CN" w:bidi="ar-SA"/>
        </w:rPr>
        <w:t>要求</w:t>
      </w:r>
      <w:r>
        <w:rPr>
          <w:rFonts w:hint="eastAsia" w:cs="Times New Roman"/>
          <w:color w:val="0000FF"/>
          <w:kern w:val="2"/>
          <w:sz w:val="28"/>
          <w:szCs w:val="28"/>
          <w:lang w:val="en-US" w:eastAsia="zh-CN" w:bidi="ar-SA"/>
        </w:rPr>
        <w:t>投标人</w:t>
      </w:r>
      <w:r>
        <w:rPr>
          <w:rFonts w:hint="eastAsia" w:ascii="Calibri" w:hAnsi="Calibri" w:eastAsia="宋体" w:cs="Times New Roman"/>
          <w:color w:val="0000FF"/>
          <w:kern w:val="2"/>
          <w:sz w:val="28"/>
          <w:szCs w:val="28"/>
          <w:lang w:val="en-US" w:eastAsia="zh-CN" w:bidi="ar-SA"/>
        </w:rPr>
        <w:t>针对以上监测工作内容做一个全面的监测方案，包括监测因子、采样及分析方法、采样布点图、监测频次、使用仪器等。</w:t>
      </w:r>
    </w:p>
    <w:p>
      <w:pPr>
        <w:pStyle w:val="4"/>
        <w:spacing w:after="0"/>
        <w:ind w:left="0" w:leftChars="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>
      <w:pPr>
        <w:pStyle w:val="4"/>
        <w:spacing w:after="0"/>
        <w:ind w:left="0" w:leftChars="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p>
      <w:pPr>
        <w:pStyle w:val="4"/>
        <w:spacing w:after="0"/>
        <w:ind w:left="0" w:leftChars="0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page" w:horzAnchor="page" w:tblpXSpec="center" w:tblpY="1508"/>
        <w:tblW w:w="91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68"/>
        <w:gridCol w:w="6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91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 xml:space="preserve">表2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二次供水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91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东茅岭与珍珠山院区，每个院区门诊楼、住院楼各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1个用水点采样；金鹗山院区住院楼1个用水点采样；每年上下半年二次供水池清洗后各检测1次并出具报告。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编号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检测项目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检测方法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《生活饮用水标准检验方法第4部分：感官性状和物理指标》（GB /T 5750.12-2023）（4.1 铂-钴比色法）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第4部分：感官性状和物理指标》(5.2 目视比浊法-福尔马肼标准)（GB /T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嗅和味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第4部分：感官性状和物理指标》(6.1 嗅气和尝味法)（GB /T 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第4部分：感官性状和物理指标》(7.1 直接观察法)（GB /T 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pH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第4部分：感官性状和物理指标》(8.1 玻璃电极法)（GB /T 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大肠菌群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第12部分：微生物指标》(5.1 多管发酵法）（GB /T 5750.12-2023）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 第12部分：微生物指标》(4.1 平皿计数法）（GB /T 5750.12-2023）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氯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部分：微生物指标》(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N，N-二乙基对苯胺（DOD）分光光度法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）（GB /T 5750.12-2023）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硝酸盐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第5部分：无机非金属指标》(8.1 紫外分光光度法）（GB /T 5750.5-2023）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总硬度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第4部分：感官性状和物理指标》(10.1 乙二胺四乙酸二钠滴定法)（GB /T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挥发酚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《生活饮用水标准检验方法 第4部分：感官性状和物理指标》(12.1 4-氨基安替比林三氯甲烷萃取分光光度法)（GB /T 5750.4-2023）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617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《生活饮用水标准检验方法 第5部分：无机非金属指标》(11.1 纳氏试剂分光光度法11.3水杨酸分光光度法）（GB /T 5750.5-2023）</w:t>
            </w:r>
          </w:p>
        </w:tc>
      </w:tr>
    </w:tbl>
    <w:p>
      <w:pPr>
        <w:pStyle w:val="4"/>
        <w:spacing w:after="0"/>
        <w:ind w:left="0" w:leftChars="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4"/>
        <w:spacing w:after="0"/>
        <w:ind w:left="0" w:leftChars="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4"/>
        <w:spacing w:after="0"/>
        <w:ind w:left="0" w:leftChars="0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中标方式：在投标人资质条件符合招标要求、具备完全履约能力的前提下低价中标。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付款方式：在按要求完成服务内容的前提下每季度付款一次。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服务期限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一年。</w:t>
      </w:r>
      <w:r>
        <w:rPr>
          <w:rFonts w:hint="eastAsia"/>
          <w:sz w:val="28"/>
          <w:szCs w:val="28"/>
          <w:lang w:eastAsia="zh-CN"/>
        </w:rPr>
        <w:t>（期间如甲方因政策原因院区搬迁，合作自行终止，中标方应配合，不得提出异议；费用根据实际已发生服务按实结算。）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六、投标人资格要求：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宋体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1、投标人必须具有独立法人资格，营业执照处于有效期，经营范围包含采购内容，具备CMA检验检测机构资质认定证书</w:t>
      </w:r>
      <w:r>
        <w:rPr>
          <w:rFonts w:hint="eastAsia"/>
          <w:sz w:val="28"/>
          <w:szCs w:val="28"/>
          <w:lang w:eastAsia="zh-CN"/>
        </w:rPr>
        <w:t>（环保类）</w:t>
      </w:r>
      <w:r>
        <w:rPr>
          <w:rFonts w:hint="eastAsia"/>
          <w:sz w:val="28"/>
          <w:szCs w:val="28"/>
        </w:rPr>
        <w:t>，具备所需因子检测能力。</w:t>
      </w:r>
      <w:r>
        <w:rPr>
          <w:rFonts w:hint="eastAsia"/>
          <w:color w:val="0000FF"/>
          <w:sz w:val="28"/>
          <w:szCs w:val="28"/>
          <w:lang w:eastAsia="zh-CN"/>
        </w:rPr>
        <w:t>（提供营业执照、资质证书及检测能力附表）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2、投标人</w:t>
      </w:r>
      <w:r>
        <w:rPr>
          <w:rFonts w:ascii="宋体" w:hAnsi="宋体" w:cs="宋体"/>
          <w:sz w:val="28"/>
          <w:szCs w:val="28"/>
        </w:rPr>
        <w:t>必须是湖南省政采云政府采购供应商。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color w:val="0000FF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/>
        </w:rPr>
        <w:t>、</w:t>
      </w:r>
      <w:r>
        <w:rPr>
          <w:rFonts w:hint="eastAsia" w:ascii="宋体" w:hAnsi="宋体" w:cs="宋体"/>
          <w:sz w:val="28"/>
          <w:szCs w:val="28"/>
        </w:rPr>
        <w:t>提供参加采购活动近期</w:t>
      </w:r>
      <w:r>
        <w:rPr>
          <w:rFonts w:hint="eastAsia"/>
          <w:sz w:val="28"/>
          <w:szCs w:val="28"/>
        </w:rPr>
        <w:t>投标人正常经营证明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/>
        </w:rPr>
        <w:t>提供</w:t>
      </w:r>
      <w:r>
        <w:rPr>
          <w:rFonts w:hint="eastAsia"/>
          <w:color w:val="0000FF"/>
          <w:sz w:val="28"/>
          <w:szCs w:val="28"/>
        </w:rPr>
        <w:t>近三个月内任意一个月份的税收完税证明或社保基金收款收据）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、提供近三年业绩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/>
          <w:color w:val="0000FF"/>
          <w:sz w:val="28"/>
          <w:szCs w:val="28"/>
          <w:lang w:val="en-US" w:eastAsia="zh-CN"/>
        </w:rPr>
        <w:t>（中标通知书及委托合同）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宋体" w:hAnsi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5、以上所有要求提供的资料包含纸质版与电子版，纸质版的现场勘察时交给院方项目负责人，电子版的上传。资料必须完整提供，如有缺失，将视为资格审核不通过！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七、报价要求：按以下两个报价表分别报价。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1、监测因子报价清单</w:t>
      </w:r>
    </w:p>
    <w:tbl>
      <w:tblPr>
        <w:tblStyle w:val="7"/>
        <w:tblW w:w="92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700"/>
        <w:gridCol w:w="851"/>
        <w:gridCol w:w="1697"/>
        <w:gridCol w:w="1194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数据量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检测频次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东茅岭院区工作区综合污水排放口（DW001）、东茅岭院区北区综合污水排放口（DW002）、金鹗山院区综合废水总排口（DW004）、珍珠山院区综合废水排放口（DW005）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4次*天*月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总余氯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4次*天*季度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珍珠山院区废水排口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4次*天*周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东茅岭院区北区废水排口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珍珠山院区燃气锅炉排放口（DA001）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3次*天*月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烟气黑度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东茅岭院区工作区及北区污水站、珍珠山院区污水站、金鹗山院区总污水站，共4个综合污水站，每个污水站上风向设置1个点、下风向设置3个点，共计16个点位。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3次*天*季度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东茅岭院区、珍珠山院区、金鹗山院区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等效连续A声级（昼间‘夜间）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2次*天*季度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东茅岭与珍珠山院区，每个院区门诊楼、住院楼各1个用水点采样；金鹗山院区住院楼1个用水点采样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1次*天*半年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粪大肠菌群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细菌总数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采样费用</w:t>
            </w:r>
          </w:p>
        </w:tc>
        <w:tc>
          <w:tcPr>
            <w:tcW w:w="25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总计（检测费+人工+税费）：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9"/>
        <w:ind w:left="0" w:leftChars="0" w:firstLine="0" w:firstLineChars="0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ind w:left="0" w:leftChars="0" w:firstLine="0" w:firstLineChars="0"/>
        <w:rPr>
          <w:rFonts w:hint="eastAsia" w:ascii="黑体" w:hAnsi="宋体" w:eastAsia="黑体"/>
          <w:bCs/>
          <w:color w:val="auto"/>
          <w:sz w:val="30"/>
          <w:szCs w:val="30"/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2、报价一览表</w:t>
      </w:r>
    </w:p>
    <w:p>
      <w:pPr>
        <w:jc w:val="center"/>
        <w:rPr>
          <w:rFonts w:hint="eastAsia"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bCs/>
          <w:color w:val="auto"/>
          <w:sz w:val="30"/>
          <w:szCs w:val="30"/>
        </w:rPr>
        <w:t>报价一览表</w:t>
      </w:r>
    </w:p>
    <w:tbl>
      <w:tblPr>
        <w:tblStyle w:val="7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799"/>
        <w:gridCol w:w="3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20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项目名称</w:t>
            </w:r>
            <w:r>
              <w:rPr>
                <w:rFonts w:ascii="宋体" w:hAnsi="宋体"/>
                <w:color w:val="auto"/>
                <w:szCs w:val="21"/>
              </w:rPr>
              <w:tab/>
            </w:r>
            <w:r>
              <w:rPr>
                <w:rFonts w:ascii="宋体" w:hAnsi="宋体"/>
                <w:color w:val="auto"/>
                <w:szCs w:val="21"/>
              </w:rPr>
              <w:t>项目名称</w:t>
            </w:r>
          </w:p>
        </w:tc>
        <w:tc>
          <w:tcPr>
            <w:tcW w:w="720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岳阳市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中心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医院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自行监测委托服务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服务内容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三个院区各污水站的污水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废气监测，珍珠山院区锅炉烟气监测，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三个院区噪声监测，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以及每月监测数据上传、排污许可执行报告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（季报和年报）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编制与发布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；每年进行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环境信息披露填报；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三个院区的二次供水检测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rPr>
                <w:rFonts w:hint="default" w:ascii="宋体" w:hAnsi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20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分项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报价（元）</w:t>
            </w:r>
          </w:p>
        </w:tc>
        <w:tc>
          <w:tcPr>
            <w:tcW w:w="3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污水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废气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锅炉烟气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、噪声的监测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1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/>
        </w:tc>
        <w:tc>
          <w:tcPr>
            <w:tcW w:w="3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监测数据上传、排污许可执行报告编制与发布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环境信息披露填报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20" w:type="dxa"/>
            <w:vMerge w:val="continue"/>
            <w:tcBorders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pStyle w:val="9"/>
            </w:pPr>
          </w:p>
        </w:tc>
        <w:tc>
          <w:tcPr>
            <w:tcW w:w="3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pStyle w:val="9"/>
              <w:ind w:firstLine="751" w:firstLine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二次供水检测</w:t>
            </w:r>
          </w:p>
        </w:tc>
        <w:tc>
          <w:tcPr>
            <w:tcW w:w="3401" w:type="dxa"/>
            <w:tcBorders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pStyle w:val="9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auto"/>
                <w:szCs w:val="21"/>
              </w:rPr>
              <w:t>价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大写：</w:t>
            </w:r>
            <w:r>
              <w:rPr>
                <w:rFonts w:hint="eastAsia" w:ascii="宋体" w:hAnsi="宋体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元人民币整</w:t>
            </w:r>
          </w:p>
          <w:p>
            <w:pPr>
              <w:spacing w:line="42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小写：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元人民币整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送货时限承诺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i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7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项目负责人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20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备  注</w:t>
            </w:r>
          </w:p>
        </w:tc>
        <w:tc>
          <w:tcPr>
            <w:tcW w:w="7200" w:type="dxa"/>
            <w:gridSpan w:val="2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left="-88" w:leftChars="-42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ind w:left="-88" w:leftChars="-42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供应商（盖单位章）：</w:t>
      </w: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法定代表人或其委托代理人签字：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szCs w:val="21"/>
        </w:rPr>
      </w:pP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</w:rPr>
        <w:t>期：</w:t>
      </w:r>
      <w:r>
        <w:rPr>
          <w:rFonts w:hint="eastAsia" w:ascii="宋体" w:hAnsi="宋体"/>
          <w:color w:val="auto"/>
          <w:szCs w:val="21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hint="eastAsia" w:ascii="宋体" w:hAnsi="宋体"/>
          <w:color w:val="auto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u w:val="single"/>
        </w:rPr>
        <w:t xml:space="preserve">   </w:t>
      </w:r>
      <w:r>
        <w:rPr>
          <w:rFonts w:hint="eastAsia" w:ascii="宋体" w:hAnsi="宋体"/>
          <w:color w:val="auto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2FC7F"/>
    <w:multiLevelType w:val="singleLevel"/>
    <w:tmpl w:val="8142FC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4089F4"/>
    <w:multiLevelType w:val="singleLevel"/>
    <w:tmpl w:val="C14089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B3143B"/>
    <w:multiLevelType w:val="singleLevel"/>
    <w:tmpl w:val="26B314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WQ4ZmUzMzYyMjNhNmIxOGMwZTQ0MDk0YTRkNWQifQ=="/>
  </w:docVars>
  <w:rsids>
    <w:rsidRoot w:val="00355875"/>
    <w:rsid w:val="00355875"/>
    <w:rsid w:val="00522650"/>
    <w:rsid w:val="00D124AB"/>
    <w:rsid w:val="00F27D26"/>
    <w:rsid w:val="01BB3CD7"/>
    <w:rsid w:val="06852909"/>
    <w:rsid w:val="07C3091F"/>
    <w:rsid w:val="083D3697"/>
    <w:rsid w:val="0B2013B3"/>
    <w:rsid w:val="0D2C4223"/>
    <w:rsid w:val="0D2C7836"/>
    <w:rsid w:val="0F4C2412"/>
    <w:rsid w:val="11671785"/>
    <w:rsid w:val="1255289E"/>
    <w:rsid w:val="15E4629D"/>
    <w:rsid w:val="175207E1"/>
    <w:rsid w:val="183357E7"/>
    <w:rsid w:val="1B79633D"/>
    <w:rsid w:val="20510DE3"/>
    <w:rsid w:val="20E46343"/>
    <w:rsid w:val="276C17C4"/>
    <w:rsid w:val="28E341E8"/>
    <w:rsid w:val="2941010C"/>
    <w:rsid w:val="2D144117"/>
    <w:rsid w:val="30EF3F08"/>
    <w:rsid w:val="34153A4D"/>
    <w:rsid w:val="382372AF"/>
    <w:rsid w:val="39835A94"/>
    <w:rsid w:val="3B582697"/>
    <w:rsid w:val="3F726DE1"/>
    <w:rsid w:val="44EC5259"/>
    <w:rsid w:val="46AD5B7D"/>
    <w:rsid w:val="48CF095A"/>
    <w:rsid w:val="49E32E10"/>
    <w:rsid w:val="4A084BAC"/>
    <w:rsid w:val="4A125FF2"/>
    <w:rsid w:val="4BD44D46"/>
    <w:rsid w:val="4E4042F2"/>
    <w:rsid w:val="4EFB7E4B"/>
    <w:rsid w:val="532221D4"/>
    <w:rsid w:val="541C1980"/>
    <w:rsid w:val="546C22C9"/>
    <w:rsid w:val="547A122B"/>
    <w:rsid w:val="59FA21B2"/>
    <w:rsid w:val="5F931BAB"/>
    <w:rsid w:val="635A7DCF"/>
    <w:rsid w:val="666D606B"/>
    <w:rsid w:val="69D41F5D"/>
    <w:rsid w:val="6C924135"/>
    <w:rsid w:val="6D763F30"/>
    <w:rsid w:val="719B7F30"/>
    <w:rsid w:val="74460342"/>
    <w:rsid w:val="7C1112CF"/>
    <w:rsid w:val="7F266A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4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首行缩进"/>
    <w:basedOn w:val="1"/>
    <w:qFormat/>
    <w:uiPriority w:val="0"/>
    <w:pPr>
      <w:ind w:firstLine="480" w:firstLineChars="200"/>
    </w:pPr>
    <w:rPr>
      <w:rFonts w:ascii="Times New Roman" w:hAnsi="Times New Roman"/>
      <w:kern w:val="0"/>
      <w:szCs w:val="20"/>
      <w:lang w:val="zh-CN"/>
    </w:rPr>
  </w:style>
  <w:style w:type="character" w:customStyle="1" w:styleId="10">
    <w:name w:val="正文文本缩进 Char"/>
    <w:basedOn w:val="6"/>
    <w:link w:val="4"/>
    <w:qFormat/>
    <w:uiPriority w:val="0"/>
    <w:rPr>
      <w:rFonts w:ascii="Calibri" w:hAnsi="Calibri" w:eastAsia="宋体" w:cs="Times New Roman"/>
      <w:szCs w:val="24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3258</Words>
  <Characters>3507</Characters>
  <Lines>7</Lines>
  <Paragraphs>2</Paragraphs>
  <ScaleCrop>false</ScaleCrop>
  <LinksUpToDate>false</LinksUpToDate>
  <CharactersWithSpaces>3761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2021-08-31T03:13:00Z</dcterms:created>
  <dc:creator>xzk0008</dc:creator>
  <cp:lastModifiedBy>xzk0008</cp:lastModifiedBy>
  <cp:lastPrinted>2024-08-13T01:41:00Z</cp:lastPrinted>
  <dcterms:modified xsi:type="dcterms:W3CDTF">2024-08-20T01:42:17Z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8D7051AB3297408BA920D726F734CEF5_13</vt:lpwstr>
  </property>
</Properties>
</file>