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3CEEAC">
      <w:pPr>
        <w:jc w:val="center"/>
        <w:rPr>
          <w:rFonts w:hint="eastAsia"/>
          <w:b/>
          <w:bCs/>
          <w:sz w:val="28"/>
          <w:szCs w:val="36"/>
          <w:lang w:val="en-US" w:eastAsia="zh-CN"/>
        </w:rPr>
      </w:pPr>
      <w:r>
        <w:rPr>
          <w:rFonts w:hint="eastAsia"/>
          <w:b/>
          <w:bCs/>
          <w:sz w:val="28"/>
          <w:szCs w:val="36"/>
          <w:lang w:val="en-US" w:eastAsia="zh-CN"/>
        </w:rPr>
        <w:t>采购需求</w:t>
      </w:r>
    </w:p>
    <w:p w14:paraId="04EE0B3B">
      <w:pPr>
        <w:pStyle w:val="2"/>
        <w:spacing w:line="360" w:lineRule="auto"/>
        <w:jc w:val="both"/>
        <w:rPr>
          <w:rFonts w:hint="eastAsia" w:ascii="宋体" w:hAnsi="宋体" w:eastAsia="宋体" w:cs="宋体"/>
          <w:color w:val="auto"/>
          <w:kern w:val="0"/>
          <w:sz w:val="24"/>
          <w:szCs w:val="24"/>
          <w:highlight w:val="none"/>
          <w:lang w:val="zh-CN" w:eastAsia="zh-CN" w:bidi="ar"/>
        </w:rPr>
      </w:pPr>
      <w:bookmarkStart w:id="0" w:name="_Toc166319249"/>
      <w:bookmarkStart w:id="1" w:name="_Toc169842698"/>
      <w:bookmarkStart w:id="2" w:name="_Toc452535920"/>
      <w:bookmarkStart w:id="3" w:name="_Toc368063372"/>
      <w:bookmarkStart w:id="4" w:name="_Toc123697947"/>
      <w:bookmarkStart w:id="5" w:name="_Toc125776659"/>
      <w:bookmarkStart w:id="6" w:name="_Toc515854221"/>
      <w:bookmarkStart w:id="7" w:name="_Toc363484461"/>
      <w:bookmarkStart w:id="8" w:name="_Toc417182038"/>
      <w:bookmarkStart w:id="9" w:name="_Toc371315116"/>
      <w:bookmarkStart w:id="10" w:name="_Toc169783784"/>
      <w:bookmarkStart w:id="11" w:name="_Toc452531641"/>
      <w:bookmarkStart w:id="12" w:name="_Toc171520910"/>
      <w:bookmarkStart w:id="13" w:name="_Toc166319405"/>
      <w:bookmarkStart w:id="14" w:name="_Toc414892694"/>
      <w:bookmarkStart w:id="15" w:name="_Toc20154"/>
      <w:bookmarkStart w:id="16" w:name="_Toc17427"/>
      <w:bookmarkStart w:id="17" w:name="_Toc30640"/>
      <w:bookmarkStart w:id="18" w:name="_Toc9527"/>
      <w:bookmarkStart w:id="19" w:name="_Toc12296"/>
      <w:bookmarkStart w:id="20" w:name="_Toc15381"/>
      <w:r>
        <w:rPr>
          <w:rFonts w:hint="eastAsia" w:ascii="宋体" w:hAnsi="宋体" w:eastAsia="宋体" w:cs="宋体"/>
          <w:color w:val="auto"/>
          <w:kern w:val="0"/>
          <w:sz w:val="24"/>
          <w:szCs w:val="24"/>
          <w:highlight w:val="none"/>
          <w:lang w:val="zh-CN" w:eastAsia="zh-CN" w:bidi="ar"/>
        </w:rPr>
        <w:t>1</w:t>
      </w:r>
      <w:r>
        <w:rPr>
          <w:rFonts w:hint="eastAsia" w:ascii="宋体" w:hAnsi="宋体" w:cs="宋体"/>
          <w:color w:val="auto"/>
          <w:kern w:val="0"/>
          <w:sz w:val="24"/>
          <w:szCs w:val="24"/>
          <w:highlight w:val="none"/>
          <w:lang w:val="zh-CN" w:eastAsia="zh-CN" w:bidi="ar"/>
        </w:rPr>
        <w:t>、</w:t>
      </w:r>
      <w:r>
        <w:rPr>
          <w:rFonts w:hint="eastAsia" w:ascii="宋体" w:hAnsi="宋体" w:eastAsia="宋体" w:cs="宋体"/>
          <w:color w:val="auto"/>
          <w:kern w:val="0"/>
          <w:sz w:val="24"/>
          <w:szCs w:val="24"/>
          <w:highlight w:val="none"/>
          <w:lang w:val="zh-CN" w:eastAsia="zh-CN" w:bidi="ar"/>
        </w:rPr>
        <w:t>项目</w:t>
      </w:r>
      <w:bookmarkEnd w:id="0"/>
      <w:bookmarkEnd w:id="1"/>
      <w:bookmarkEnd w:id="2"/>
      <w:bookmarkEnd w:id="3"/>
      <w:bookmarkEnd w:id="4"/>
      <w:bookmarkEnd w:id="5"/>
      <w:bookmarkEnd w:id="6"/>
      <w:bookmarkEnd w:id="7"/>
      <w:bookmarkEnd w:id="8"/>
      <w:bookmarkEnd w:id="9"/>
      <w:bookmarkEnd w:id="10"/>
      <w:bookmarkEnd w:id="11"/>
      <w:bookmarkEnd w:id="12"/>
      <w:bookmarkEnd w:id="13"/>
      <w:r>
        <w:rPr>
          <w:rFonts w:hint="eastAsia" w:ascii="宋体" w:hAnsi="宋体" w:eastAsia="宋体" w:cs="宋体"/>
          <w:color w:val="auto"/>
          <w:kern w:val="0"/>
          <w:sz w:val="24"/>
          <w:szCs w:val="24"/>
          <w:highlight w:val="none"/>
          <w:lang w:val="zh-CN" w:eastAsia="zh-CN" w:bidi="ar"/>
        </w:rPr>
        <w:t>概述</w:t>
      </w:r>
      <w:bookmarkEnd w:id="14"/>
      <w:bookmarkEnd w:id="15"/>
      <w:bookmarkEnd w:id="16"/>
      <w:bookmarkEnd w:id="17"/>
      <w:bookmarkEnd w:id="18"/>
      <w:bookmarkEnd w:id="19"/>
    </w:p>
    <w:p w14:paraId="6E80E2A8">
      <w:pPr>
        <w:keepNext/>
        <w:spacing w:line="360" w:lineRule="auto"/>
        <w:ind w:firstLine="480" w:firstLineChars="200"/>
        <w:jc w:val="left"/>
        <w:rPr>
          <w:rFonts w:hint="eastAsia" w:ascii="宋体" w:hAnsi="宋体" w:eastAsia="宋体" w:cs="Times New Roman"/>
          <w:color w:val="auto"/>
          <w:sz w:val="24"/>
          <w:szCs w:val="24"/>
          <w:highlight w:val="none"/>
        </w:rPr>
      </w:pPr>
      <w:bookmarkStart w:id="21" w:name="_Toc3009"/>
      <w:bookmarkStart w:id="22" w:name="_Toc16939"/>
      <w:bookmarkStart w:id="23" w:name="_Toc14558"/>
      <w:r>
        <w:rPr>
          <w:rFonts w:ascii="Calibri" w:hAnsi="Calibri" w:eastAsia="宋体" w:cs="Times New Roman"/>
          <w:color w:val="auto"/>
          <w:sz w:val="24"/>
          <w:szCs w:val="24"/>
          <w:highlight w:val="none"/>
          <w:u w:val="none"/>
        </w:rPr>
        <w:t>湖南</w:t>
      </w:r>
      <w:r>
        <w:rPr>
          <w:rFonts w:hint="eastAsia" w:ascii="Calibri" w:hAnsi="Calibri" w:eastAsia="宋体" w:cs="Times New Roman"/>
          <w:color w:val="auto"/>
          <w:sz w:val="24"/>
          <w:szCs w:val="24"/>
          <w:highlight w:val="none"/>
          <w:u w:val="none"/>
          <w:lang w:val="en-US" w:eastAsia="zh-CN"/>
        </w:rPr>
        <w:t>省</w:t>
      </w:r>
      <w:r>
        <w:rPr>
          <w:rFonts w:ascii="Calibri" w:hAnsi="Calibri" w:eastAsia="宋体" w:cs="Times New Roman"/>
          <w:color w:val="auto"/>
          <w:sz w:val="24"/>
          <w:szCs w:val="24"/>
          <w:highlight w:val="none"/>
          <w:u w:val="none"/>
        </w:rPr>
        <w:t>大通湖五门闸至岳阳县陡砂坡四级航道建设工程（岳阳县段）</w:t>
      </w:r>
      <w:r>
        <w:rPr>
          <w:rFonts w:hint="eastAsia" w:ascii="Calibri" w:hAnsi="Calibri" w:eastAsia="宋体" w:cs="Times New Roman"/>
          <w:color w:val="auto"/>
          <w:sz w:val="24"/>
          <w:szCs w:val="24"/>
          <w:highlight w:val="none"/>
          <w:u w:val="none"/>
          <w:lang w:val="en-US" w:eastAsia="zh-CN"/>
        </w:rPr>
        <w:t>按</w:t>
      </w:r>
      <w:r>
        <w:rPr>
          <w:rFonts w:ascii="Calibri" w:hAnsi="Calibri" w:eastAsia="宋体" w:cs="Times New Roman"/>
          <w:color w:val="auto"/>
          <w:sz w:val="24"/>
          <w:szCs w:val="24"/>
          <w:highlight w:val="none"/>
          <w:u w:val="none"/>
        </w:rPr>
        <w:t>IV级双线航道</w:t>
      </w:r>
      <w:r>
        <w:rPr>
          <w:rFonts w:hint="eastAsia" w:ascii="Calibri" w:hAnsi="Calibri" w:eastAsia="宋体" w:cs="Times New Roman"/>
          <w:color w:val="auto"/>
          <w:sz w:val="24"/>
          <w:szCs w:val="24"/>
          <w:highlight w:val="none"/>
          <w:u w:val="none"/>
          <w:lang w:val="en-US" w:eastAsia="zh-CN"/>
        </w:rPr>
        <w:t>标准整治</w:t>
      </w:r>
      <w:r>
        <w:rPr>
          <w:rFonts w:ascii="Calibri" w:hAnsi="Calibri" w:eastAsia="宋体" w:cs="Times New Roman"/>
          <w:color w:val="auto"/>
          <w:sz w:val="24"/>
          <w:szCs w:val="24"/>
          <w:highlight w:val="none"/>
          <w:u w:val="none"/>
        </w:rPr>
        <w:t>，</w:t>
      </w:r>
      <w:r>
        <w:rPr>
          <w:rFonts w:ascii="Calibri" w:hAnsi="Calibri" w:eastAsia="宋体" w:cs="Times New Roman"/>
          <w:bCs/>
          <w:color w:val="auto"/>
          <w:sz w:val="24"/>
          <w:szCs w:val="24"/>
          <w:highlight w:val="none"/>
          <w:u w:val="none"/>
        </w:rPr>
        <w:t>通航尺度：1.8m×50m×330m（水深×双线航宽×弯曲半径）</w:t>
      </w:r>
      <w:r>
        <w:rPr>
          <w:rFonts w:hint="eastAsia" w:ascii="Calibri" w:hAnsi="Calibri" w:eastAsia="宋体" w:cs="Times New Roman"/>
          <w:bCs/>
          <w:color w:val="auto"/>
          <w:sz w:val="24"/>
          <w:szCs w:val="24"/>
          <w:highlight w:val="none"/>
          <w:u w:val="none"/>
          <w:lang w:eastAsia="zh-CN"/>
        </w:rPr>
        <w:t>，</w:t>
      </w:r>
      <w:r>
        <w:rPr>
          <w:rFonts w:ascii="Calibri" w:hAnsi="Calibri" w:eastAsia="宋体" w:cs="Times New Roman"/>
          <w:color w:val="auto"/>
          <w:sz w:val="24"/>
          <w:szCs w:val="24"/>
          <w:highlight w:val="none"/>
          <w:u w:val="none"/>
        </w:rPr>
        <w:t>航道工程整治范围起于简易闸，止于</w:t>
      </w:r>
      <w:r>
        <w:rPr>
          <w:rFonts w:hint="eastAsia" w:ascii="Calibri" w:hAnsi="Calibri" w:eastAsia="宋体" w:cs="Times New Roman"/>
          <w:color w:val="auto"/>
          <w:sz w:val="24"/>
          <w:szCs w:val="24"/>
          <w:highlight w:val="none"/>
          <w:u w:val="none"/>
          <w:lang w:val="en-US" w:eastAsia="zh-CN"/>
        </w:rPr>
        <w:t>岳阳县</w:t>
      </w:r>
      <w:r>
        <w:rPr>
          <w:rFonts w:ascii="Calibri" w:hAnsi="Calibri" w:eastAsia="宋体" w:cs="Times New Roman"/>
          <w:color w:val="auto"/>
          <w:sz w:val="24"/>
          <w:szCs w:val="24"/>
          <w:highlight w:val="none"/>
          <w:u w:val="none"/>
        </w:rPr>
        <w:t>陡砂坡，全长8.6km</w:t>
      </w:r>
      <w:r>
        <w:rPr>
          <w:rFonts w:hint="eastAsia" w:ascii="Calibri" w:hAnsi="Calibri" w:eastAsia="宋体" w:cs="Times New Roman"/>
          <w:color w:val="auto"/>
          <w:sz w:val="24"/>
          <w:szCs w:val="24"/>
          <w:highlight w:val="none"/>
          <w:u w:val="none"/>
          <w:lang w:eastAsia="zh-CN"/>
        </w:rPr>
        <w:t>，</w:t>
      </w:r>
      <w:r>
        <w:rPr>
          <w:rFonts w:hint="eastAsia" w:ascii="宋体" w:hAnsi="宋体" w:eastAsia="宋体" w:cs="Times New Roman"/>
          <w:color w:val="auto"/>
          <w:sz w:val="24"/>
          <w:szCs w:val="24"/>
          <w:highlight w:val="none"/>
        </w:rPr>
        <w:t>工程计划总工期约</w:t>
      </w:r>
      <w:r>
        <w:rPr>
          <w:rFonts w:hint="eastAsia" w:ascii="宋体" w:hAnsi="宋体" w:eastAsia="宋体" w:cs="Times New Roman"/>
          <w:color w:val="auto"/>
          <w:sz w:val="24"/>
          <w:szCs w:val="24"/>
          <w:highlight w:val="none"/>
          <w:lang w:val="en-US" w:eastAsia="zh-CN"/>
        </w:rPr>
        <w:t>3</w:t>
      </w:r>
      <w:r>
        <w:rPr>
          <w:rFonts w:hint="eastAsia" w:ascii="宋体" w:hAnsi="宋体" w:eastAsia="宋体" w:cs="Times New Roman"/>
          <w:color w:val="auto"/>
          <w:sz w:val="24"/>
          <w:szCs w:val="24"/>
          <w:highlight w:val="none"/>
        </w:rPr>
        <w:t>0个月。主要建设内容</w:t>
      </w:r>
      <w:r>
        <w:rPr>
          <w:rFonts w:ascii="Calibri" w:hAnsi="Calibri" w:eastAsia="宋体" w:cs="Times New Roman"/>
          <w:color w:val="auto"/>
          <w:sz w:val="24"/>
          <w:szCs w:val="24"/>
          <w:highlight w:val="none"/>
          <w:u w:val="none"/>
        </w:rPr>
        <w:t>包括航道疏浚工程和</w:t>
      </w:r>
      <w:r>
        <w:rPr>
          <w:rFonts w:hint="eastAsia" w:ascii="Calibri" w:hAnsi="Calibri" w:eastAsia="宋体" w:cs="Times New Roman"/>
          <w:color w:val="auto"/>
          <w:sz w:val="24"/>
          <w:szCs w:val="24"/>
          <w:highlight w:val="none"/>
          <w:u w:val="none"/>
          <w:lang w:eastAsia="zh-CN"/>
        </w:rPr>
        <w:t>胜利护滩工程</w:t>
      </w:r>
      <w:r>
        <w:rPr>
          <w:rFonts w:ascii="Calibri" w:hAnsi="Calibri" w:eastAsia="宋体" w:cs="Times New Roman"/>
          <w:color w:val="auto"/>
          <w:sz w:val="24"/>
          <w:szCs w:val="24"/>
          <w:highlight w:val="none"/>
          <w:u w:val="none"/>
        </w:rPr>
        <w:t>。</w:t>
      </w:r>
    </w:p>
    <w:p w14:paraId="0F049A96">
      <w:pPr>
        <w:spacing w:line="360" w:lineRule="auto"/>
        <w:ind w:firstLine="480" w:firstLineChars="200"/>
        <w:jc w:val="left"/>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项目建设地点：湖南省岳阳市</w:t>
      </w:r>
      <w:r>
        <w:rPr>
          <w:rFonts w:hint="eastAsia" w:ascii="宋体" w:hAnsi="宋体" w:eastAsia="宋体" w:cs="Times New Roman"/>
          <w:color w:val="auto"/>
          <w:sz w:val="24"/>
          <w:szCs w:val="24"/>
          <w:highlight w:val="none"/>
          <w:lang w:val="en-US" w:eastAsia="zh-CN"/>
        </w:rPr>
        <w:t>岳阳县境内</w:t>
      </w:r>
      <w:r>
        <w:rPr>
          <w:rFonts w:hint="eastAsia" w:ascii="宋体" w:hAnsi="宋体" w:eastAsia="宋体" w:cs="Times New Roman"/>
          <w:color w:val="auto"/>
          <w:sz w:val="24"/>
          <w:szCs w:val="24"/>
          <w:highlight w:val="none"/>
        </w:rPr>
        <w:t>。</w:t>
      </w:r>
    </w:p>
    <w:p w14:paraId="6FC49D0D">
      <w:pPr>
        <w:spacing w:line="360" w:lineRule="auto"/>
        <w:ind w:firstLine="480" w:firstLineChars="200"/>
        <w:jc w:val="left"/>
        <w:rPr>
          <w:rFonts w:hint="default" w:ascii="宋体" w:hAnsi="宋体"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u w:val="none"/>
        </w:rPr>
        <w:t>本工程起点位于岳阳县胜利可采区</w:t>
      </w:r>
      <w:r>
        <w:rPr>
          <w:rFonts w:hint="default" w:ascii="Times New Roman" w:hAnsi="Times New Roman" w:eastAsia="宋体" w:cs="Times New Roman"/>
          <w:snapToGrid w:val="0"/>
          <w:color w:val="auto"/>
          <w:sz w:val="24"/>
          <w:szCs w:val="24"/>
          <w:highlight w:val="none"/>
          <w:lang w:val="en-US" w:eastAsia="zh-CN"/>
        </w:rPr>
        <w:t>。采砂后局部河床发生降落，形成的床面高低不平</w:t>
      </w:r>
      <w:r>
        <w:rPr>
          <w:rFonts w:hint="eastAsia" w:ascii="Times New Roman" w:hAnsi="Times New Roman" w:eastAsia="宋体" w:cs="Times New Roman"/>
          <w:snapToGrid w:val="0"/>
          <w:color w:val="auto"/>
          <w:sz w:val="24"/>
          <w:szCs w:val="24"/>
          <w:highlight w:val="none"/>
          <w:lang w:val="en-US" w:eastAsia="zh-CN"/>
        </w:rPr>
        <w:t>。</w:t>
      </w:r>
      <w:r>
        <w:rPr>
          <w:rFonts w:hint="default" w:ascii="Times New Roman" w:hAnsi="Times New Roman" w:eastAsia="宋体" w:cs="Times New Roman"/>
          <w:snapToGrid w:val="0"/>
          <w:color w:val="auto"/>
          <w:sz w:val="24"/>
          <w:szCs w:val="24"/>
          <w:highlight w:val="none"/>
          <w:lang w:val="en-US" w:eastAsia="zh-CN"/>
        </w:rPr>
        <w:t>本航道起点段与采区部分重叠</w:t>
      </w:r>
      <w:r>
        <w:rPr>
          <w:rFonts w:hint="eastAsia" w:ascii="Times New Roman" w:hAnsi="Times New Roman" w:eastAsia="宋体" w:cs="Times New Roman"/>
          <w:snapToGrid w:val="0"/>
          <w:color w:val="auto"/>
          <w:sz w:val="24"/>
          <w:szCs w:val="24"/>
          <w:highlight w:val="none"/>
          <w:lang w:val="en-US" w:eastAsia="zh-CN"/>
        </w:rPr>
        <w:t>，拟采取航道疏浚料对采砂坑进行回填，保护航道边滩，需开展护滩工程专题论证，进一步研究护滩工程、胜利采区和航道安全的关系。</w:t>
      </w:r>
    </w:p>
    <w:p w14:paraId="1EE8F7CA">
      <w:pPr>
        <w:pStyle w:val="2"/>
        <w:spacing w:line="360" w:lineRule="auto"/>
        <w:jc w:val="both"/>
        <w:rPr>
          <w:rFonts w:hint="eastAsia" w:ascii="宋体" w:hAnsi="宋体" w:eastAsia="宋体" w:cs="宋体"/>
          <w:color w:val="auto"/>
          <w:kern w:val="0"/>
          <w:sz w:val="24"/>
          <w:szCs w:val="24"/>
          <w:highlight w:val="none"/>
          <w:lang w:val="zh-CN" w:eastAsia="zh-CN" w:bidi="ar"/>
        </w:rPr>
      </w:pPr>
      <w:bookmarkStart w:id="24" w:name="_Toc32027"/>
      <w:bookmarkStart w:id="25" w:name="_Toc16842"/>
      <w:r>
        <w:rPr>
          <w:rFonts w:hint="eastAsia" w:ascii="宋体" w:hAnsi="宋体" w:eastAsia="宋体" w:cs="宋体"/>
          <w:color w:val="auto"/>
          <w:kern w:val="0"/>
          <w:sz w:val="24"/>
          <w:szCs w:val="24"/>
          <w:highlight w:val="none"/>
          <w:lang w:val="zh-CN" w:eastAsia="zh-CN" w:bidi="ar"/>
        </w:rPr>
        <w:t>2</w:t>
      </w:r>
      <w:r>
        <w:rPr>
          <w:rFonts w:hint="eastAsia" w:ascii="宋体" w:hAnsi="宋体" w:cs="宋体"/>
          <w:color w:val="auto"/>
          <w:kern w:val="0"/>
          <w:sz w:val="24"/>
          <w:szCs w:val="24"/>
          <w:highlight w:val="none"/>
          <w:lang w:val="zh-CN" w:eastAsia="zh-CN" w:bidi="ar"/>
        </w:rPr>
        <w:t>、</w:t>
      </w:r>
      <w:r>
        <w:rPr>
          <w:rFonts w:hint="eastAsia" w:ascii="宋体" w:hAnsi="宋体" w:eastAsia="宋体" w:cs="宋体"/>
          <w:color w:val="auto"/>
          <w:kern w:val="0"/>
          <w:sz w:val="24"/>
          <w:szCs w:val="24"/>
          <w:highlight w:val="none"/>
          <w:lang w:val="zh-CN" w:eastAsia="zh-CN" w:bidi="ar"/>
        </w:rPr>
        <w:t>服务</w:t>
      </w:r>
      <w:bookmarkEnd w:id="21"/>
      <w:bookmarkEnd w:id="22"/>
      <w:bookmarkEnd w:id="23"/>
      <w:bookmarkEnd w:id="24"/>
      <w:r>
        <w:rPr>
          <w:rFonts w:hint="eastAsia" w:ascii="宋体" w:hAnsi="宋体" w:eastAsia="宋体" w:cs="宋体"/>
          <w:color w:val="auto"/>
          <w:kern w:val="0"/>
          <w:sz w:val="24"/>
          <w:szCs w:val="24"/>
          <w:highlight w:val="none"/>
          <w:lang w:val="en-US" w:eastAsia="zh-CN" w:bidi="ar"/>
        </w:rPr>
        <w:t>内容</w:t>
      </w:r>
      <w:bookmarkEnd w:id="25"/>
    </w:p>
    <w:p w14:paraId="79D10259">
      <w:pPr>
        <w:keepNext w:val="0"/>
        <w:keepLines w:val="0"/>
        <w:widowControl/>
        <w:suppressLineNumbers w:val="0"/>
        <w:spacing w:line="360" w:lineRule="auto"/>
        <w:ind w:firstLine="480" w:firstLineChars="200"/>
        <w:jc w:val="left"/>
        <w:rPr>
          <w:rFonts w:hint="eastAsia" w:ascii="瀹嬩綋" w:hAnsi="瀹嬩綋" w:eastAsia="瀹嬩綋" w:cs="瀹嬩綋"/>
          <w:color w:val="auto"/>
          <w:kern w:val="0"/>
          <w:sz w:val="24"/>
          <w:szCs w:val="24"/>
          <w:highlight w:val="none"/>
          <w:lang w:val="en-US" w:eastAsia="zh-CN" w:bidi="ar"/>
        </w:rPr>
      </w:pPr>
      <w:bookmarkStart w:id="26" w:name="_Toc14728"/>
      <w:bookmarkStart w:id="27" w:name="_Toc788"/>
      <w:bookmarkStart w:id="28" w:name="_Toc19356"/>
      <w:r>
        <w:rPr>
          <w:rFonts w:hint="default" w:ascii="瀹嬩綋" w:hAnsi="瀹嬩綋" w:eastAsia="瀹嬩綋" w:cs="瀹嬩綋"/>
          <w:color w:val="auto"/>
          <w:kern w:val="0"/>
          <w:sz w:val="24"/>
          <w:szCs w:val="24"/>
          <w:highlight w:val="none"/>
          <w:lang w:val="en-US" w:eastAsia="zh-CN" w:bidi="ar"/>
        </w:rPr>
        <w:t>开展大通湖五门闸至岳阳县陡砂坡四级航道建设工程(岳阳县段)疏浚料用于胜利护滩工程专题研究</w:t>
      </w:r>
      <w:r>
        <w:rPr>
          <w:rFonts w:hint="eastAsia" w:ascii="瀹嬩綋" w:hAnsi="瀹嬩綋" w:eastAsia="瀹嬩綋" w:cs="瀹嬩綋"/>
          <w:color w:val="auto"/>
          <w:kern w:val="0"/>
          <w:sz w:val="24"/>
          <w:szCs w:val="24"/>
          <w:highlight w:val="none"/>
          <w:lang w:val="en-US" w:eastAsia="zh-CN" w:bidi="ar"/>
        </w:rPr>
        <w:t>。</w:t>
      </w:r>
    </w:p>
    <w:p w14:paraId="40B72D79">
      <w:pPr>
        <w:keepNext w:val="0"/>
        <w:keepLines w:val="0"/>
        <w:widowControl/>
        <w:suppressLineNumbers w:val="0"/>
        <w:spacing w:line="360" w:lineRule="auto"/>
        <w:ind w:firstLine="480" w:firstLineChars="200"/>
        <w:jc w:val="left"/>
        <w:rPr>
          <w:rFonts w:hint="eastAsia" w:ascii="瀹嬩綋" w:hAnsi="瀹嬩綋" w:eastAsia="瀹嬩綋" w:cs="瀹嬩綋"/>
          <w:color w:val="auto"/>
          <w:kern w:val="0"/>
          <w:sz w:val="24"/>
          <w:szCs w:val="24"/>
          <w:highlight w:val="none"/>
          <w:lang w:val="en-US" w:eastAsia="zh-CN" w:bidi="ar"/>
        </w:rPr>
      </w:pPr>
      <w:r>
        <w:rPr>
          <w:rFonts w:hint="default" w:ascii="瀹嬩綋" w:hAnsi="瀹嬩綋" w:eastAsia="瀹嬩綋" w:cs="瀹嬩綋"/>
          <w:color w:val="auto"/>
          <w:kern w:val="0"/>
          <w:sz w:val="24"/>
          <w:szCs w:val="24"/>
          <w:highlight w:val="none"/>
          <w:lang w:val="en-US" w:eastAsia="zh-CN" w:bidi="ar"/>
        </w:rPr>
        <w:t>要求</w:t>
      </w:r>
      <w:r>
        <w:rPr>
          <w:rFonts w:hint="eastAsia" w:ascii="瀹嬩綋" w:hAnsi="瀹嬩綋" w:eastAsia="瀹嬩綋" w:cs="瀹嬩綋"/>
          <w:color w:val="auto"/>
          <w:kern w:val="0"/>
          <w:sz w:val="24"/>
          <w:szCs w:val="24"/>
          <w:highlight w:val="none"/>
          <w:lang w:val="en-US" w:eastAsia="zh-CN" w:bidi="ar"/>
        </w:rPr>
        <w:t>采用</w:t>
      </w:r>
      <w:r>
        <w:rPr>
          <w:rFonts w:hint="eastAsia" w:ascii="宋体" w:hAnsi="宋体" w:eastAsia="宋体" w:cs="宋体"/>
          <w:color w:val="auto"/>
          <w:kern w:val="0"/>
          <w:sz w:val="24"/>
          <w:szCs w:val="24"/>
          <w:highlight w:val="none"/>
          <w:lang w:val="en-US" w:eastAsia="zh-CN" w:bidi="ar"/>
        </w:rPr>
        <w:t>mike</w:t>
      </w:r>
      <w:r>
        <w:rPr>
          <w:rFonts w:hint="eastAsia" w:ascii="瀹嬩綋" w:hAnsi="瀹嬩綋" w:eastAsia="瀹嬩綋" w:cs="瀹嬩綋"/>
          <w:color w:val="auto"/>
          <w:kern w:val="0"/>
          <w:sz w:val="24"/>
          <w:szCs w:val="24"/>
          <w:highlight w:val="none"/>
          <w:lang w:val="en-US" w:eastAsia="zh-CN" w:bidi="ar"/>
        </w:rPr>
        <w:t>软件，利用</w:t>
      </w:r>
      <w:r>
        <w:rPr>
          <w:rFonts w:hint="default" w:ascii="瀹嬩綋" w:hAnsi="瀹嬩綋" w:eastAsia="瀹嬩綋" w:cs="瀹嬩綋"/>
          <w:color w:val="auto"/>
          <w:kern w:val="0"/>
          <w:sz w:val="24"/>
          <w:szCs w:val="24"/>
          <w:highlight w:val="none"/>
          <w:lang w:val="en-US" w:eastAsia="zh-CN" w:bidi="ar"/>
        </w:rPr>
        <w:t>洞庭湖实测地形</w:t>
      </w:r>
      <w:bookmarkStart w:id="32" w:name="_GoBack"/>
      <w:bookmarkEnd w:id="32"/>
      <w:r>
        <w:rPr>
          <w:rFonts w:hint="default" w:ascii="瀹嬩綋" w:hAnsi="瀹嬩綋" w:eastAsia="瀹嬩綋" w:cs="瀹嬩綋"/>
          <w:color w:val="auto"/>
          <w:kern w:val="0"/>
          <w:sz w:val="24"/>
          <w:szCs w:val="24"/>
          <w:highlight w:val="none"/>
          <w:lang w:val="en-US" w:eastAsia="zh-CN" w:bidi="ar"/>
        </w:rPr>
        <w:t>建立二维水动力模型，按防洪设计水位、历史最高洪水位和平滩水位三个工况对</w:t>
      </w:r>
      <w:r>
        <w:rPr>
          <w:rFonts w:hint="eastAsia" w:ascii="瀹嬩綋" w:hAnsi="瀹嬩綋" w:eastAsia="瀹嬩綋" w:cs="瀹嬩綋"/>
          <w:color w:val="auto"/>
          <w:kern w:val="0"/>
          <w:sz w:val="24"/>
          <w:szCs w:val="24"/>
          <w:highlight w:val="none"/>
          <w:lang w:val="en-US" w:eastAsia="zh-CN" w:bidi="ar"/>
        </w:rPr>
        <w:t>疏浚料用于胜利护滩工程所造成的影响进行论证，要求提交水位、流速变化云图和流场变化图。</w:t>
      </w:r>
    </w:p>
    <w:p w14:paraId="626373C0">
      <w:pPr>
        <w:keepNext w:val="0"/>
        <w:keepLines w:val="0"/>
        <w:widowControl/>
        <w:suppressLineNumbers w:val="0"/>
        <w:spacing w:line="360" w:lineRule="auto"/>
        <w:ind w:firstLine="480" w:firstLineChars="200"/>
        <w:jc w:val="left"/>
        <w:rPr>
          <w:rFonts w:hint="default" w:ascii="瀹嬩綋" w:hAnsi="瀹嬩綋" w:eastAsia="瀹嬩綋" w:cs="瀹嬩綋"/>
          <w:color w:val="auto"/>
          <w:kern w:val="0"/>
          <w:sz w:val="24"/>
          <w:szCs w:val="24"/>
          <w:highlight w:val="none"/>
          <w:lang w:val="en-US" w:eastAsia="zh-CN" w:bidi="ar"/>
        </w:rPr>
      </w:pPr>
      <w:r>
        <w:rPr>
          <w:rFonts w:hint="eastAsia" w:ascii="瀹嬩綋" w:hAnsi="瀹嬩綋" w:eastAsia="瀹嬩綋" w:cs="瀹嬩綋"/>
          <w:color w:val="auto"/>
          <w:kern w:val="0"/>
          <w:sz w:val="24"/>
          <w:szCs w:val="24"/>
          <w:highlight w:val="none"/>
          <w:lang w:val="en-US" w:eastAsia="zh-CN" w:bidi="ar"/>
        </w:rPr>
        <w:t>具体内容应包括</w:t>
      </w:r>
      <w:r>
        <w:rPr>
          <w:rFonts w:hint="default" w:ascii="瀹嬩綋" w:hAnsi="瀹嬩綋" w:eastAsia="瀹嬩綋" w:cs="瀹嬩綋"/>
          <w:color w:val="auto"/>
          <w:kern w:val="0"/>
          <w:sz w:val="24"/>
          <w:szCs w:val="24"/>
          <w:highlight w:val="none"/>
          <w:lang w:val="en-US" w:eastAsia="zh-CN" w:bidi="ar"/>
        </w:rPr>
        <w:t>胜利护滩工程建成前后</w:t>
      </w:r>
      <w:r>
        <w:rPr>
          <w:rFonts w:hint="eastAsia" w:ascii="瀹嬩綋" w:hAnsi="瀹嬩綋" w:eastAsia="瀹嬩綋" w:cs="瀹嬩綋"/>
          <w:color w:val="auto"/>
          <w:kern w:val="0"/>
          <w:sz w:val="24"/>
          <w:szCs w:val="24"/>
          <w:highlight w:val="none"/>
          <w:lang w:val="en-US" w:eastAsia="zh-CN" w:bidi="ar"/>
        </w:rPr>
        <w:t>对水位、流速和流场的影响，</w:t>
      </w:r>
      <w:r>
        <w:rPr>
          <w:rFonts w:hint="eastAsia" w:ascii="Times New Roman" w:hAnsi="Times New Roman" w:eastAsia="宋体" w:cs="Times New Roman"/>
          <w:snapToGrid w:val="0"/>
          <w:color w:val="auto"/>
          <w:sz w:val="24"/>
          <w:szCs w:val="24"/>
          <w:highlight w:val="none"/>
          <w:lang w:val="en-US" w:eastAsia="zh-CN"/>
        </w:rPr>
        <w:t>护滩工程、胜利采区和航道安全的关系</w:t>
      </w:r>
      <w:r>
        <w:rPr>
          <w:rFonts w:hint="eastAsia" w:ascii="瀹嬩綋" w:hAnsi="瀹嬩綋" w:eastAsia="瀹嬩綋" w:cs="瀹嬩綋"/>
          <w:color w:val="auto"/>
          <w:kern w:val="0"/>
          <w:sz w:val="24"/>
          <w:szCs w:val="24"/>
          <w:highlight w:val="none"/>
          <w:lang w:val="en-US" w:eastAsia="zh-CN" w:bidi="ar"/>
        </w:rPr>
        <w:t>，</w:t>
      </w:r>
      <w:r>
        <w:rPr>
          <w:rFonts w:hint="default" w:ascii="瀹嬩綋" w:hAnsi="瀹嬩綋" w:eastAsia="瀹嬩綋" w:cs="瀹嬩綋"/>
          <w:color w:val="auto"/>
          <w:kern w:val="0"/>
          <w:sz w:val="24"/>
          <w:szCs w:val="24"/>
          <w:highlight w:val="none"/>
          <w:lang w:val="en-US" w:eastAsia="zh-CN" w:bidi="ar"/>
        </w:rPr>
        <w:t>论证</w:t>
      </w:r>
      <w:r>
        <w:rPr>
          <w:rFonts w:hint="eastAsia" w:ascii="瀹嬩綋" w:hAnsi="瀹嬩綋" w:eastAsia="瀹嬩綋" w:cs="瀹嬩綋"/>
          <w:color w:val="auto"/>
          <w:kern w:val="0"/>
          <w:sz w:val="24"/>
          <w:szCs w:val="24"/>
          <w:highlight w:val="none"/>
          <w:lang w:val="en-US" w:eastAsia="zh-CN" w:bidi="ar"/>
        </w:rPr>
        <w:t>胜利</w:t>
      </w:r>
      <w:r>
        <w:rPr>
          <w:rFonts w:hint="default" w:ascii="瀹嬩綋" w:hAnsi="瀹嬩綋" w:eastAsia="瀹嬩綋" w:cs="瀹嬩綋"/>
          <w:color w:val="auto"/>
          <w:kern w:val="0"/>
          <w:sz w:val="24"/>
          <w:szCs w:val="24"/>
          <w:highlight w:val="none"/>
          <w:lang w:val="en-US" w:eastAsia="zh-CN" w:bidi="ar"/>
        </w:rPr>
        <w:t>护滩工程的必要性。</w:t>
      </w:r>
    </w:p>
    <w:p w14:paraId="368716C9">
      <w:pPr>
        <w:pStyle w:val="2"/>
        <w:spacing w:line="360" w:lineRule="auto"/>
        <w:jc w:val="both"/>
        <w:rPr>
          <w:rFonts w:hint="eastAsia" w:ascii="宋体" w:hAnsi="宋体" w:eastAsia="宋体" w:cs="宋体"/>
          <w:color w:val="auto"/>
          <w:kern w:val="0"/>
          <w:sz w:val="24"/>
          <w:szCs w:val="24"/>
          <w:highlight w:val="none"/>
          <w:lang w:val="zh-CN" w:eastAsia="zh-CN" w:bidi="ar"/>
        </w:rPr>
      </w:pPr>
      <w:bookmarkStart w:id="29" w:name="_Toc17551"/>
      <w:bookmarkStart w:id="30" w:name="_Toc20351"/>
      <w:r>
        <w:rPr>
          <w:rFonts w:hint="eastAsia" w:ascii="宋体" w:hAnsi="宋体" w:eastAsia="宋体" w:cs="宋体"/>
          <w:color w:val="auto"/>
          <w:kern w:val="0"/>
          <w:sz w:val="24"/>
          <w:szCs w:val="24"/>
          <w:highlight w:val="none"/>
          <w:lang w:val="zh-CN" w:eastAsia="zh-CN" w:bidi="ar"/>
        </w:rPr>
        <w:t>3</w:t>
      </w:r>
      <w:r>
        <w:rPr>
          <w:rFonts w:hint="eastAsia" w:ascii="宋体" w:hAnsi="宋体" w:cs="宋体"/>
          <w:color w:val="auto"/>
          <w:kern w:val="0"/>
          <w:sz w:val="24"/>
          <w:szCs w:val="24"/>
          <w:highlight w:val="none"/>
          <w:lang w:val="zh-CN" w:eastAsia="zh-CN" w:bidi="ar"/>
        </w:rPr>
        <w:t>、</w:t>
      </w:r>
      <w:r>
        <w:rPr>
          <w:rFonts w:hint="eastAsia" w:ascii="宋体" w:hAnsi="宋体" w:eastAsia="宋体" w:cs="宋体"/>
          <w:color w:val="auto"/>
          <w:kern w:val="0"/>
          <w:sz w:val="24"/>
          <w:szCs w:val="24"/>
          <w:highlight w:val="none"/>
          <w:lang w:val="zh-CN" w:eastAsia="zh-CN" w:bidi="ar"/>
        </w:rPr>
        <w:t>进度计划要求</w:t>
      </w:r>
      <w:bookmarkEnd w:id="26"/>
      <w:bookmarkEnd w:id="27"/>
      <w:bookmarkEnd w:id="28"/>
      <w:bookmarkEnd w:id="29"/>
      <w:bookmarkEnd w:id="30"/>
    </w:p>
    <w:p w14:paraId="40BC8BF6">
      <w:pPr>
        <w:widowControl/>
        <w:spacing w:line="360" w:lineRule="auto"/>
        <w:ind w:firstLine="480" w:firstLineChars="200"/>
        <w:jc w:val="left"/>
        <w:rPr>
          <w:rFonts w:hint="default"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要求合同签订后20天内完成数模分析计算，出具水位、流速变化云图和流场变化图；合同签订后35天内完成送审稿；合同签订后40天内组织评审并通过验收。</w:t>
      </w:r>
    </w:p>
    <w:p w14:paraId="695C01EF">
      <w:pPr>
        <w:pStyle w:val="2"/>
        <w:spacing w:line="360" w:lineRule="auto"/>
        <w:jc w:val="both"/>
        <w:rPr>
          <w:rFonts w:hint="eastAsia" w:ascii="宋体" w:hAnsi="宋体" w:eastAsia="宋体" w:cs="宋体"/>
          <w:b w:val="0"/>
          <w:bCs/>
          <w:color w:val="auto"/>
          <w:sz w:val="24"/>
          <w:szCs w:val="24"/>
          <w:highlight w:val="none"/>
          <w:lang w:val="zh-CN"/>
        </w:rPr>
      </w:pPr>
      <w:r>
        <w:rPr>
          <w:rFonts w:hint="eastAsia" w:ascii="宋体" w:hAnsi="宋体" w:eastAsia="宋体" w:cs="宋体"/>
          <w:color w:val="auto"/>
          <w:kern w:val="0"/>
          <w:sz w:val="24"/>
          <w:szCs w:val="24"/>
          <w:highlight w:val="none"/>
          <w:lang w:val="en-US" w:eastAsia="zh-CN" w:bidi="ar"/>
        </w:rPr>
        <w:t>4</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报告的验收、评价方式</w:t>
      </w:r>
      <w:bookmarkEnd w:id="20"/>
      <w:r>
        <w:rPr>
          <w:rFonts w:hint="eastAsia" w:ascii="宋体" w:hAnsi="宋体" w:eastAsia="宋体" w:cs="宋体"/>
          <w:color w:val="auto"/>
          <w:kern w:val="0"/>
          <w:sz w:val="24"/>
          <w:szCs w:val="24"/>
          <w:highlight w:val="none"/>
          <w:lang w:val="en-US" w:eastAsia="zh-CN" w:bidi="ar"/>
        </w:rPr>
        <w:t>：</w:t>
      </w:r>
    </w:p>
    <w:p w14:paraId="365C19B1">
      <w:pPr>
        <w:widowControl/>
        <w:spacing w:line="360" w:lineRule="auto"/>
        <w:ind w:firstLine="480" w:firstLineChars="200"/>
        <w:jc w:val="left"/>
        <w:rPr>
          <w:rFonts w:hint="eastAsia" w:ascii="宋体" w:hAnsi="宋体" w:eastAsia="宋体" w:cs="宋体"/>
          <w:color w:val="auto"/>
          <w:kern w:val="2"/>
          <w:sz w:val="24"/>
          <w:szCs w:val="24"/>
          <w:highlight w:val="none"/>
          <w:lang w:val="en-US" w:eastAsia="zh-CN" w:bidi="ar"/>
        </w:rPr>
      </w:pPr>
      <w:r>
        <w:rPr>
          <w:rFonts w:hint="eastAsia" w:ascii="宋体" w:hAnsi="宋体" w:cs="Times New Roman"/>
          <w:color w:val="auto"/>
          <w:kern w:val="2"/>
          <w:sz w:val="24"/>
          <w:szCs w:val="24"/>
          <w:highlight w:val="none"/>
          <w:lang w:val="en-US" w:eastAsia="zh-CN" w:bidi="ar"/>
        </w:rPr>
        <w:t>湖南省大通湖五门闸至岳阳县陡砂坡四级航道建设工程（岳阳县段）胜利护滩工程影响专题分析</w:t>
      </w:r>
      <w:r>
        <w:rPr>
          <w:rFonts w:hint="eastAsia" w:ascii="宋体" w:hAnsi="宋体" w:eastAsia="宋体" w:cs="Times New Roman"/>
          <w:color w:val="auto"/>
          <w:kern w:val="2"/>
          <w:sz w:val="24"/>
          <w:szCs w:val="24"/>
          <w:highlight w:val="none"/>
          <w:lang w:val="en-US" w:eastAsia="zh-CN" w:bidi="ar"/>
        </w:rPr>
        <w:t>报告编制完成后，由甲方组织专家对其进行评审并通过审查，即视为验收。</w:t>
      </w:r>
    </w:p>
    <w:p w14:paraId="0E4F9AEF">
      <w:pPr>
        <w:pStyle w:val="2"/>
        <w:spacing w:line="360" w:lineRule="auto"/>
        <w:jc w:val="both"/>
        <w:rPr>
          <w:rFonts w:hint="eastAsia" w:ascii="宋体" w:hAnsi="宋体" w:eastAsia="宋体" w:cs="宋体"/>
          <w:color w:val="auto"/>
          <w:kern w:val="0"/>
          <w:sz w:val="24"/>
          <w:szCs w:val="24"/>
          <w:highlight w:val="none"/>
          <w:lang w:val="en-US" w:eastAsia="zh-CN" w:bidi="ar"/>
        </w:rPr>
      </w:pPr>
      <w:bookmarkStart w:id="31" w:name="_Toc7732"/>
      <w:r>
        <w:rPr>
          <w:rFonts w:hint="eastAsia" w:ascii="宋体" w:hAnsi="宋体" w:eastAsia="宋体" w:cs="宋体"/>
          <w:color w:val="auto"/>
          <w:kern w:val="0"/>
          <w:sz w:val="24"/>
          <w:szCs w:val="24"/>
          <w:highlight w:val="none"/>
          <w:lang w:val="en-US" w:eastAsia="zh-CN" w:bidi="ar"/>
        </w:rPr>
        <w:t>5</w:t>
      </w:r>
      <w:r>
        <w:rPr>
          <w:rFonts w:hint="eastAsia" w:ascii="宋体" w:hAnsi="宋体"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质量</w:t>
      </w:r>
      <w:bookmarkEnd w:id="31"/>
      <w:r>
        <w:rPr>
          <w:rFonts w:hint="eastAsia" w:ascii="宋体" w:hAnsi="宋体" w:eastAsia="宋体" w:cs="宋体"/>
          <w:color w:val="auto"/>
          <w:kern w:val="0"/>
          <w:sz w:val="24"/>
          <w:szCs w:val="24"/>
          <w:highlight w:val="none"/>
          <w:lang w:val="en-US" w:eastAsia="zh-CN" w:bidi="ar"/>
        </w:rPr>
        <w:t>要求：</w:t>
      </w:r>
    </w:p>
    <w:p w14:paraId="329656A8">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
        </w:rPr>
        <w:t>（1）中标人提供的专题研究报告，其质量、技术等特征必须符合国家、行业现行的标准及用户需求。</w:t>
      </w:r>
    </w:p>
    <w:p w14:paraId="2DEC17DB">
      <w:pPr>
        <w:keepNext w:val="0"/>
        <w:keepLines w:val="0"/>
        <w:widowControl/>
        <w:suppressLineNumbers w:val="0"/>
        <w:spacing w:line="360" w:lineRule="auto"/>
        <w:ind w:firstLine="480" w:firstLineChars="200"/>
        <w:jc w:val="left"/>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（2）招标人有权拒绝接受任何不合格的报告，由此产生的费用及相关后果均由投标人自行承担。</w:t>
      </w:r>
    </w:p>
    <w:p w14:paraId="14130CF1">
      <w:pPr>
        <w:rPr>
          <w:rFonts w:hint="eastAsia" w:ascii="宋体" w:hAnsi="宋体" w:eastAsia="宋体" w:cs="Times New Roman"/>
          <w:color w:val="auto"/>
          <w:kern w:val="2"/>
          <w:sz w:val="24"/>
          <w:szCs w:val="24"/>
          <w:highlight w:val="none"/>
          <w:lang w:val="en-US" w:eastAsia="zh-CN" w:bidi="ar"/>
        </w:rPr>
      </w:pPr>
      <w:r>
        <w:rPr>
          <w:rFonts w:hint="eastAsia" w:ascii="宋体" w:hAnsi="宋体" w:eastAsia="宋体" w:cs="Times New Roman"/>
          <w:color w:val="auto"/>
          <w:kern w:val="2"/>
          <w:sz w:val="24"/>
          <w:szCs w:val="24"/>
          <w:highlight w:val="none"/>
          <w:lang w:val="en-US" w:eastAsia="zh-CN" w:bidi="ar"/>
        </w:rPr>
        <w:br w:type="page"/>
      </w:r>
    </w:p>
    <w:p w14:paraId="5DFE9477">
      <w:pPr>
        <w:jc w:val="center"/>
        <w:rPr>
          <w:rFonts w:hint="default" w:ascii="宋体" w:hAnsi="宋体" w:eastAsia="宋体" w:cs="Times New Roman"/>
          <w:color w:val="auto"/>
          <w:kern w:val="2"/>
          <w:sz w:val="24"/>
          <w:szCs w:val="24"/>
          <w:highlight w:val="none"/>
          <w:lang w:val="en-US" w:eastAsia="zh-CN" w:bidi="ar"/>
        </w:rPr>
      </w:pPr>
      <w:r>
        <w:rPr>
          <w:rFonts w:hint="eastAsia"/>
          <w:b/>
          <w:bCs/>
          <w:sz w:val="28"/>
          <w:szCs w:val="36"/>
          <w:lang w:val="en-US" w:eastAsia="zh-CN"/>
        </w:rPr>
        <w:t>资格条件</w:t>
      </w:r>
    </w:p>
    <w:p w14:paraId="6FB75F0A">
      <w:pPr>
        <w:keepNext w:val="0"/>
        <w:keepLines w:val="0"/>
        <w:pageBreakBefore w:val="0"/>
        <w:widowControl w:val="0"/>
        <w:kinsoku/>
        <w:wordWrap/>
        <w:overflowPunct/>
        <w:topLinePunct w:val="0"/>
        <w:autoSpaceDE/>
        <w:autoSpaceDN/>
        <w:bidi w:val="0"/>
        <w:spacing w:line="480" w:lineRule="auto"/>
        <w:ind w:firstLine="482" w:firstLineChars="200"/>
        <w:jc w:val="both"/>
        <w:textAlignment w:val="auto"/>
        <w:rPr>
          <w:rFonts w:ascii="宋体" w:hAnsi="宋体" w:eastAsia="宋体" w:cs="Times New Roman"/>
          <w:color w:val="auto"/>
          <w:sz w:val="24"/>
          <w:szCs w:val="24"/>
          <w:highlight w:val="none"/>
        </w:rPr>
      </w:pPr>
      <w:r>
        <w:rPr>
          <w:rFonts w:hint="eastAsia" w:ascii="宋体" w:hAnsi="宋体" w:eastAsia="宋体" w:cs="宋体"/>
          <w:b/>
          <w:bCs/>
          <w:color w:val="auto"/>
          <w:sz w:val="24"/>
          <w:szCs w:val="24"/>
          <w:highlight w:val="none"/>
          <w:lang w:val="en-US" w:eastAsia="zh-CN"/>
        </w:rPr>
        <w:t>1、基本要求</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投标人必须是依照中华人民共和国法律在国内注册的独立法人或其他组织，具有独立承担民事责任能力，具备合格有效的加载统一社会信用代码的营业执照；投标人若为事业单位的，提供事业单位法人证书</w:t>
      </w:r>
      <w:r>
        <w:rPr>
          <w:rFonts w:hint="eastAsia" w:ascii="宋体" w:hAnsi="宋体" w:eastAsia="宋体" w:cs="Times New Roman"/>
          <w:color w:val="auto"/>
          <w:sz w:val="24"/>
          <w:szCs w:val="24"/>
          <w:highlight w:val="none"/>
        </w:rPr>
        <w:t>。</w:t>
      </w:r>
    </w:p>
    <w:p w14:paraId="34800531">
      <w:pPr>
        <w:pStyle w:val="3"/>
        <w:keepNext w:val="0"/>
        <w:keepLines w:val="0"/>
        <w:pageBreakBefore w:val="0"/>
        <w:kinsoku/>
        <w:wordWrap/>
        <w:overflowPunct/>
        <w:topLinePunct w:val="0"/>
        <w:autoSpaceDE/>
        <w:autoSpaceDN/>
        <w:bidi w:val="0"/>
        <w:adjustRightInd w:val="0"/>
        <w:snapToGrid w:val="0"/>
        <w:spacing w:after="0" w:line="480" w:lineRule="auto"/>
        <w:ind w:firstLine="482" w:firstLineChars="200"/>
        <w:textAlignment w:val="auto"/>
        <w:rPr>
          <w:rFonts w:hint="eastAsia" w:ascii="宋体" w:hAnsi="宋体" w:eastAsia="宋体"/>
          <w:color w:val="auto"/>
          <w:highlight w:val="none"/>
          <w:lang w:eastAsia="zh"/>
        </w:rPr>
      </w:pPr>
      <w:r>
        <w:rPr>
          <w:rFonts w:hint="eastAsia" w:ascii="宋体" w:hAnsi="宋体" w:eastAsia="宋体" w:cs="宋体"/>
          <w:b/>
          <w:bCs/>
          <w:color w:val="auto"/>
          <w:kern w:val="2"/>
          <w:sz w:val="24"/>
          <w:szCs w:val="24"/>
          <w:highlight w:val="none"/>
          <w:lang w:val="en-US" w:eastAsia="zh-CN" w:bidi="ar-SA"/>
        </w:rPr>
        <w:t>2、资质要求：</w:t>
      </w:r>
      <w:r>
        <w:rPr>
          <w:rFonts w:hint="eastAsia" w:ascii="宋体" w:hAnsi="宋体"/>
          <w:color w:val="auto"/>
          <w:highlight w:val="none"/>
          <w:lang w:eastAsia="zh"/>
        </w:rPr>
        <w:t>无</w:t>
      </w:r>
    </w:p>
    <w:p w14:paraId="14532587">
      <w:pPr>
        <w:keepNext w:val="0"/>
        <w:keepLines w:val="0"/>
        <w:pageBreakBefore w:val="0"/>
        <w:widowControl w:val="0"/>
        <w:kinsoku/>
        <w:wordWrap/>
        <w:overflowPunct/>
        <w:topLinePunct w:val="0"/>
        <w:autoSpaceDE/>
        <w:autoSpaceDN/>
        <w:bidi w:val="0"/>
        <w:adjustRightInd w:val="0"/>
        <w:snapToGrid w:val="0"/>
        <w:spacing w:line="480" w:lineRule="auto"/>
        <w:ind w:firstLine="482" w:firstLineChars="200"/>
        <w:jc w:val="both"/>
        <w:textAlignment w:val="auto"/>
        <w:rPr>
          <w:rFonts w:hint="eastAsia" w:ascii="宋体" w:hAnsi="宋体" w:eastAsia="宋体" w:cs="Calibri"/>
          <w:b/>
          <w:i/>
          <w:color w:val="auto"/>
          <w:sz w:val="22"/>
          <w:szCs w:val="24"/>
          <w:highlight w:val="none"/>
          <w:u w:val="single"/>
        </w:rPr>
      </w:pPr>
      <w:r>
        <w:rPr>
          <w:rFonts w:hint="eastAsia" w:ascii="宋体" w:hAnsi="宋体" w:eastAsia="宋体" w:cs="宋体"/>
          <w:b/>
          <w:bCs/>
          <w:color w:val="auto"/>
          <w:sz w:val="24"/>
          <w:szCs w:val="24"/>
          <w:highlight w:val="none"/>
          <w:lang w:val="en-US" w:eastAsia="zh-CN"/>
        </w:rPr>
        <w:t>3、财务要求：</w:t>
      </w:r>
      <w:r>
        <w:rPr>
          <w:rFonts w:hint="eastAsia" w:ascii="宋体" w:hAnsi="宋体" w:eastAsia="宋体" w:cs="宋体"/>
          <w:color w:val="auto"/>
          <w:sz w:val="24"/>
          <w:szCs w:val="24"/>
          <w:highlight w:val="none"/>
        </w:rPr>
        <w:t>财务状况良好，未被责令停产停业、暂扣或者吊销许可证、暂扣或者吊销执照的；未进入清算程序，或被宣告破产，或其他丧失履约能力的情形；投标人须提供2023年度经会计师事务所或审计机构审计的财务状况表。</w:t>
      </w:r>
    </w:p>
    <w:p w14:paraId="0AF4E449">
      <w:pPr>
        <w:keepNext w:val="0"/>
        <w:keepLines w:val="0"/>
        <w:pageBreakBefore w:val="0"/>
        <w:widowControl/>
        <w:kinsoku/>
        <w:wordWrap/>
        <w:overflowPunct/>
        <w:topLinePunct w:val="0"/>
        <w:autoSpaceDE/>
        <w:autoSpaceDN/>
        <w:bidi w:val="0"/>
        <w:adjustRightInd w:val="0"/>
        <w:snapToGrid w:val="0"/>
        <w:spacing w:line="480" w:lineRule="auto"/>
        <w:ind w:firstLine="482" w:firstLineChars="200"/>
        <w:jc w:val="left"/>
        <w:textAlignment w:val="auto"/>
        <w:rPr>
          <w:rFonts w:hint="eastAsia" w:ascii="宋体" w:hAnsi="宋体" w:eastAsia="宋体" w:cs="Times New Roman"/>
          <w:color w:val="auto"/>
          <w:sz w:val="24"/>
          <w:szCs w:val="28"/>
          <w:highlight w:val="none"/>
          <w:u w:val="none"/>
        </w:rPr>
      </w:pPr>
      <w:r>
        <w:rPr>
          <w:rFonts w:hint="eastAsia" w:ascii="宋体" w:hAnsi="宋体" w:eastAsia="宋体" w:cs="宋体"/>
          <w:b/>
          <w:bCs/>
          <w:color w:val="auto"/>
          <w:sz w:val="24"/>
          <w:szCs w:val="24"/>
          <w:highlight w:val="none"/>
          <w:lang w:val="en-US" w:eastAsia="zh-CN"/>
        </w:rPr>
        <w:t>4、业绩要求：</w:t>
      </w:r>
      <w:r>
        <w:rPr>
          <w:rFonts w:hint="eastAsia" w:ascii="宋体" w:hAnsi="宋体" w:eastAsia="宋体" w:cs="Times New Roman"/>
          <w:color w:val="auto"/>
          <w:sz w:val="24"/>
          <w:szCs w:val="28"/>
          <w:highlight w:val="none"/>
          <w:u w:val="none"/>
        </w:rPr>
        <w:t>投标人近</w:t>
      </w:r>
      <w:r>
        <w:rPr>
          <w:rFonts w:hint="eastAsia" w:ascii="宋体" w:hAnsi="宋体" w:eastAsia="宋体" w:cs="Times New Roman"/>
          <w:color w:val="auto"/>
          <w:sz w:val="24"/>
          <w:szCs w:val="28"/>
          <w:highlight w:val="none"/>
          <w:u w:val="none"/>
          <w:lang w:val="en-US" w:eastAsia="zh-CN"/>
        </w:rPr>
        <w:t>三</w:t>
      </w:r>
      <w:r>
        <w:rPr>
          <w:rFonts w:hint="eastAsia" w:ascii="宋体" w:hAnsi="宋体" w:eastAsia="宋体" w:cs="Times New Roman"/>
          <w:color w:val="auto"/>
          <w:sz w:val="24"/>
          <w:szCs w:val="28"/>
          <w:highlight w:val="none"/>
          <w:u w:val="none"/>
        </w:rPr>
        <w:t>年（从投标截止日期往前推算）具有不少于</w:t>
      </w:r>
      <w:r>
        <w:rPr>
          <w:rFonts w:hint="eastAsia" w:ascii="宋体" w:hAnsi="宋体" w:eastAsia="宋体" w:cs="Times New Roman"/>
          <w:color w:val="auto"/>
          <w:sz w:val="24"/>
          <w:szCs w:val="28"/>
          <w:highlight w:val="none"/>
          <w:u w:val="none"/>
          <w:lang w:val="en-US" w:eastAsia="zh-CN"/>
        </w:rPr>
        <w:t>2</w:t>
      </w:r>
      <w:r>
        <w:rPr>
          <w:rFonts w:hint="eastAsia" w:ascii="宋体" w:hAnsi="宋体" w:eastAsia="宋体" w:cs="Times New Roman"/>
          <w:color w:val="auto"/>
          <w:sz w:val="24"/>
          <w:szCs w:val="28"/>
          <w:highlight w:val="none"/>
          <w:u w:val="none"/>
        </w:rPr>
        <w:t>项类似项目业绩(类似项目指由长江水利委员会审批的洪水影响评价项目),需提供合同主要页和批复扫描件。</w:t>
      </w:r>
    </w:p>
    <w:p w14:paraId="668838D0">
      <w:pPr>
        <w:keepNext w:val="0"/>
        <w:keepLines w:val="0"/>
        <w:pageBreakBefore w:val="0"/>
        <w:widowControl/>
        <w:kinsoku/>
        <w:wordWrap/>
        <w:overflowPunct/>
        <w:topLinePunct w:val="0"/>
        <w:autoSpaceDE/>
        <w:autoSpaceDN/>
        <w:bidi w:val="0"/>
        <w:spacing w:line="480" w:lineRule="auto"/>
        <w:ind w:right="61" w:rightChars="29" w:firstLine="420" w:firstLineChars="0"/>
        <w:jc w:val="left"/>
        <w:textAlignment w:val="auto"/>
        <w:rPr>
          <w:rFonts w:hint="eastAsia" w:ascii="宋体" w:hAnsi="宋体" w:eastAsia="宋体" w:cs="Times New Roman"/>
          <w:b w:val="0"/>
          <w:bCs w:val="0"/>
          <w:color w:val="auto"/>
          <w:sz w:val="24"/>
          <w:szCs w:val="24"/>
          <w:highlight w:val="none"/>
          <w:u w:val="none"/>
        </w:rPr>
      </w:pPr>
      <w:r>
        <w:rPr>
          <w:rFonts w:hint="eastAsia" w:ascii="宋体" w:hAnsi="宋体" w:eastAsia="宋体" w:cs="宋体"/>
          <w:b/>
          <w:bCs/>
          <w:color w:val="auto"/>
          <w:sz w:val="24"/>
          <w:szCs w:val="24"/>
          <w:highlight w:val="none"/>
          <w:lang w:val="en-US" w:eastAsia="zh-CN"/>
        </w:rPr>
        <w:t>5、人员要求：</w:t>
      </w:r>
      <w:r>
        <w:rPr>
          <w:rFonts w:hint="eastAsia" w:ascii="宋体" w:hAnsi="宋体" w:eastAsia="宋体" w:cs="Times New Roman"/>
          <w:b w:val="0"/>
          <w:bCs w:val="0"/>
          <w:color w:val="auto"/>
          <w:sz w:val="24"/>
          <w:szCs w:val="24"/>
          <w:highlight w:val="none"/>
          <w:u w:val="none"/>
        </w:rPr>
        <w:t>项目负责人具有水利工程相关专业高级及以上职称证</w:t>
      </w:r>
      <w:r>
        <w:rPr>
          <w:rFonts w:hint="eastAsia" w:ascii="宋体" w:hAnsi="宋体" w:eastAsia="宋体" w:cs="Times New Roman"/>
          <w:b w:val="0"/>
          <w:bCs w:val="0"/>
          <w:color w:val="auto"/>
          <w:sz w:val="24"/>
          <w:szCs w:val="24"/>
          <w:highlight w:val="none"/>
          <w:u w:val="none"/>
          <w:lang w:val="en-US" w:eastAsia="zh-CN"/>
        </w:rPr>
        <w:t>且近五年有类似项目经验</w:t>
      </w:r>
      <w:r>
        <w:rPr>
          <w:rFonts w:hint="eastAsia" w:ascii="宋体" w:hAnsi="宋体" w:eastAsia="宋体" w:cs="Times New Roman"/>
          <w:b w:val="0"/>
          <w:bCs w:val="0"/>
          <w:color w:val="auto"/>
          <w:sz w:val="24"/>
          <w:szCs w:val="24"/>
          <w:highlight w:val="none"/>
          <w:u w:val="none"/>
        </w:rPr>
        <w:t>；需提供投标截止日前6个月投标人单位连续为其缴纳社保的证明材料，需提供项目负责人职称证扫描件及业绩证明文件。项目组成员</w:t>
      </w:r>
      <w:r>
        <w:rPr>
          <w:rFonts w:hint="eastAsia" w:ascii="宋体" w:hAnsi="宋体" w:eastAsia="宋体" w:cs="Times New Roman"/>
          <w:b w:val="0"/>
          <w:bCs w:val="0"/>
          <w:color w:val="auto"/>
          <w:sz w:val="24"/>
          <w:szCs w:val="24"/>
          <w:highlight w:val="none"/>
          <w:u w:val="none"/>
          <w:lang w:eastAsia="zh"/>
        </w:rPr>
        <w:t>不少于4人，且</w:t>
      </w:r>
      <w:r>
        <w:rPr>
          <w:rFonts w:hint="eastAsia" w:ascii="宋体" w:hAnsi="宋体" w:eastAsia="宋体" w:cs="Times New Roman"/>
          <w:b w:val="0"/>
          <w:bCs w:val="0"/>
          <w:color w:val="auto"/>
          <w:sz w:val="24"/>
          <w:szCs w:val="24"/>
          <w:highlight w:val="none"/>
          <w:u w:val="none"/>
        </w:rPr>
        <w:t>全部</w:t>
      </w:r>
      <w:r>
        <w:rPr>
          <w:rFonts w:hint="eastAsia" w:ascii="宋体" w:hAnsi="宋体" w:eastAsia="宋体" w:cs="Times New Roman"/>
          <w:b w:val="0"/>
          <w:bCs w:val="0"/>
          <w:color w:val="auto"/>
          <w:sz w:val="24"/>
          <w:szCs w:val="24"/>
          <w:highlight w:val="none"/>
          <w:u w:val="none"/>
          <w:lang w:eastAsia="zh"/>
        </w:rPr>
        <w:t>具有中级</w:t>
      </w:r>
      <w:r>
        <w:rPr>
          <w:rFonts w:hint="eastAsia" w:ascii="宋体" w:hAnsi="宋体" w:eastAsia="宋体" w:cs="Times New Roman"/>
          <w:b w:val="0"/>
          <w:bCs w:val="0"/>
          <w:color w:val="auto"/>
          <w:sz w:val="24"/>
          <w:szCs w:val="24"/>
          <w:highlight w:val="none"/>
          <w:u w:val="none"/>
        </w:rPr>
        <w:t>职称</w:t>
      </w:r>
      <w:r>
        <w:rPr>
          <w:rFonts w:hint="eastAsia" w:ascii="宋体" w:hAnsi="宋体" w:eastAsia="宋体" w:cs="Times New Roman"/>
          <w:b w:val="0"/>
          <w:bCs w:val="0"/>
          <w:color w:val="auto"/>
          <w:sz w:val="24"/>
          <w:szCs w:val="24"/>
          <w:highlight w:val="none"/>
          <w:u w:val="none"/>
          <w:lang w:eastAsia="zh"/>
        </w:rPr>
        <w:t>：</w:t>
      </w:r>
      <w:r>
        <w:rPr>
          <w:rFonts w:hint="eastAsia" w:ascii="宋体" w:hAnsi="宋体" w:eastAsia="宋体" w:cs="Times New Roman"/>
          <w:b w:val="0"/>
          <w:bCs w:val="0"/>
          <w:color w:val="auto"/>
          <w:sz w:val="24"/>
          <w:szCs w:val="24"/>
          <w:highlight w:val="none"/>
          <w:u w:val="none"/>
        </w:rPr>
        <w:t>需提供投标截止日前6个月投标人单位连续为其缴纳社保的证明材料，</w:t>
      </w:r>
      <w:r>
        <w:rPr>
          <w:rFonts w:hint="eastAsia" w:ascii="宋体" w:hAnsi="宋体" w:eastAsia="宋体" w:cs="Times New Roman"/>
          <w:b w:val="0"/>
          <w:bCs w:val="0"/>
          <w:color w:val="auto"/>
          <w:sz w:val="24"/>
          <w:szCs w:val="24"/>
          <w:highlight w:val="none"/>
          <w:u w:val="none"/>
          <w:lang w:eastAsia="zh"/>
        </w:rPr>
        <w:t>且</w:t>
      </w:r>
      <w:r>
        <w:rPr>
          <w:rFonts w:hint="eastAsia" w:ascii="宋体" w:hAnsi="宋体" w:eastAsia="宋体" w:cs="Times New Roman"/>
          <w:b w:val="0"/>
          <w:bCs w:val="0"/>
          <w:color w:val="auto"/>
          <w:sz w:val="24"/>
          <w:szCs w:val="24"/>
          <w:highlight w:val="none"/>
          <w:u w:val="none"/>
        </w:rPr>
        <w:t>需提供职称证扫描件。</w:t>
      </w:r>
    </w:p>
    <w:p w14:paraId="7E868B8F">
      <w:pPr>
        <w:keepNext w:val="0"/>
        <w:keepLines w:val="0"/>
        <w:pageBreakBefore w:val="0"/>
        <w:widowControl/>
        <w:kinsoku/>
        <w:wordWrap/>
        <w:overflowPunct/>
        <w:topLinePunct w:val="0"/>
        <w:autoSpaceDE/>
        <w:autoSpaceDN/>
        <w:bidi w:val="0"/>
        <w:spacing w:line="480" w:lineRule="auto"/>
        <w:ind w:right="61" w:rightChars="29" w:firstLine="420" w:firstLineChars="0"/>
        <w:jc w:val="left"/>
        <w:textAlignment w:val="auto"/>
        <w:rPr>
          <w:rFonts w:hint="default" w:ascii="宋体" w:hAnsi="宋体" w:eastAsia="宋体" w:cs="Times New Roman"/>
          <w:b w:val="0"/>
          <w:bCs w:val="0"/>
          <w:color w:val="auto"/>
          <w:sz w:val="24"/>
          <w:szCs w:val="24"/>
          <w:highlight w:val="none"/>
          <w:u w:val="none"/>
          <w:lang w:val="en-US" w:eastAsia="zh-CN"/>
        </w:rPr>
      </w:pPr>
      <w:r>
        <w:rPr>
          <w:rFonts w:hint="eastAsia" w:ascii="宋体" w:hAnsi="宋体" w:eastAsia="宋体" w:cs="宋体"/>
          <w:b/>
          <w:bCs/>
          <w:color w:val="auto"/>
          <w:sz w:val="24"/>
          <w:szCs w:val="24"/>
          <w:highlight w:val="none"/>
          <w:lang w:val="en-US" w:eastAsia="zh-CN"/>
        </w:rPr>
        <w:t>6、资质要求：</w:t>
      </w:r>
      <w:r>
        <w:rPr>
          <w:rFonts w:hint="eastAsia" w:ascii="宋体" w:hAnsi="宋体" w:eastAsia="宋体" w:cs="Times New Roman"/>
          <w:b w:val="0"/>
          <w:bCs w:val="0"/>
          <w:color w:val="auto"/>
          <w:sz w:val="24"/>
          <w:szCs w:val="24"/>
          <w:highlight w:val="none"/>
          <w:u w:val="none"/>
          <w:lang w:val="en-US" w:eastAsia="zh-CN"/>
        </w:rPr>
        <w:t>投标人具有水文、水资源调查评价甲级资质证书。</w:t>
      </w:r>
    </w:p>
    <w:p w14:paraId="682BF7A8">
      <w:pPr>
        <w:keepNext w:val="0"/>
        <w:keepLines w:val="0"/>
        <w:pageBreakBefore w:val="0"/>
        <w:widowControl w:val="0"/>
        <w:kinsoku/>
        <w:wordWrap/>
        <w:overflowPunct/>
        <w:topLinePunct w:val="0"/>
        <w:autoSpaceDE/>
        <w:autoSpaceDN/>
        <w:bidi w:val="0"/>
        <w:adjustRightInd w:val="0"/>
        <w:snapToGrid w:val="0"/>
        <w:spacing w:line="480" w:lineRule="auto"/>
        <w:ind w:firstLine="420" w:firstLineChars="0"/>
        <w:jc w:val="both"/>
        <w:textAlignment w:val="auto"/>
        <w:rPr>
          <w:rFonts w:hint="eastAsia" w:ascii="宋体" w:hAnsi="宋体" w:eastAsia="宋体" w:cs="宋体"/>
          <w:strike/>
          <w:color w:val="auto"/>
          <w:sz w:val="24"/>
          <w:szCs w:val="24"/>
          <w:highlight w:val="none"/>
        </w:rPr>
      </w:pPr>
      <w:r>
        <w:rPr>
          <w:rFonts w:hint="eastAsia" w:ascii="宋体" w:hAnsi="宋体" w:eastAsia="宋体" w:cs="宋体"/>
          <w:b/>
          <w:bCs/>
          <w:color w:val="auto"/>
          <w:sz w:val="24"/>
          <w:szCs w:val="24"/>
          <w:highlight w:val="none"/>
          <w:lang w:val="en-US" w:eastAsia="zh-CN"/>
        </w:rPr>
        <w:t>7、信誉要求：</w:t>
      </w:r>
      <w:r>
        <w:rPr>
          <w:rFonts w:hint="eastAsia" w:ascii="宋体" w:hAnsi="宋体" w:eastAsia="宋体" w:cs="宋体"/>
          <w:color w:val="auto"/>
          <w:sz w:val="24"/>
          <w:szCs w:val="24"/>
          <w:highlight w:val="none"/>
          <w:lang w:val="en-US" w:eastAsia="zh-CN"/>
        </w:rPr>
        <w:t>投标人未被被列入</w:t>
      </w:r>
      <w:r>
        <w:rPr>
          <w:rFonts w:hint="eastAsia" w:ascii="宋体" w:hAnsi="宋体" w:eastAsia="宋体" w:cs="宋体"/>
          <w:color w:val="auto"/>
          <w:sz w:val="24"/>
          <w:szCs w:val="24"/>
          <w:highlight w:val="none"/>
        </w:rPr>
        <w:t>严重违法失信企业</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失信被执行人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1.提供</w:t>
      </w:r>
      <w:r>
        <w:rPr>
          <w:rFonts w:hint="eastAsia" w:ascii="宋体" w:hAnsi="宋体" w:eastAsia="宋体" w:cs="宋体"/>
          <w:color w:val="auto"/>
          <w:sz w:val="24"/>
          <w:szCs w:val="24"/>
          <w:highlight w:val="none"/>
        </w:rPr>
        <w:t>全国企业信用信息公示系统中未列入名单的网页截图，加盖公章。2．</w:t>
      </w:r>
      <w:r>
        <w:rPr>
          <w:rFonts w:hint="eastAsia"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rPr>
        <w:t>“信用中国”网站（www.creditchina.gov.cn）中未列入名单的网页截图，加盖公章。</w:t>
      </w:r>
    </w:p>
    <w:p w14:paraId="7C751F65">
      <w:pPr>
        <w:jc w:val="center"/>
        <w:rPr>
          <w:rFonts w:hint="eastAsia"/>
          <w:b/>
          <w:bCs/>
          <w:sz w:val="28"/>
          <w:szCs w:val="36"/>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瀹嬩綋">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AB3662"/>
    <w:rsid w:val="1347361C"/>
    <w:rsid w:val="202A5D04"/>
    <w:rsid w:val="28DC7F0B"/>
    <w:rsid w:val="29F64FFC"/>
    <w:rsid w:val="368E4F3A"/>
    <w:rsid w:val="3BDC449C"/>
    <w:rsid w:val="4A273284"/>
    <w:rsid w:val="4A3C6604"/>
    <w:rsid w:val="51422751"/>
    <w:rsid w:val="5D6E48CE"/>
    <w:rsid w:val="5DAD189A"/>
    <w:rsid w:val="5EF37781"/>
    <w:rsid w:val="61F061FA"/>
    <w:rsid w:val="6D481E1B"/>
    <w:rsid w:val="709D12FB"/>
    <w:rsid w:val="78EA64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next w:val="1"/>
    <w:qFormat/>
    <w:uiPriority w:val="0"/>
    <w:pPr>
      <w:keepNext/>
      <w:keepLines/>
      <w:widowControl w:val="0"/>
      <w:spacing w:before="120" w:after="120" w:line="312" w:lineRule="auto"/>
      <w:jc w:val="center"/>
      <w:outlineLvl w:val="1"/>
    </w:pPr>
    <w:rPr>
      <w:rFonts w:ascii="Arial" w:hAnsi="Arial" w:eastAsia="宋体" w:cs="Times New Roman"/>
      <w:b/>
      <w:kern w:val="2"/>
      <w:sz w:val="36"/>
      <w:szCs w:val="22"/>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qFormat/>
    <w:uiPriority w:val="0"/>
    <w:pPr>
      <w:widowControl w:val="0"/>
      <w:spacing w:after="0" w:line="240" w:lineRule="auto"/>
      <w:jc w:val="both"/>
    </w:pPr>
    <w:rPr>
      <w:rFonts w:ascii="Times New Roman" w:hAnsi="Times New Roman" w:eastAsia="宋体" w:cs="Times New Roman"/>
      <w:color w:val="auto"/>
      <w:kern w:val="2"/>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1300</Words>
  <Characters>1348</Characters>
  <Lines>0</Lines>
  <Paragraphs>0</Paragraphs>
  <TotalTime>10</TotalTime>
  <ScaleCrop>false</ScaleCrop>
  <LinksUpToDate>false</LinksUpToDate>
  <CharactersWithSpaces>1351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2025-04-02T06:55:00Z</dcterms:created>
  <dc:creator>Lenovo</dc:creator>
  <cp:lastModifiedBy>双鱼座</cp:lastModifiedBy>
  <dcterms:modified xsi:type="dcterms:W3CDTF">2025-04-03T06:51:43Z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eyJoZGlkIjoiMzgyNjMyZDI3YmMzYWNkNjg0ODU1ZjJmNDRmZWFiZTciLCJ1c2VySWQiOiIyOTA0OTA2NTYifQ==</vt:lpwstr>
  </property>
  <property fmtid="{D5CDD505-2E9C-101B-9397-08002B2CF9AE}" pid="4" name="ICV">
    <vt:lpwstr>05243076BC3B40F0A69418AA12A34D2F_12</vt:lpwstr>
  </property>
</Properties>
</file>