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8693055">
      <w:pPr>
        <w:keepNext w:val="0"/>
        <w:keepLines w:val="0"/>
        <w:pageBreakBefore w:val="0"/>
        <w:widowControl w:val="0"/>
        <w:kinsoku/>
        <w:wordWrap/>
        <w:overflowPunct/>
        <w:topLinePunct w:val="0"/>
        <w:autoSpaceDE/>
        <w:autoSpaceDN/>
        <w:bidi w:val="0"/>
        <w:adjustRightInd/>
        <w:snapToGrid/>
        <w:spacing w:beforeLines="0" w:afterLines="0" w:line="550" w:lineRule="exact"/>
        <w:jc w:val="center"/>
        <w:textAlignment w:val="auto"/>
        <w:rPr>
          <w:rFonts w:hint="default" w:ascii="黑体" w:hAnsi="黑体" w:eastAsia="黑体"/>
          <w:sz w:val="44"/>
          <w:szCs w:val="44"/>
        </w:rPr>
      </w:pPr>
      <w:bookmarkStart w:id="0" w:name="bookmark0"/>
      <w:r>
        <w:rPr>
          <w:rFonts w:hint="eastAsia" w:ascii="黑体" w:hAnsi="黑体" w:eastAsia="黑体"/>
          <w:sz w:val="44"/>
          <w:szCs w:val="44"/>
          <w:lang w:val="en-US" w:eastAsia="zh-CN"/>
        </w:rPr>
        <w:t xml:space="preserve"> </w:t>
      </w:r>
      <w:r>
        <w:rPr>
          <w:rFonts w:hint="eastAsia" w:ascii="黑体" w:hAnsi="黑体" w:eastAsia="黑体"/>
          <w:sz w:val="44"/>
          <w:szCs w:val="44"/>
        </w:rPr>
        <w:t>竞价公告</w:t>
      </w:r>
      <w:bookmarkEnd w:id="0"/>
    </w:p>
    <w:p w14:paraId="110401F8">
      <w:pPr>
        <w:keepNext w:val="0"/>
        <w:keepLines w:val="0"/>
        <w:pageBreakBefore w:val="0"/>
        <w:widowControl w:val="0"/>
        <w:kinsoku/>
        <w:wordWrap/>
        <w:overflowPunct/>
        <w:topLinePunct w:val="0"/>
        <w:autoSpaceDE/>
        <w:autoSpaceDN/>
        <w:bidi w:val="0"/>
        <w:adjustRightInd/>
        <w:snapToGrid/>
        <w:spacing w:beforeLines="0" w:afterLines="0" w:line="580" w:lineRule="exact"/>
        <w:ind w:firstLine="643" w:firstLineChars="200"/>
        <w:textAlignment w:val="auto"/>
        <w:rPr>
          <w:rFonts w:hint="eastAsia" w:ascii="仿宋" w:hAnsi="仿宋" w:eastAsia="仿宋" w:cs="仿宋"/>
          <w:b/>
          <w:bCs/>
          <w:sz w:val="32"/>
          <w:szCs w:val="32"/>
        </w:rPr>
      </w:pPr>
    </w:p>
    <w:p w14:paraId="18D0C032">
      <w:pPr>
        <w:keepNext w:val="0"/>
        <w:keepLines w:val="0"/>
        <w:pageBreakBefore w:val="0"/>
        <w:widowControl w:val="0"/>
        <w:kinsoku/>
        <w:wordWrap/>
        <w:overflowPunct/>
        <w:topLinePunct w:val="0"/>
        <w:autoSpaceDE/>
        <w:autoSpaceDN/>
        <w:bidi w:val="0"/>
        <w:adjustRightInd/>
        <w:snapToGrid/>
        <w:spacing w:beforeLines="0" w:afterLines="0" w:line="580" w:lineRule="exact"/>
        <w:ind w:firstLine="643" w:firstLineChars="200"/>
        <w:textAlignment w:val="auto"/>
        <w:rPr>
          <w:rFonts w:hint="eastAsia" w:ascii="仿宋" w:hAnsi="仿宋" w:eastAsia="仿宋" w:cs="仿宋"/>
          <w:sz w:val="32"/>
          <w:szCs w:val="32"/>
          <w:lang w:val="en-US" w:eastAsia="zh-CN"/>
        </w:rPr>
      </w:pPr>
      <w:r>
        <w:rPr>
          <w:rFonts w:hint="eastAsia" w:ascii="仿宋" w:hAnsi="仿宋" w:eastAsia="仿宋" w:cs="仿宋"/>
          <w:b/>
          <w:bCs/>
          <w:sz w:val="32"/>
          <w:szCs w:val="32"/>
        </w:rPr>
        <w:t>一、采购项目名称</w:t>
      </w:r>
      <w:r>
        <w:rPr>
          <w:rFonts w:hint="eastAsia" w:ascii="仿宋" w:hAnsi="仿宋" w:eastAsia="仿宋" w:cs="仿宋"/>
          <w:b/>
          <w:bCs/>
          <w:sz w:val="32"/>
          <w:szCs w:val="32"/>
          <w:lang w:eastAsia="zh-CN"/>
        </w:rPr>
        <w:t>：</w:t>
      </w:r>
      <w:r>
        <w:rPr>
          <w:rFonts w:hint="eastAsia" w:ascii="仿宋" w:hAnsi="仿宋" w:eastAsia="仿宋" w:cs="仿宋"/>
          <w:sz w:val="32"/>
          <w:szCs w:val="32"/>
          <w:lang w:eastAsia="zh-CN"/>
        </w:rPr>
        <w:t>湖南省邵阳市森林火灾高风险区森林防火应急道路建设项目（武冈</w:t>
      </w:r>
      <w:r>
        <w:rPr>
          <w:rFonts w:hint="eastAsia" w:ascii="仿宋" w:hAnsi="仿宋" w:eastAsia="仿宋" w:cs="仿宋"/>
          <w:sz w:val="32"/>
          <w:szCs w:val="32"/>
          <w:lang w:val="en-US" w:eastAsia="zh-CN"/>
        </w:rPr>
        <w:t>段</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监理服务</w:t>
      </w:r>
    </w:p>
    <w:p w14:paraId="53404AC9">
      <w:pPr>
        <w:keepNext w:val="0"/>
        <w:keepLines w:val="0"/>
        <w:pageBreakBefore w:val="0"/>
        <w:widowControl w:val="0"/>
        <w:kinsoku/>
        <w:wordWrap/>
        <w:overflowPunct/>
        <w:topLinePunct w:val="0"/>
        <w:autoSpaceDE/>
        <w:autoSpaceDN/>
        <w:bidi w:val="0"/>
        <w:adjustRightInd/>
        <w:snapToGrid/>
        <w:spacing w:beforeLines="0" w:afterLines="0" w:line="580" w:lineRule="exact"/>
        <w:ind w:firstLine="643" w:firstLineChars="200"/>
        <w:textAlignment w:val="auto"/>
        <w:rPr>
          <w:rFonts w:hint="default" w:ascii="仿宋" w:hAnsi="仿宋" w:eastAsia="仿宋" w:cs="仿宋"/>
          <w:sz w:val="32"/>
          <w:szCs w:val="32"/>
          <w:lang w:val="en-US" w:eastAsia="zh-CN"/>
        </w:rPr>
      </w:pPr>
      <w:r>
        <w:rPr>
          <w:rFonts w:hint="eastAsia" w:ascii="仿宋" w:hAnsi="仿宋" w:eastAsia="仿宋" w:cs="仿宋"/>
          <w:b/>
          <w:bCs/>
          <w:sz w:val="32"/>
          <w:szCs w:val="32"/>
          <w:lang w:val="en-US" w:eastAsia="zh-CN"/>
        </w:rPr>
        <w:t>二、项目概况：</w:t>
      </w:r>
      <w:r>
        <w:rPr>
          <w:rFonts w:hint="eastAsia" w:ascii="仿宋" w:hAnsi="仿宋" w:eastAsia="仿宋" w:cs="仿宋"/>
          <w:sz w:val="32"/>
          <w:szCs w:val="32"/>
          <w:lang w:eastAsia="zh-CN"/>
        </w:rPr>
        <w:t>湖南省邵阳市森林火灾高风险区森林防火应急道路建设项目（武冈</w:t>
      </w:r>
      <w:r>
        <w:rPr>
          <w:rFonts w:hint="eastAsia" w:ascii="仿宋" w:hAnsi="仿宋" w:eastAsia="仿宋" w:cs="仿宋"/>
          <w:sz w:val="32"/>
          <w:szCs w:val="32"/>
          <w:lang w:val="en-US" w:eastAsia="zh-CN"/>
        </w:rPr>
        <w:t>段</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共设计建设线路14条，总里程20公里，</w:t>
      </w:r>
      <w:r>
        <w:rPr>
          <w:rFonts w:hint="eastAsia" w:ascii="仿宋" w:hAnsi="仿宋" w:eastAsia="仿宋" w:cs="仿宋"/>
          <w:sz w:val="32"/>
          <w:szCs w:val="32"/>
          <w:lang w:eastAsia="zh-CN"/>
        </w:rPr>
        <w:t>按</w:t>
      </w:r>
      <w:r>
        <w:rPr>
          <w:rFonts w:hint="default" w:ascii="仿宋" w:hAnsi="仿宋" w:eastAsia="仿宋" w:cs="仿宋"/>
          <w:sz w:val="32"/>
          <w:szCs w:val="32"/>
          <w:lang w:eastAsia="zh-CN"/>
        </w:rPr>
        <w:t> </w:t>
      </w:r>
      <w:r>
        <w:rPr>
          <w:rFonts w:hint="eastAsia" w:ascii="仿宋" w:hAnsi="仿宋" w:eastAsia="仿宋" w:cs="仿宋"/>
          <w:sz w:val="32"/>
          <w:szCs w:val="32"/>
          <w:lang w:eastAsia="zh-CN"/>
        </w:rPr>
        <w:t>四</w:t>
      </w:r>
      <w:r>
        <w:rPr>
          <w:rFonts w:hint="default" w:ascii="仿宋" w:hAnsi="仿宋" w:eastAsia="仿宋" w:cs="仿宋"/>
          <w:sz w:val="32"/>
          <w:szCs w:val="32"/>
          <w:lang w:eastAsia="zh-CN"/>
        </w:rPr>
        <w:t> </w:t>
      </w:r>
      <w:r>
        <w:rPr>
          <w:rFonts w:hint="eastAsia" w:ascii="仿宋" w:hAnsi="仿宋" w:eastAsia="仿宋" w:cs="仿宋"/>
          <w:sz w:val="32"/>
          <w:szCs w:val="32"/>
          <w:lang w:eastAsia="zh-CN"/>
        </w:rPr>
        <w:t>级公路标准、设计速度</w:t>
      </w:r>
      <w:r>
        <w:rPr>
          <w:rFonts w:hint="default" w:ascii="仿宋" w:hAnsi="仿宋" w:eastAsia="仿宋" w:cs="仿宋"/>
          <w:sz w:val="32"/>
          <w:szCs w:val="32"/>
          <w:lang w:eastAsia="zh-CN"/>
        </w:rPr>
        <w:t> 15 </w:t>
      </w:r>
      <w:r>
        <w:rPr>
          <w:rFonts w:hint="eastAsia" w:ascii="仿宋" w:hAnsi="仿宋" w:eastAsia="仿宋" w:cs="仿宋"/>
          <w:sz w:val="32"/>
          <w:szCs w:val="32"/>
          <w:lang w:eastAsia="zh-CN"/>
        </w:rPr>
        <w:t>公里</w:t>
      </w:r>
      <w:r>
        <w:rPr>
          <w:rFonts w:hint="default" w:ascii="仿宋" w:hAnsi="仿宋" w:eastAsia="仿宋" w:cs="仿宋"/>
          <w:sz w:val="32"/>
          <w:szCs w:val="32"/>
          <w:lang w:eastAsia="zh-CN"/>
        </w:rPr>
        <w:t>/</w:t>
      </w:r>
      <w:r>
        <w:rPr>
          <w:rFonts w:hint="eastAsia" w:ascii="仿宋" w:hAnsi="仿宋" w:eastAsia="仿宋" w:cs="仿宋"/>
          <w:sz w:val="32"/>
          <w:szCs w:val="32"/>
          <w:lang w:eastAsia="zh-CN"/>
        </w:rPr>
        <w:t>小时建设，路基宽</w:t>
      </w:r>
      <w:r>
        <w:rPr>
          <w:rFonts w:hint="default" w:ascii="仿宋" w:hAnsi="仿宋" w:eastAsia="仿宋" w:cs="仿宋"/>
          <w:sz w:val="32"/>
          <w:szCs w:val="32"/>
          <w:lang w:eastAsia="zh-CN"/>
        </w:rPr>
        <w:t> 4 </w:t>
      </w:r>
      <w:r>
        <w:rPr>
          <w:rFonts w:hint="eastAsia" w:ascii="仿宋" w:hAnsi="仿宋" w:eastAsia="仿宋" w:cs="仿宋"/>
          <w:sz w:val="32"/>
          <w:szCs w:val="32"/>
          <w:lang w:eastAsia="zh-CN"/>
        </w:rPr>
        <w:t>米，路面宽度为</w:t>
      </w:r>
      <w:r>
        <w:rPr>
          <w:rFonts w:hint="default" w:ascii="仿宋" w:hAnsi="仿宋" w:eastAsia="仿宋" w:cs="仿宋"/>
          <w:sz w:val="32"/>
          <w:szCs w:val="32"/>
          <w:lang w:eastAsia="zh-CN"/>
        </w:rPr>
        <w:t> 3.0m </w:t>
      </w:r>
      <w:r>
        <w:rPr>
          <w:rFonts w:hint="eastAsia" w:ascii="仿宋" w:hAnsi="仿宋" w:eastAsia="仿宋" w:cs="仿宋"/>
          <w:sz w:val="32"/>
          <w:szCs w:val="32"/>
          <w:lang w:eastAsia="zh-CN"/>
        </w:rPr>
        <w:t>，桥涵设计荷载为公路</w:t>
      </w:r>
      <w:r>
        <w:rPr>
          <w:rFonts w:hint="default" w:ascii="仿宋" w:hAnsi="仿宋" w:eastAsia="仿宋" w:cs="仿宋"/>
          <w:sz w:val="32"/>
          <w:szCs w:val="32"/>
          <w:lang w:eastAsia="zh-CN"/>
        </w:rPr>
        <w:t> Ⅱ </w:t>
      </w:r>
      <w:r>
        <w:rPr>
          <w:rFonts w:hint="eastAsia" w:ascii="仿宋" w:hAnsi="仿宋" w:eastAsia="仿宋" w:cs="仿宋"/>
          <w:sz w:val="32"/>
          <w:szCs w:val="32"/>
          <w:lang w:eastAsia="zh-CN"/>
        </w:rPr>
        <w:t>（</w:t>
      </w:r>
      <w:r>
        <w:rPr>
          <w:rFonts w:hint="default" w:ascii="仿宋" w:hAnsi="仿宋" w:eastAsia="仿宋" w:cs="仿宋"/>
          <w:sz w:val="32"/>
          <w:szCs w:val="32"/>
          <w:lang w:eastAsia="zh-CN"/>
        </w:rPr>
        <w:t>Ⅰ</w:t>
      </w:r>
      <w:r>
        <w:rPr>
          <w:rFonts w:hint="eastAsia" w:ascii="仿宋" w:hAnsi="仿宋" w:eastAsia="仿宋" w:cs="仿宋"/>
          <w:sz w:val="32"/>
          <w:szCs w:val="32"/>
          <w:lang w:eastAsia="zh-CN"/>
        </w:rPr>
        <w:t>或</w:t>
      </w:r>
      <w:r>
        <w:rPr>
          <w:rFonts w:hint="default" w:ascii="仿宋" w:hAnsi="仿宋" w:eastAsia="仿宋" w:cs="仿宋"/>
          <w:sz w:val="32"/>
          <w:szCs w:val="32"/>
          <w:lang w:eastAsia="zh-CN"/>
        </w:rPr>
        <w:t>Ⅱ</w:t>
      </w:r>
      <w:r>
        <w:rPr>
          <w:rFonts w:hint="eastAsia" w:ascii="仿宋" w:hAnsi="仿宋" w:eastAsia="仿宋" w:cs="仿宋"/>
          <w:sz w:val="32"/>
          <w:szCs w:val="32"/>
          <w:lang w:eastAsia="zh-CN"/>
        </w:rPr>
        <w:t>）级，主要</w:t>
      </w:r>
      <w:r>
        <w:rPr>
          <w:rFonts w:hint="eastAsia" w:ascii="仿宋" w:hAnsi="仿宋" w:eastAsia="仿宋" w:cs="仿宋"/>
          <w:sz w:val="32"/>
          <w:szCs w:val="32"/>
          <w:lang w:val="en-US" w:eastAsia="zh-CN"/>
        </w:rPr>
        <w:t>建设</w:t>
      </w:r>
      <w:r>
        <w:rPr>
          <w:rFonts w:hint="eastAsia" w:ascii="仿宋" w:hAnsi="仿宋" w:eastAsia="仿宋" w:cs="仿宋"/>
          <w:sz w:val="32"/>
          <w:szCs w:val="32"/>
          <w:lang w:eastAsia="zh-CN"/>
        </w:rPr>
        <w:t>内容为：少量路基土石方、路面基层、面层（</w:t>
      </w:r>
      <w:r>
        <w:rPr>
          <w:rFonts w:hint="eastAsia" w:ascii="仿宋" w:hAnsi="仿宋" w:eastAsia="仿宋" w:cs="仿宋"/>
          <w:sz w:val="32"/>
          <w:szCs w:val="32"/>
          <w:lang w:val="en-US" w:eastAsia="zh-CN"/>
        </w:rPr>
        <w:t>沥青</w:t>
      </w:r>
      <w:r>
        <w:rPr>
          <w:rFonts w:hint="eastAsia" w:ascii="仿宋" w:hAnsi="仿宋" w:eastAsia="仿宋" w:cs="仿宋"/>
          <w:sz w:val="32"/>
          <w:szCs w:val="32"/>
          <w:lang w:eastAsia="zh-CN"/>
        </w:rPr>
        <w:t>）、涵洞、浆砌排水沟等工程。</w:t>
      </w:r>
    </w:p>
    <w:p w14:paraId="11B42418">
      <w:pPr>
        <w:keepNext w:val="0"/>
        <w:keepLines w:val="0"/>
        <w:pageBreakBefore w:val="0"/>
        <w:widowControl w:val="0"/>
        <w:kinsoku/>
        <w:wordWrap/>
        <w:overflowPunct/>
        <w:topLinePunct w:val="0"/>
        <w:autoSpaceDE/>
        <w:autoSpaceDN/>
        <w:bidi w:val="0"/>
        <w:adjustRightInd/>
        <w:snapToGrid/>
        <w:spacing w:beforeLines="0" w:afterLines="0" w:line="580" w:lineRule="exact"/>
        <w:ind w:firstLine="643" w:firstLineChars="200"/>
        <w:textAlignment w:val="auto"/>
        <w:rPr>
          <w:rFonts w:hint="eastAsia" w:ascii="仿宋" w:hAnsi="仿宋" w:eastAsia="仿宋" w:cs="仿宋"/>
          <w:sz w:val="32"/>
          <w:szCs w:val="32"/>
          <w:lang w:eastAsia="zh-CN"/>
        </w:rPr>
      </w:pPr>
      <w:r>
        <w:rPr>
          <w:rFonts w:hint="eastAsia" w:ascii="仿宋" w:hAnsi="仿宋" w:eastAsia="仿宋" w:cs="仿宋"/>
          <w:b/>
          <w:bCs/>
          <w:sz w:val="32"/>
          <w:szCs w:val="32"/>
          <w:lang w:val="en-US" w:eastAsia="zh-CN"/>
        </w:rPr>
        <w:t>三、采购需求：</w:t>
      </w:r>
      <w:r>
        <w:rPr>
          <w:rFonts w:hint="eastAsia" w:ascii="仿宋" w:hAnsi="仿宋" w:eastAsia="仿宋" w:cs="仿宋"/>
          <w:sz w:val="32"/>
          <w:szCs w:val="32"/>
          <w:lang w:val="en-US" w:eastAsia="zh-CN"/>
        </w:rPr>
        <w:t>本次监理工作内容包含项目的施工管理、项目结算及配合建设单位完成工程量复核等，工作</w:t>
      </w:r>
      <w:r>
        <w:rPr>
          <w:rFonts w:hint="eastAsia" w:ascii="仿宋" w:hAnsi="仿宋" w:eastAsia="仿宋" w:cs="仿宋"/>
          <w:b w:val="0"/>
          <w:bCs w:val="0"/>
          <w:sz w:val="32"/>
          <w:szCs w:val="32"/>
          <w:lang w:val="en-US" w:eastAsia="zh-CN"/>
        </w:rPr>
        <w:t>人员配备应符合《湖南省建筑工程施工项目部和现场监理部关键岗位人员配备管理办法》要求</w:t>
      </w:r>
      <w:r>
        <w:rPr>
          <w:rFonts w:hint="eastAsia" w:ascii="仿宋" w:hAnsi="仿宋" w:eastAsia="仿宋" w:cs="仿宋"/>
          <w:sz w:val="32"/>
          <w:szCs w:val="32"/>
          <w:lang w:val="en-US" w:eastAsia="zh-CN"/>
        </w:rPr>
        <w:t>。</w:t>
      </w:r>
    </w:p>
    <w:p w14:paraId="7E4613A9">
      <w:pPr>
        <w:keepNext w:val="0"/>
        <w:keepLines w:val="0"/>
        <w:pageBreakBefore w:val="0"/>
        <w:widowControl w:val="0"/>
        <w:kinsoku/>
        <w:wordWrap/>
        <w:overflowPunct/>
        <w:topLinePunct w:val="0"/>
        <w:autoSpaceDE/>
        <w:autoSpaceDN/>
        <w:bidi w:val="0"/>
        <w:adjustRightInd/>
        <w:snapToGrid/>
        <w:spacing w:beforeLines="0" w:afterLines="0" w:line="580" w:lineRule="exact"/>
        <w:ind w:firstLine="643" w:firstLineChars="200"/>
        <w:textAlignment w:val="auto"/>
        <w:rPr>
          <w:rFonts w:hint="default" w:ascii="黑体" w:hAnsi="黑体" w:eastAsia="黑体" w:cs="黑体"/>
          <w:sz w:val="32"/>
          <w:szCs w:val="32"/>
        </w:rPr>
      </w:pPr>
      <w:r>
        <w:rPr>
          <w:rFonts w:hint="eastAsia" w:ascii="仿宋" w:hAnsi="仿宋" w:eastAsia="仿宋" w:cs="仿宋"/>
          <w:b/>
          <w:bCs/>
          <w:sz w:val="32"/>
          <w:szCs w:val="32"/>
          <w:lang w:val="en-US" w:eastAsia="zh-CN"/>
        </w:rPr>
        <w:t>四</w:t>
      </w:r>
      <w:r>
        <w:rPr>
          <w:rFonts w:hint="eastAsia" w:ascii="仿宋" w:hAnsi="仿宋" w:eastAsia="仿宋" w:cs="仿宋"/>
          <w:b/>
          <w:bCs/>
          <w:sz w:val="32"/>
          <w:szCs w:val="32"/>
        </w:rPr>
        <w:t>、竞价人的资格要求：</w:t>
      </w:r>
    </w:p>
    <w:p w14:paraId="701625A0">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rPr>
        <w:t>1、竞价人的基本资格条件：竞价人必须是在中华人民共和国境内注册登记的法人、其他组织或者自然人，且应当符合《政府采购法》第二十二条第一款的规定，即：</w:t>
      </w:r>
    </w:p>
    <w:p w14:paraId="3DE3E0C5">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1</w:t>
      </w:r>
      <w:r>
        <w:rPr>
          <w:rFonts w:hint="eastAsia" w:ascii="仿宋" w:hAnsi="仿宋" w:eastAsia="仿宋" w:cs="仿宋"/>
          <w:sz w:val="32"/>
          <w:szCs w:val="32"/>
          <w:lang w:eastAsia="zh-CN"/>
        </w:rPr>
        <w:t>）</w:t>
      </w:r>
      <w:r>
        <w:rPr>
          <w:rFonts w:hint="eastAsia" w:ascii="仿宋" w:hAnsi="仿宋" w:eastAsia="仿宋" w:cs="仿宋"/>
          <w:sz w:val="32"/>
          <w:szCs w:val="32"/>
        </w:rPr>
        <w:t>具有独立承担民事贵任的能力；</w:t>
      </w:r>
    </w:p>
    <w:p w14:paraId="59393299">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w:t>
      </w:r>
      <w:r>
        <w:rPr>
          <w:rFonts w:hint="eastAsia" w:ascii="仿宋" w:hAnsi="仿宋" w:eastAsia="仿宋" w:cs="仿宋"/>
          <w:sz w:val="32"/>
          <w:szCs w:val="32"/>
        </w:rPr>
        <w:t>具有良好的商业信誉和健全的财务会计制度；</w:t>
      </w:r>
    </w:p>
    <w:p w14:paraId="2FB37963">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w:t>
      </w:r>
      <w:r>
        <w:rPr>
          <w:rFonts w:hint="eastAsia" w:ascii="仿宋" w:hAnsi="仿宋" w:eastAsia="仿宋" w:cs="仿宋"/>
          <w:sz w:val="32"/>
          <w:szCs w:val="32"/>
        </w:rPr>
        <w:t>具有履行合同所必需的设备和专业技术能力；</w:t>
      </w:r>
    </w:p>
    <w:p w14:paraId="5E625FC3">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4</w:t>
      </w:r>
      <w:r>
        <w:rPr>
          <w:rFonts w:hint="eastAsia" w:ascii="仿宋" w:hAnsi="仿宋" w:eastAsia="仿宋" w:cs="仿宋"/>
          <w:sz w:val="32"/>
          <w:szCs w:val="32"/>
          <w:lang w:eastAsia="zh-CN"/>
        </w:rPr>
        <w:t>）</w:t>
      </w:r>
      <w:r>
        <w:rPr>
          <w:rFonts w:hint="eastAsia" w:ascii="仿宋" w:hAnsi="仿宋" w:eastAsia="仿宋" w:cs="仿宋"/>
          <w:sz w:val="32"/>
          <w:szCs w:val="32"/>
        </w:rPr>
        <w:t>有依法缴纳税收和社会保障资金的良好记录；</w:t>
      </w:r>
    </w:p>
    <w:p w14:paraId="12A4F679">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w:t>
      </w:r>
      <w:r>
        <w:rPr>
          <w:rFonts w:hint="eastAsia" w:ascii="仿宋" w:hAnsi="仿宋" w:eastAsia="仿宋" w:cs="仿宋"/>
          <w:sz w:val="32"/>
          <w:szCs w:val="32"/>
        </w:rPr>
        <w:t>参加政府采购活动前三年内，在经营活动中没有重大违法记录；</w:t>
      </w:r>
    </w:p>
    <w:p w14:paraId="21774D64">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6</w:t>
      </w:r>
      <w:r>
        <w:rPr>
          <w:rFonts w:hint="eastAsia" w:ascii="仿宋" w:hAnsi="仿宋" w:eastAsia="仿宋" w:cs="仿宋"/>
          <w:sz w:val="32"/>
          <w:szCs w:val="32"/>
          <w:lang w:eastAsia="zh-CN"/>
        </w:rPr>
        <w:t>）</w:t>
      </w:r>
      <w:r>
        <w:rPr>
          <w:rFonts w:hint="eastAsia" w:ascii="仿宋" w:hAnsi="仿宋" w:eastAsia="仿宋" w:cs="仿宋"/>
          <w:sz w:val="32"/>
          <w:szCs w:val="32"/>
        </w:rPr>
        <w:t>法律、行政法规规定的其他条件。</w:t>
      </w:r>
    </w:p>
    <w:p w14:paraId="5B582206">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rPr>
        <w:t>2、采购项目的特定资格条件：</w:t>
      </w:r>
      <w:r>
        <w:rPr>
          <w:rFonts w:hint="eastAsia" w:ascii="仿宋" w:hAnsi="仿宋" w:eastAsia="仿宋" w:cs="仿宋"/>
          <w:sz w:val="32"/>
          <w:szCs w:val="32"/>
          <w:lang w:eastAsia="zh-CN"/>
        </w:rPr>
        <w:t>具有</w:t>
      </w:r>
      <w:r>
        <w:rPr>
          <w:rFonts w:hint="eastAsia" w:ascii="仿宋" w:hAnsi="仿宋" w:eastAsia="仿宋" w:cs="仿宋"/>
          <w:sz w:val="32"/>
          <w:szCs w:val="32"/>
          <w:lang w:val="en-US" w:eastAsia="zh-CN"/>
        </w:rPr>
        <w:t>中华人民共和国交通运输部颁发的公路施工工程监理乙级及以上资质，近3年内承担过单项监理合同金额不少于20万元的公路施工工程业绩；现场监理部关键岗位人员暂按最低配备共3人，总监1人、专监1人、监理员1人。</w:t>
      </w:r>
    </w:p>
    <w:p w14:paraId="2D1FA050">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rPr>
        <w:t>3、单位负责人为</w:t>
      </w:r>
      <w:r>
        <w:rPr>
          <w:rFonts w:hint="eastAsia" w:ascii="仿宋" w:hAnsi="仿宋" w:eastAsia="仿宋" w:cs="仿宋"/>
          <w:sz w:val="32"/>
          <w:szCs w:val="32"/>
          <w:lang w:eastAsia="zh-CN"/>
        </w:rPr>
        <w:t>同</w:t>
      </w:r>
      <w:r>
        <w:rPr>
          <w:rFonts w:hint="eastAsia" w:ascii="仿宋" w:hAnsi="仿宋" w:eastAsia="仿宋" w:cs="仿宋"/>
          <w:sz w:val="32"/>
          <w:szCs w:val="32"/>
        </w:rPr>
        <w:t>一人或者存在</w:t>
      </w:r>
      <w:r>
        <w:rPr>
          <w:rFonts w:hint="eastAsia" w:ascii="仿宋" w:hAnsi="仿宋" w:eastAsia="仿宋" w:cs="仿宋"/>
          <w:sz w:val="32"/>
          <w:szCs w:val="32"/>
          <w:lang w:eastAsia="zh-CN"/>
        </w:rPr>
        <w:t>直</w:t>
      </w:r>
      <w:r>
        <w:rPr>
          <w:rFonts w:hint="eastAsia" w:ascii="仿宋" w:hAnsi="仿宋" w:eastAsia="仿宋" w:cs="仿宋"/>
          <w:sz w:val="32"/>
          <w:szCs w:val="32"/>
        </w:rPr>
        <w:t>接拉股、管理关系的不同竞价人，不得参加同一合同项下的政府采购活动。</w:t>
      </w:r>
    </w:p>
    <w:p w14:paraId="7675B293">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rPr>
        <w:t>4、为本采购项目提供整体设计、规范编制或者项目管理、</w:t>
      </w:r>
      <w:r>
        <w:rPr>
          <w:rFonts w:hint="eastAsia" w:ascii="仿宋" w:hAnsi="仿宋" w:eastAsia="仿宋" w:cs="仿宋"/>
          <w:sz w:val="32"/>
          <w:szCs w:val="32"/>
          <w:lang w:val="en-US" w:eastAsia="zh-CN"/>
        </w:rPr>
        <w:t>监理、</w:t>
      </w:r>
      <w:r>
        <w:rPr>
          <w:rFonts w:hint="eastAsia" w:ascii="仿宋" w:hAnsi="仿宋" w:eastAsia="仿宋" w:cs="仿宋"/>
          <w:sz w:val="32"/>
          <w:szCs w:val="32"/>
        </w:rPr>
        <w:t>检测等服务的，不得再参加此项目的其他招标采购活动。</w:t>
      </w:r>
    </w:p>
    <w:p w14:paraId="0DBDA4F9">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rPr>
        <w:t>5、列入失信被执行人、重大税收违法案件当事人名单，列入政府采购严重违法失信行为记录名单的，拒绝其参与政府采购活动。</w:t>
      </w:r>
    </w:p>
    <w:p w14:paraId="6A8D7255">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default" w:ascii="仿宋" w:hAnsi="仿宋" w:eastAsia="仿宋" w:cs="仿宋"/>
          <w:sz w:val="32"/>
          <w:szCs w:val="32"/>
        </w:rPr>
      </w:pPr>
      <w:r>
        <w:rPr>
          <w:rFonts w:hint="eastAsia" w:ascii="仿宋" w:hAnsi="仿宋" w:eastAsia="仿宋" w:cs="仿宋"/>
          <w:sz w:val="32"/>
          <w:szCs w:val="32"/>
        </w:rPr>
        <w:t>6、本次竞价不接受联合体报价。</w:t>
      </w:r>
    </w:p>
    <w:p w14:paraId="289D8E29">
      <w:pPr>
        <w:keepNext w:val="0"/>
        <w:keepLines w:val="0"/>
        <w:pageBreakBefore w:val="0"/>
        <w:widowControl w:val="0"/>
        <w:kinsoku/>
        <w:wordWrap/>
        <w:overflowPunct/>
        <w:topLinePunct w:val="0"/>
        <w:autoSpaceDE/>
        <w:autoSpaceDN/>
        <w:bidi w:val="0"/>
        <w:adjustRightInd/>
        <w:snapToGrid/>
        <w:spacing w:beforeLines="0" w:afterLines="0" w:line="580" w:lineRule="exact"/>
        <w:ind w:firstLine="643" w:firstLineChars="200"/>
        <w:textAlignment w:val="auto"/>
        <w:rPr>
          <w:rFonts w:hint="eastAsia" w:ascii="仿宋" w:hAnsi="仿宋" w:eastAsia="仿宋" w:cs="仿宋"/>
          <w:b/>
          <w:bCs/>
          <w:sz w:val="32"/>
          <w:szCs w:val="32"/>
          <w:lang w:val="en-US" w:eastAsia="zh-CN"/>
        </w:rPr>
      </w:pPr>
      <w:bookmarkStart w:id="1" w:name="bookmark1"/>
      <w:r>
        <w:rPr>
          <w:rFonts w:hint="eastAsia" w:ascii="仿宋" w:hAnsi="仿宋" w:eastAsia="仿宋" w:cs="仿宋"/>
          <w:b/>
          <w:bCs/>
          <w:sz w:val="32"/>
          <w:szCs w:val="32"/>
          <w:lang w:val="en-US" w:eastAsia="zh-CN"/>
        </w:rPr>
        <w:t>五、实行监理费总承包的方式，招标控制价为11万元。</w:t>
      </w:r>
    </w:p>
    <w:p w14:paraId="0B549460">
      <w:pPr>
        <w:keepNext w:val="0"/>
        <w:keepLines w:val="0"/>
        <w:pageBreakBefore w:val="0"/>
        <w:widowControl w:val="0"/>
        <w:kinsoku/>
        <w:wordWrap/>
        <w:overflowPunct/>
        <w:topLinePunct w:val="0"/>
        <w:autoSpaceDE/>
        <w:autoSpaceDN/>
        <w:bidi w:val="0"/>
        <w:adjustRightInd/>
        <w:snapToGrid/>
        <w:spacing w:beforeLines="0" w:afterLines="0" w:line="580" w:lineRule="exact"/>
        <w:ind w:firstLine="643" w:firstLineChars="200"/>
        <w:textAlignment w:val="auto"/>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六、响应要求</w:t>
      </w:r>
    </w:p>
    <w:p w14:paraId="6E6409DB">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1、上传竞价响应文件（纸质材料扫描后在附件中上传），包括：资质证明材料、营业执照、监理大纲、</w:t>
      </w:r>
      <w:bookmarkStart w:id="2" w:name="_GoBack"/>
      <w:bookmarkEnd w:id="2"/>
      <w:r>
        <w:rPr>
          <w:rFonts w:hint="eastAsia" w:ascii="仿宋" w:hAnsi="仿宋" w:eastAsia="仿宋" w:cs="仿宋"/>
          <w:sz w:val="32"/>
          <w:szCs w:val="32"/>
          <w:lang w:val="en-US" w:eastAsia="zh-CN"/>
        </w:rPr>
        <w:t xml:space="preserve">报价表。 </w:t>
      </w:r>
    </w:p>
    <w:p w14:paraId="0FA53747">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2、报价不得超过采购控制总价。 </w:t>
      </w:r>
    </w:p>
    <w:p w14:paraId="71EBD553">
      <w:pPr>
        <w:keepNext w:val="0"/>
        <w:keepLines w:val="0"/>
        <w:pageBreakBefore w:val="0"/>
        <w:widowControl w:val="0"/>
        <w:kinsoku/>
        <w:wordWrap/>
        <w:overflowPunct/>
        <w:topLinePunct w:val="0"/>
        <w:autoSpaceDE/>
        <w:autoSpaceDN/>
        <w:bidi w:val="0"/>
        <w:adjustRightInd/>
        <w:snapToGrid/>
        <w:spacing w:beforeLines="0" w:afterLines="0" w:line="58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3、供应商出具承诺书（需包含按时按质按量、技术力量匹配、快速响应、后续服务、知晓采购方响应附件要求等方面）并加盖公章。</w:t>
      </w:r>
    </w:p>
    <w:bookmarkEnd w:id="1"/>
    <w:p w14:paraId="66996276">
      <w:pPr>
        <w:keepNext w:val="0"/>
        <w:keepLines w:val="0"/>
        <w:pageBreakBefore w:val="0"/>
        <w:widowControl w:val="0"/>
        <w:kinsoku/>
        <w:wordWrap/>
        <w:overflowPunct/>
        <w:topLinePunct w:val="0"/>
        <w:autoSpaceDE/>
        <w:autoSpaceDN/>
        <w:bidi w:val="0"/>
        <w:adjustRightInd/>
        <w:snapToGrid/>
        <w:spacing w:beforeLines="0" w:afterLines="0" w:line="580" w:lineRule="exact"/>
        <w:jc w:val="both"/>
        <w:textAlignment w:val="auto"/>
        <w:rPr>
          <w:rFonts w:hint="default" w:ascii="仿宋" w:hAnsi="仿宋" w:eastAsia="仿宋" w:cs="仿宋"/>
          <w:sz w:val="32"/>
          <w:szCs w:val="32"/>
        </w:rPr>
      </w:pPr>
    </w:p>
    <w:sectPr>
      <w:headerReference r:id="rId4" w:type="first"/>
      <w:pgSz w:w="11900" w:h="16840"/>
      <w:pgMar w:top="1417" w:right="1417" w:bottom="1417" w:left="1417" w:header="850" w:footer="975" w:gutter="0"/>
      <w:cols w:space="720"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ngLiU_HKSCS">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ingLiU">
    <w:altName w:val="PMingLiU-ExtB"/>
    <w:panose1 w:val="02020509000000000000"/>
    <w:charset w:val="88"/>
    <w:family w:val="modern"/>
    <w:pitch w:val="default"/>
    <w:sig w:usb0="00000000" w:usb1="00000000" w:usb2="00000016" w:usb3="00000000" w:csb0="00100001" w:csb1="00000000"/>
  </w:font>
  <w:font w:name="Garamond">
    <w:panose1 w:val="02020404030301010803"/>
    <w:charset w:val="00"/>
    <w:family w:val="roman"/>
    <w:pitch w:val="default"/>
    <w:sig w:usb0="00000287" w:usb1="00000000" w:usb2="00000000" w:usb3="00000000" w:csb0="0000009F" w:csb1="DFD70000"/>
  </w:font>
  <w:font w:name="Century Gothic">
    <w:panose1 w:val="020B0502020202020204"/>
    <w:charset w:val="00"/>
    <w:family w:val="swiss"/>
    <w:pitch w:val="default"/>
    <w:sig w:usb0="00000287" w:usb1="00000000" w:usb2="00000000" w:usb3="00000000" w:csb0="2000009F" w:csb1="DFD7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E8FED">
    <w:pPr>
      <w:pStyle w:val="13"/>
      <w:spacing w:beforeLines="0" w:afterLines="0" w:line="240" w:lineRule="auto"/>
      <w:rPr>
        <w:rFonts w:hint="default" w:eastAsia="宋体"/>
        <w:sz w:val="16"/>
        <w:szCs w:val="24"/>
        <w:lang w:val="en-US" w:eastAsia="zh-C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720"/>
  <w:hyphenationZone w:val="360"/>
  <w:evenAndOddHeaders w:val="1"/>
  <w:drawingGridHorizontalSpacing w:val="181"/>
  <w:drawingGridVerticalSpacing w:val="181"/>
  <w:displayHorizontalDrawingGridEvery w:val="1"/>
  <w:displayVerticalDrawingGridEvery w:val="1"/>
  <w:doNotShadeFormData w:val="1"/>
  <w:characterSpacingControl w:val="compressPunctuation"/>
  <w:doNotValidateAgainstSchema/>
  <w:doNotDemarcateInvalidXml/>
  <w:footnotePr>
    <w:footnote w:id="0"/>
    <w:footnote w:id="1"/>
  </w:foot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ZlMjMxOWQxZTI4M2M2ZDUwY2JiN2NhNjkzNjI2N2IifQ=="/>
  </w:docVars>
  <w:rsids>
    <w:rsidRoot w:val="00172A27"/>
    <w:rsid w:val="02647AB9"/>
    <w:rsid w:val="03A0718C"/>
    <w:rsid w:val="04D9160A"/>
    <w:rsid w:val="25512802"/>
    <w:rsid w:val="288307FB"/>
    <w:rsid w:val="2B2D0EF2"/>
    <w:rsid w:val="2C89468A"/>
    <w:rsid w:val="3C917532"/>
    <w:rsid w:val="3E4A28BC"/>
    <w:rsid w:val="432070D1"/>
    <w:rsid w:val="56A20EB1"/>
    <w:rsid w:val="58687DE5"/>
    <w:rsid w:val="58B24661"/>
    <w:rsid w:val="5BB16C9F"/>
    <w:rsid w:val="5C763BF7"/>
    <w:rsid w:val="79C773E8"/>
    <w:rsid w:val="7BB3748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iPriority="0" w:semiHidden="0" w:name="Normal"/>
    <w:lsdException w:qFormat="1" w:unhideWhenUsed="0" w:uiPriority="99" w:semiHidden="0" w:name="heading 1"/>
    <w:lsdException w:uiPriority="99" w:name="heading 2"/>
    <w:lsdException w:uiPriority="99" w:name="heading 3"/>
    <w:lsdException w:uiPriority="99" w:name="heading 4"/>
    <w:lsdException w:uiPriority="99" w:name="heading 5"/>
    <w:lsdException w:uiPriority="99" w:name="heading 6"/>
    <w:lsdException w:uiPriority="99" w:name="heading 7"/>
    <w:lsdException w:uiPriority="99" w:name="heading 8"/>
    <w:lsdException w:uiPriority="99" w:name="heading 9"/>
    <w:lsdException w:qFormat="1" w:unhideWhenUsed="0" w:uiPriority="99" w:semiHidden="0" w:name="index 1"/>
    <w:lsdException w:qFormat="1" w:unhideWhenUsed="0" w:uiPriority="99" w:semiHidden="0" w:name="index 2"/>
    <w:lsdException w:qFormat="1" w:unhideWhenUsed="0" w:uiPriority="99" w:semiHidden="0" w:name="index 3"/>
    <w:lsdException w:qFormat="1" w:unhideWhenUsed="0" w:uiPriority="99" w:semiHidden="0" w:name="index 4"/>
    <w:lsdException w:qFormat="1" w:unhideWhenUsed="0" w:uiPriority="99" w:semiHidden="0" w:name="index 5"/>
    <w:lsdException w:qFormat="1" w:unhideWhenUsed="0" w:uiPriority="99" w:semiHidden="0" w:name="index 6"/>
    <w:lsdException w:qFormat="1" w:unhideWhenUsed="0" w:uiPriority="99" w:semiHidden="0" w:name="index 7"/>
    <w:lsdException w:qFormat="1" w:unhideWhenUsed="0" w:uiPriority="99" w:semiHidden="0" w:name="index 8"/>
    <w:lsdException w:qFormat="1" w:unhideWhenUsed="0" w:uiPriority="99" w:semiHidden="0" w:name="index 9"/>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semiHidden="0" w:name="footnote text"/>
    <w:lsdException w:qFormat="1" w:unhideWhenUsed="0" w:uiPriority="99" w:semiHidden="0" w:name="annotation text"/>
    <w:lsdException w:qFormat="1" w:uiPriority="99" w:semiHidden="0" w:name="header"/>
    <w:lsdException w:qFormat="1" w:uiPriority="99" w:semiHidden="0" w:name="footer"/>
    <w:lsdException w:qFormat="1" w:unhideWhenUsed="0" w:uiPriority="99" w:semiHidden="0" w:name="index heading"/>
    <w:lsdException w:uiPriority="99" w:name="caption"/>
    <w:lsdException w:qFormat="1" w:unhideWhenUsed="0" w:uiPriority="99" w:semiHidden="0" w:name="table of figures"/>
    <w:lsdException w:qFormat="1" w:unhideWhenUsed="0" w:uiPriority="99" w:semiHidden="0" w:name="envelope address"/>
    <w:lsdException w:qFormat="1" w:unhideWhenUsed="0" w:uiPriority="99" w:semiHidden="0" w:name="envelope return"/>
    <w:lsdException w:qFormat="1" w:unhideWhenUsed="0" w:uiPriority="99" w:semiHidden="0" w:name="footnote reference"/>
    <w:lsdException w:qFormat="1" w:unhideWhenUsed="0" w:uiPriority="99" w:semiHidden="0" w:name="annotation reference"/>
    <w:lsdException w:qFormat="1" w:unhideWhenUsed="0" w:uiPriority="99" w:semiHidden="0" w:name="line number"/>
    <w:lsdException w:qFormat="1" w:unhideWhenUsed="0" w:uiPriority="0" w:semiHidden="0" w:name="page number"/>
    <w:lsdException w:qFormat="1" w:unhideWhenUsed="0" w:uiPriority="99" w:semiHidden="0" w:name="endnote reference"/>
    <w:lsdException w:qFormat="1" w:unhideWhenUsed="0" w:uiPriority="99" w:semiHidden="0" w:name="endnote text"/>
    <w:lsdException w:qFormat="1" w:unhideWhenUsed="0" w:uiPriority="99" w:semiHidden="0" w:name="table of authorities"/>
    <w:lsdException w:qFormat="1" w:unhideWhenUsed="0" w:uiPriority="99" w:semiHidden="0" w:name="macro"/>
    <w:lsdException w:qFormat="1" w:unhideWhenUsed="0" w:uiPriority="99" w:semiHidden="0" w:name="toa heading"/>
    <w:lsdException w:qFormat="1" w:unhideWhenUsed="0" w:uiPriority="99" w:semiHidden="0" w:name="List"/>
    <w:lsdException w:qFormat="1" w:unhideWhenUsed="0" w:uiPriority="99" w:semiHidden="0" w:name="List Bullet"/>
    <w:lsdException w:qFormat="1" w:unhideWhenUsed="0" w:uiPriority="99" w:semiHidden="0" w:name="List Number"/>
    <w:lsdException w:qFormat="1" w:unhideWhenUsed="0" w:uiPriority="99" w:semiHidden="0" w:name="List 2"/>
    <w:lsdException w:qFormat="1" w:unhideWhenUsed="0" w:uiPriority="99" w:semiHidden="0" w:name="List 3"/>
    <w:lsdException w:qFormat="1" w:unhideWhenUsed="0" w:uiPriority="99" w:semiHidden="0" w:name="List 4"/>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qFormat="1" w:unhideWhenUsed="0" w:uiPriority="99"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qFormat="1" w:unhideWhenUsed="0" w:uiPriority="99" w:semiHidden="0" w:name="Closing"/>
    <w:lsdException w:qFormat="1" w:unhideWhenUsed="0" w:uiPriority="99" w:semiHidden="0" w:name="Signature"/>
    <w:lsdException w:qFormat="1" w:uiPriority="99" w:semiHidden="0" w:name="Default Paragraph Font"/>
    <w:lsdException w:qFormat="1" w:unhideWhenUsed="0" w:uiPriority="99" w:semiHidden="0" w:name="Body Text"/>
    <w:lsdException w:qFormat="1" w:unhideWhenUsed="0" w:uiPriority="99" w:semiHidden="0" w:name="Body Text Indent"/>
    <w:lsdException w:qFormat="1" w:unhideWhenUsed="0" w:uiPriority="99" w:semiHidden="0" w:name="List Continue"/>
    <w:lsdException w:qFormat="1" w:unhideWhenUsed="0" w:uiPriority="99" w:semiHidden="0" w:name="List Continue 2"/>
    <w:lsdException w:qFormat="1" w:unhideWhenUsed="0" w:uiPriority="99" w:semiHidden="0" w:name="List Continue 3"/>
    <w:lsdException w:qFormat="1" w:unhideWhenUsed="0" w:uiPriority="99" w:semiHidden="0" w:name="List Continue 4"/>
    <w:lsdException w:qFormat="1" w:unhideWhenUsed="0" w:uiPriority="99" w:semiHidden="0" w:name="List Continue 5"/>
    <w:lsdException w:qFormat="1" w:unhideWhenUsed="0" w:uiPriority="99" w:semiHidden="0" w:name="Message Header"/>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qFormat="1" w:unhideWhenUsed="0" w:uiPriority="99"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qFormat="1" w:unhideWhenUsed="0" w:uiPriority="99" w:semiHidden="0" w:name="E-mail Signature"/>
    <w:lsdException w:qFormat="1" w:unhideWhenUsed="0" w:uiPriority="99" w:semiHidden="0" w:name="Normal (Web)"/>
    <w:lsdException w:qFormat="1" w:unhideWhenUsed="0" w:uiPriority="99" w:semiHidden="0" w:name="HTML Acronym"/>
    <w:lsdException w:qFormat="1" w:unhideWhenUsed="0" w:uiPriority="99" w:semiHidden="0" w:name="HTML Address"/>
    <w:lsdException w:qFormat="1" w:unhideWhenUsed="0" w:uiPriority="99" w:semiHidden="0" w:name="HTML Cite"/>
    <w:lsdException w:qFormat="1" w:unhideWhenUsed="0" w:uiPriority="99" w:semiHidden="0" w:name="HTML Code"/>
    <w:lsdException w:qFormat="1" w:unhideWhenUsed="0" w:uiPriority="99" w:semiHidden="0" w:name="HTML Definition"/>
    <w:lsdException w:qFormat="1" w:unhideWhenUsed="0" w:uiPriority="99" w:semiHidden="0" w:name="HTML Keyboard"/>
    <w:lsdException w:qFormat="1" w:unhideWhenUsed="0" w:uiPriority="99" w:semiHidden="0" w:name="HTML Preformatted"/>
    <w:lsdException w:qFormat="1" w:unhideWhenUsed="0" w:uiPriority="99" w:semiHidden="0" w:name="HTML Sample"/>
    <w:lsdException w:qFormat="1" w:unhideWhenUsed="0" w:uiPriority="99" w:semiHidden="0" w:name="HTML Typewriter"/>
    <w:lsdException w:qFormat="1" w:unhideWhenUsed="0" w:uiPriority="99" w:semiHidden="0" w:name="HTML Variable"/>
    <w:lsdException w:qFormat="1" w:unhideWhenUsed="0" w:uiPriority="99" w:semiHidden="0" w:name="Normal Table"/>
    <w:lsdException w:qFormat="1" w:unhideWhenUsed="0" w:uiPriority="99" w:semiHidden="0" w:name="annotation subject"/>
    <w:lsdException w:qFormat="1" w:unhideWhenUsed="0" w:uiPriority="99" w:semiHidden="0" w:name="Table Simple 1"/>
    <w:lsdException w:qFormat="1" w:unhideWhenUsed="0" w:uiPriority="99" w:semiHidden="0" w:name="Table Simple 2"/>
    <w:lsdException w:qFormat="1" w:unhideWhenUsed="0" w:uiPriority="99" w:semiHidden="0" w:name="Table Simple 3"/>
    <w:lsdException w:qFormat="1" w:unhideWhenUsed="0" w:uiPriority="99" w:semiHidden="0" w:name="Table Classic 1"/>
    <w:lsdException w:qFormat="1" w:unhideWhenUsed="0" w:uiPriority="99" w:semiHidden="0" w:name="Table Classic 2"/>
    <w:lsdException w:qFormat="1" w:unhideWhenUsed="0" w:uiPriority="99" w:semiHidden="0" w:name="Table Classic 3"/>
    <w:lsdException w:qFormat="1" w:unhideWhenUsed="0" w:uiPriority="99" w:semiHidden="0" w:name="Table Classic 4"/>
    <w:lsdException w:qFormat="1" w:unhideWhenUsed="0" w:uiPriority="99" w:semiHidden="0" w:name="Table Colorful 1"/>
    <w:lsdException w:qFormat="1" w:unhideWhenUsed="0" w:uiPriority="99" w:semiHidden="0" w:name="Table Colorful 2"/>
    <w:lsdException w:qFormat="1" w:unhideWhenUsed="0" w:uiPriority="99" w:semiHidden="0" w:name="Table Colorful 3"/>
    <w:lsdException w:qFormat="1" w:unhideWhenUsed="0" w:uiPriority="99" w:semiHidden="0" w:name="Table Columns 1"/>
    <w:lsdException w:qFormat="1" w:unhideWhenUsed="0" w:uiPriority="99" w:semiHidden="0" w:name="Table Columns 2"/>
    <w:lsdException w:qFormat="1" w:unhideWhenUsed="0" w:uiPriority="99" w:semiHidden="0" w:name="Table Columns 3"/>
    <w:lsdException w:qFormat="1" w:unhideWhenUsed="0" w:uiPriority="99" w:semiHidden="0" w:name="Table Columns 4"/>
    <w:lsdException w:qFormat="1" w:unhideWhenUsed="0" w:uiPriority="99" w:semiHidden="0" w:name="Table Columns 5"/>
    <w:lsdException w:qFormat="1" w:unhideWhenUsed="0" w:uiPriority="99" w:semiHidden="0" w:name="Table Grid 1"/>
    <w:lsdException w:qFormat="1" w:unhideWhenUsed="0" w:uiPriority="99" w:semiHidden="0" w:name="Table Grid 2"/>
    <w:lsdException w:qFormat="1" w:unhideWhenUsed="0" w:uiPriority="99" w:semiHidden="0" w:name="Table Grid 3"/>
    <w:lsdException w:qFormat="1" w:unhideWhenUsed="0" w:uiPriority="99" w:semiHidden="0" w:name="Table Grid 4"/>
    <w:lsdException w:qFormat="1" w:unhideWhenUsed="0" w:uiPriority="99" w:semiHidden="0" w:name="Table Grid 5"/>
    <w:lsdException w:qFormat="1" w:unhideWhenUsed="0" w:uiPriority="99" w:semiHidden="0" w:name="Table Grid 6"/>
    <w:lsdException w:qFormat="1" w:unhideWhenUsed="0" w:uiPriority="99" w:semiHidden="0" w:name="Table Grid 7"/>
    <w:lsdException w:qFormat="1" w:unhideWhenUsed="0" w:uiPriority="99" w:semiHidden="0" w:name="Table Grid 8"/>
    <w:lsdException w:qFormat="1" w:unhideWhenUsed="0" w:uiPriority="99" w:semiHidden="0" w:name="Table List 1"/>
    <w:lsdException w:qFormat="1" w:unhideWhenUsed="0" w:uiPriority="99" w:semiHidden="0" w:name="Table List 2"/>
    <w:lsdException w:qFormat="1" w:unhideWhenUsed="0" w:uiPriority="99" w:semiHidden="0" w:name="Table List 3"/>
    <w:lsdException w:qFormat="1" w:unhideWhenUsed="0" w:uiPriority="99" w:semiHidden="0" w:name="Table List 4"/>
    <w:lsdException w:qFormat="1" w:unhideWhenUsed="0" w:uiPriority="99" w:semiHidden="0" w:name="Table List 5"/>
    <w:lsdException w:qFormat="1" w:unhideWhenUsed="0" w:uiPriority="99" w:semiHidden="0" w:name="Table List 6"/>
    <w:lsdException w:qFormat="1" w:unhideWhenUsed="0" w:uiPriority="99" w:semiHidden="0" w:name="Table List 7"/>
    <w:lsdException w:qFormat="1" w:unhideWhenUsed="0" w:uiPriority="99" w:semiHidden="0" w:name="Table List 8"/>
    <w:lsdException w:qFormat="1" w:unhideWhenUsed="0" w:uiPriority="99" w:semiHidden="0" w:name="Table 3D effects 1"/>
    <w:lsdException w:qFormat="1" w:unhideWhenUsed="0" w:uiPriority="99" w:semiHidden="0" w:name="Table 3D effects 2"/>
    <w:lsdException w:qFormat="1" w:unhideWhenUsed="0" w:uiPriority="99" w:semiHidden="0" w:name="Table 3D effects 3"/>
    <w:lsdException w:qFormat="1" w:unhideWhenUsed="0" w:uiPriority="99" w:semiHidden="0" w:name="Table Contemporary"/>
    <w:lsdException w:qFormat="1" w:unhideWhenUsed="0" w:uiPriority="99" w:semiHidden="0" w:name="Table Elegant"/>
    <w:lsdException w:qFormat="1" w:unhideWhenUsed="0" w:uiPriority="99" w:semiHidden="0" w:name="Table Professional"/>
    <w:lsdException w:qFormat="1" w:unhideWhenUsed="0" w:uiPriority="99" w:semiHidden="0" w:name="Table Subtle 1"/>
    <w:lsdException w:qFormat="1" w:unhideWhenUsed="0" w:uiPriority="99" w:semiHidden="0" w:name="Table Subtle 2"/>
    <w:lsdException w:qFormat="1" w:unhideWhenUsed="0" w:uiPriority="99" w:semiHidden="0" w:name="Table Web 1"/>
    <w:lsdException w:qFormat="1" w:unhideWhenUsed="0" w:uiPriority="99" w:semiHidden="0" w:name="Table Web 2"/>
    <w:lsdException w:qFormat="1" w:unhideWhenUsed="0" w:uiPriority="99" w:semiHidden="0" w:name="Table Web 3"/>
    <w:lsdException w:qFormat="1" w:unhideWhenUsed="0" w:uiPriority="99" w:semiHidden="0"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nhideWhenUsed/>
    <w:qFormat/>
    <w:uiPriority w:val="0"/>
    <w:pPr>
      <w:widowControl w:val="0"/>
      <w:spacing w:beforeLines="0" w:afterLines="0"/>
    </w:pPr>
    <w:rPr>
      <w:rFonts w:hint="eastAsia" w:ascii="MingLiU_HKSCS" w:hAnsi="MingLiU_HKSCS" w:eastAsia="MingLiU_HKSCS" w:cs="Times New Roman"/>
      <w:color w:val="000000"/>
      <w:sz w:val="24"/>
      <w:szCs w:val="24"/>
      <w:lang w:val="zh-TW" w:eastAsia="zh-TW" w:bidi="ar-SA"/>
    </w:rPr>
  </w:style>
  <w:style w:type="character" w:default="1" w:styleId="5">
    <w:name w:val="Default Paragraph Font"/>
    <w:autoRedefine/>
    <w:unhideWhenUsed/>
    <w:qFormat/>
    <w:uiPriority w:val="99"/>
    <w:rPr>
      <w:rFonts w:hint="default"/>
      <w:sz w:val="24"/>
      <w:szCs w:val="24"/>
    </w:rPr>
  </w:style>
  <w:style w:type="table" w:default="1" w:styleId="4">
    <w:name w:val="Normal Table"/>
    <w:autoRedefine/>
    <w:qFormat/>
    <w:uiPriority w:val="99"/>
    <w:tblPr>
      <w:tblCellMar>
        <w:top w:w="0" w:type="dxa"/>
        <w:left w:w="108" w:type="dxa"/>
        <w:bottom w:w="0" w:type="dxa"/>
        <w:right w:w="108" w:type="dxa"/>
      </w:tblCellMar>
    </w:tblPr>
  </w:style>
  <w:style w:type="paragraph" w:styleId="2">
    <w:name w:val="footer"/>
    <w:basedOn w:val="1"/>
    <w:link w:val="36"/>
    <w:autoRedefine/>
    <w:unhideWhenUsed/>
    <w:qFormat/>
    <w:uiPriority w:val="99"/>
    <w:pPr>
      <w:tabs>
        <w:tab w:val="center" w:pos="4153"/>
        <w:tab w:val="right" w:pos="8306"/>
      </w:tabs>
      <w:snapToGrid w:val="0"/>
      <w:spacing w:beforeLines="0" w:afterLines="0"/>
    </w:pPr>
    <w:rPr>
      <w:rFonts w:hint="eastAsia"/>
      <w:sz w:val="18"/>
      <w:szCs w:val="24"/>
    </w:rPr>
  </w:style>
  <w:style w:type="paragraph" w:styleId="3">
    <w:name w:val="header"/>
    <w:basedOn w:val="1"/>
    <w:link w:val="35"/>
    <w:autoRedefine/>
    <w:unhideWhenUsed/>
    <w:qFormat/>
    <w:uiPriority w:val="99"/>
    <w:pPr>
      <w:tabs>
        <w:tab w:val="center" w:pos="4153"/>
        <w:tab w:val="right" w:pos="8306"/>
      </w:tabs>
      <w:snapToGrid w:val="0"/>
      <w:spacing w:beforeLines="0" w:afterLines="0"/>
      <w:jc w:val="both"/>
    </w:pPr>
    <w:rPr>
      <w:rFonts w:hint="eastAsia"/>
      <w:sz w:val="18"/>
      <w:szCs w:val="24"/>
    </w:rPr>
  </w:style>
  <w:style w:type="character" w:styleId="6">
    <w:name w:val="page number"/>
    <w:basedOn w:val="5"/>
    <w:qFormat/>
    <w:uiPriority w:val="0"/>
  </w:style>
  <w:style w:type="character" w:styleId="7">
    <w:name w:val="Hyperlink"/>
    <w:basedOn w:val="5"/>
    <w:unhideWhenUsed/>
    <w:qFormat/>
    <w:uiPriority w:val="99"/>
    <w:rPr>
      <w:rFonts w:hint="default" w:cs="Times New Roman"/>
      <w:sz w:val="24"/>
      <w:szCs w:val="24"/>
      <w:u w:val="single"/>
    </w:rPr>
  </w:style>
  <w:style w:type="paragraph" w:customStyle="1" w:styleId="8">
    <w:name w:val="正文文本 (5)"/>
    <w:basedOn w:val="1"/>
    <w:link w:val="24"/>
    <w:unhideWhenUsed/>
    <w:qFormat/>
    <w:uiPriority w:val="99"/>
    <w:pPr>
      <w:shd w:val="clear" w:color="auto" w:fill="FFFFFF"/>
      <w:spacing w:before="660" w:beforeLines="0" w:after="60" w:afterLines="0" w:line="240" w:lineRule="atLeast"/>
      <w:jc w:val="distribute"/>
    </w:pPr>
    <w:rPr>
      <w:rFonts w:hint="eastAsia" w:ascii="MingLiU" w:hAnsi="MingLiU" w:eastAsia="MingLiU"/>
      <w:sz w:val="21"/>
      <w:szCs w:val="24"/>
    </w:rPr>
  </w:style>
  <w:style w:type="paragraph" w:customStyle="1" w:styleId="9">
    <w:name w:val="标题 #1"/>
    <w:basedOn w:val="1"/>
    <w:link w:val="29"/>
    <w:autoRedefine/>
    <w:unhideWhenUsed/>
    <w:qFormat/>
    <w:uiPriority w:val="99"/>
    <w:pPr>
      <w:shd w:val="clear" w:color="auto" w:fill="FFFFFF"/>
      <w:spacing w:before="540" w:beforeLines="0" w:after="540" w:afterLines="0" w:line="240" w:lineRule="atLeast"/>
      <w:jc w:val="center"/>
      <w:outlineLvl w:val="0"/>
    </w:pPr>
    <w:rPr>
      <w:rFonts w:hint="eastAsia" w:ascii="MingLiU" w:hAnsi="MingLiU" w:eastAsia="MingLiU"/>
      <w:spacing w:val="40"/>
      <w:sz w:val="28"/>
      <w:szCs w:val="24"/>
    </w:rPr>
  </w:style>
  <w:style w:type="paragraph" w:customStyle="1" w:styleId="10">
    <w:name w:val="正文文本 (4)"/>
    <w:basedOn w:val="1"/>
    <w:link w:val="33"/>
    <w:autoRedefine/>
    <w:unhideWhenUsed/>
    <w:qFormat/>
    <w:uiPriority w:val="99"/>
    <w:pPr>
      <w:shd w:val="clear" w:color="auto" w:fill="FFFFFF"/>
      <w:spacing w:beforeLines="0" w:afterLines="0" w:line="445" w:lineRule="exact"/>
      <w:jc w:val="distribute"/>
    </w:pPr>
    <w:rPr>
      <w:rFonts w:hint="eastAsia" w:ascii="MingLiU" w:hAnsi="MingLiU" w:eastAsia="MingLiU"/>
      <w:sz w:val="20"/>
      <w:szCs w:val="24"/>
    </w:rPr>
  </w:style>
  <w:style w:type="paragraph" w:customStyle="1" w:styleId="11">
    <w:name w:val="正文文本 (3)"/>
    <w:basedOn w:val="1"/>
    <w:link w:val="27"/>
    <w:unhideWhenUsed/>
    <w:qFormat/>
    <w:uiPriority w:val="99"/>
    <w:pPr>
      <w:shd w:val="clear" w:color="auto" w:fill="FFFFFF"/>
      <w:spacing w:beforeLines="0" w:after="540" w:afterLines="0" w:line="240" w:lineRule="atLeast"/>
    </w:pPr>
    <w:rPr>
      <w:rFonts w:hint="eastAsia" w:ascii="MingLiU" w:hAnsi="MingLiU" w:eastAsia="MingLiU"/>
      <w:spacing w:val="10"/>
      <w:sz w:val="16"/>
      <w:szCs w:val="24"/>
    </w:rPr>
  </w:style>
  <w:style w:type="paragraph" w:customStyle="1" w:styleId="12">
    <w:name w:val="正文文本 (6)"/>
    <w:basedOn w:val="1"/>
    <w:link w:val="18"/>
    <w:autoRedefine/>
    <w:unhideWhenUsed/>
    <w:qFormat/>
    <w:uiPriority w:val="99"/>
    <w:pPr>
      <w:shd w:val="clear" w:color="auto" w:fill="FFFFFF"/>
      <w:spacing w:before="60" w:beforeLines="0" w:after="240" w:afterLines="0" w:line="240" w:lineRule="atLeast"/>
      <w:ind w:hanging="420"/>
      <w:jc w:val="distribute"/>
    </w:pPr>
    <w:rPr>
      <w:rFonts w:hint="eastAsia" w:ascii="MingLiU" w:hAnsi="MingLiU" w:eastAsia="MingLiU"/>
      <w:sz w:val="22"/>
      <w:szCs w:val="24"/>
    </w:rPr>
  </w:style>
  <w:style w:type="paragraph" w:customStyle="1" w:styleId="13">
    <w:name w:val="页眉或页脚"/>
    <w:basedOn w:val="1"/>
    <w:link w:val="17"/>
    <w:unhideWhenUsed/>
    <w:qFormat/>
    <w:uiPriority w:val="99"/>
    <w:pPr>
      <w:shd w:val="clear" w:color="auto" w:fill="FFFFFF"/>
      <w:spacing w:beforeLines="0" w:afterLines="0" w:line="240" w:lineRule="atLeast"/>
    </w:pPr>
    <w:rPr>
      <w:rFonts w:hint="eastAsia" w:ascii="MingLiU" w:hAnsi="MingLiU" w:eastAsia="MingLiU"/>
      <w:spacing w:val="20"/>
      <w:sz w:val="16"/>
      <w:szCs w:val="24"/>
    </w:rPr>
  </w:style>
  <w:style w:type="paragraph" w:customStyle="1" w:styleId="14">
    <w:name w:val="表格标题"/>
    <w:basedOn w:val="1"/>
    <w:link w:val="26"/>
    <w:autoRedefine/>
    <w:unhideWhenUsed/>
    <w:qFormat/>
    <w:uiPriority w:val="99"/>
    <w:pPr>
      <w:shd w:val="clear" w:color="auto" w:fill="FFFFFF"/>
      <w:spacing w:beforeLines="0" w:after="120" w:afterLines="0" w:line="240" w:lineRule="atLeast"/>
      <w:jc w:val="distribute"/>
    </w:pPr>
    <w:rPr>
      <w:rFonts w:hint="eastAsia" w:ascii="MingLiU" w:hAnsi="MingLiU" w:eastAsia="MingLiU"/>
      <w:sz w:val="20"/>
      <w:szCs w:val="24"/>
    </w:rPr>
  </w:style>
  <w:style w:type="paragraph" w:customStyle="1" w:styleId="15">
    <w:name w:val="正文文本 (2)"/>
    <w:basedOn w:val="1"/>
    <w:link w:val="21"/>
    <w:autoRedefine/>
    <w:unhideWhenUsed/>
    <w:qFormat/>
    <w:uiPriority w:val="99"/>
    <w:pPr>
      <w:shd w:val="clear" w:color="auto" w:fill="FFFFFF"/>
      <w:spacing w:before="60" w:beforeLines="0" w:afterLines="0" w:line="445" w:lineRule="exact"/>
    </w:pPr>
    <w:rPr>
      <w:rFonts w:hint="eastAsia" w:ascii="MingLiU" w:hAnsi="MingLiU" w:eastAsia="MingLiU"/>
      <w:sz w:val="24"/>
      <w:szCs w:val="24"/>
    </w:rPr>
  </w:style>
  <w:style w:type="character" w:customStyle="1" w:styleId="16">
    <w:name w:val="页眉或页脚 + Garamond"/>
    <w:basedOn w:val="17"/>
    <w:unhideWhenUsed/>
    <w:qFormat/>
    <w:uiPriority w:val="99"/>
    <w:rPr>
      <w:rFonts w:hint="eastAsia" w:ascii="Garamond" w:hAnsi="Garamond"/>
      <w:b/>
      <w:sz w:val="20"/>
      <w:szCs w:val="24"/>
      <w:lang w:eastAsia="en-US"/>
    </w:rPr>
  </w:style>
  <w:style w:type="character" w:customStyle="1" w:styleId="17">
    <w:name w:val="页眉或页脚_"/>
    <w:basedOn w:val="5"/>
    <w:link w:val="13"/>
    <w:autoRedefine/>
    <w:unhideWhenUsed/>
    <w:qFormat/>
    <w:locked/>
    <w:uiPriority w:val="99"/>
    <w:rPr>
      <w:rFonts w:hint="eastAsia" w:ascii="MingLiU" w:hAnsi="MingLiU" w:eastAsia="MingLiU" w:cs="Times New Roman"/>
      <w:spacing w:val="20"/>
      <w:sz w:val="16"/>
      <w:szCs w:val="24"/>
    </w:rPr>
  </w:style>
  <w:style w:type="character" w:customStyle="1" w:styleId="18">
    <w:name w:val="正文文本 (6)_"/>
    <w:basedOn w:val="5"/>
    <w:link w:val="12"/>
    <w:autoRedefine/>
    <w:unhideWhenUsed/>
    <w:qFormat/>
    <w:locked/>
    <w:uiPriority w:val="99"/>
    <w:rPr>
      <w:rFonts w:hint="eastAsia" w:ascii="MingLiU" w:hAnsi="MingLiU" w:eastAsia="MingLiU" w:cs="Times New Roman"/>
      <w:sz w:val="22"/>
      <w:szCs w:val="24"/>
    </w:rPr>
  </w:style>
  <w:style w:type="character" w:customStyle="1" w:styleId="19">
    <w:name w:val="页眉或页脚 + 7.5 pt"/>
    <w:basedOn w:val="17"/>
    <w:unhideWhenUsed/>
    <w:qFormat/>
    <w:uiPriority w:val="99"/>
    <w:rPr>
      <w:rFonts w:hint="eastAsia"/>
      <w:sz w:val="15"/>
      <w:szCs w:val="24"/>
    </w:rPr>
  </w:style>
  <w:style w:type="character" w:customStyle="1" w:styleId="20">
    <w:name w:val="正文文本 (2) + 10 pt"/>
    <w:basedOn w:val="21"/>
    <w:autoRedefine/>
    <w:unhideWhenUsed/>
    <w:qFormat/>
    <w:uiPriority w:val="99"/>
    <w:rPr>
      <w:rFonts w:hint="eastAsia"/>
      <w:sz w:val="20"/>
      <w:szCs w:val="24"/>
    </w:rPr>
  </w:style>
  <w:style w:type="character" w:customStyle="1" w:styleId="21">
    <w:name w:val="正文文本 (2)_"/>
    <w:basedOn w:val="5"/>
    <w:link w:val="15"/>
    <w:autoRedefine/>
    <w:unhideWhenUsed/>
    <w:qFormat/>
    <w:locked/>
    <w:uiPriority w:val="99"/>
    <w:rPr>
      <w:rFonts w:hint="eastAsia" w:ascii="MingLiU" w:hAnsi="MingLiU" w:eastAsia="MingLiU" w:cs="Times New Roman"/>
      <w:sz w:val="24"/>
      <w:szCs w:val="24"/>
    </w:rPr>
  </w:style>
  <w:style w:type="character" w:customStyle="1" w:styleId="22">
    <w:name w:val="正文文本 (2) + 13 pt"/>
    <w:basedOn w:val="21"/>
    <w:unhideWhenUsed/>
    <w:qFormat/>
    <w:uiPriority w:val="99"/>
    <w:rPr>
      <w:rFonts w:hint="eastAsia"/>
      <w:spacing w:val="-50"/>
      <w:sz w:val="26"/>
      <w:szCs w:val="24"/>
    </w:rPr>
  </w:style>
  <w:style w:type="character" w:customStyle="1" w:styleId="23">
    <w:name w:val="页眉或页脚 + 7.5 pt1"/>
    <w:basedOn w:val="17"/>
    <w:autoRedefine/>
    <w:unhideWhenUsed/>
    <w:qFormat/>
    <w:uiPriority w:val="99"/>
    <w:rPr>
      <w:rFonts w:hint="eastAsia"/>
      <w:sz w:val="15"/>
      <w:szCs w:val="24"/>
      <w:u w:val="single"/>
    </w:rPr>
  </w:style>
  <w:style w:type="character" w:customStyle="1" w:styleId="24">
    <w:name w:val="正文文本 (5)_"/>
    <w:basedOn w:val="5"/>
    <w:link w:val="8"/>
    <w:autoRedefine/>
    <w:unhideWhenUsed/>
    <w:qFormat/>
    <w:locked/>
    <w:uiPriority w:val="99"/>
    <w:rPr>
      <w:rFonts w:hint="eastAsia" w:ascii="MingLiU" w:hAnsi="MingLiU" w:eastAsia="MingLiU" w:cs="Times New Roman"/>
      <w:sz w:val="21"/>
      <w:szCs w:val="24"/>
    </w:rPr>
  </w:style>
  <w:style w:type="character" w:customStyle="1" w:styleId="25">
    <w:name w:val="表格标题 + 13 pt"/>
    <w:basedOn w:val="26"/>
    <w:unhideWhenUsed/>
    <w:qFormat/>
    <w:uiPriority w:val="99"/>
    <w:rPr>
      <w:rFonts w:hint="eastAsia"/>
      <w:spacing w:val="-40"/>
      <w:sz w:val="26"/>
      <w:szCs w:val="24"/>
      <w:lang w:eastAsia="en-US"/>
    </w:rPr>
  </w:style>
  <w:style w:type="character" w:customStyle="1" w:styleId="26">
    <w:name w:val="表格标题_"/>
    <w:basedOn w:val="5"/>
    <w:link w:val="14"/>
    <w:autoRedefine/>
    <w:unhideWhenUsed/>
    <w:qFormat/>
    <w:locked/>
    <w:uiPriority w:val="99"/>
    <w:rPr>
      <w:rFonts w:hint="eastAsia" w:ascii="MingLiU" w:hAnsi="MingLiU" w:eastAsia="MingLiU" w:cs="Times New Roman"/>
      <w:sz w:val="20"/>
      <w:szCs w:val="24"/>
    </w:rPr>
  </w:style>
  <w:style w:type="character" w:customStyle="1" w:styleId="27">
    <w:name w:val="正文文本 (3)_"/>
    <w:basedOn w:val="5"/>
    <w:link w:val="11"/>
    <w:autoRedefine/>
    <w:unhideWhenUsed/>
    <w:qFormat/>
    <w:locked/>
    <w:uiPriority w:val="99"/>
    <w:rPr>
      <w:rFonts w:hint="eastAsia" w:ascii="MingLiU" w:hAnsi="MingLiU" w:eastAsia="MingLiU" w:cs="Times New Roman"/>
      <w:spacing w:val="10"/>
      <w:sz w:val="16"/>
      <w:szCs w:val="24"/>
    </w:rPr>
  </w:style>
  <w:style w:type="character" w:customStyle="1" w:styleId="28">
    <w:name w:val="页眉或页脚 + 间距 0 pt"/>
    <w:basedOn w:val="17"/>
    <w:unhideWhenUsed/>
    <w:qFormat/>
    <w:uiPriority w:val="99"/>
    <w:rPr>
      <w:rFonts w:hint="eastAsia"/>
      <w:spacing w:val="10"/>
      <w:sz w:val="16"/>
      <w:szCs w:val="24"/>
    </w:rPr>
  </w:style>
  <w:style w:type="character" w:customStyle="1" w:styleId="29">
    <w:name w:val="标题 #1_"/>
    <w:basedOn w:val="5"/>
    <w:link w:val="9"/>
    <w:autoRedefine/>
    <w:unhideWhenUsed/>
    <w:qFormat/>
    <w:locked/>
    <w:uiPriority w:val="99"/>
    <w:rPr>
      <w:rFonts w:hint="eastAsia" w:ascii="MingLiU" w:hAnsi="MingLiU" w:eastAsia="MingLiU" w:cs="Times New Roman"/>
      <w:spacing w:val="40"/>
      <w:sz w:val="28"/>
      <w:szCs w:val="24"/>
    </w:rPr>
  </w:style>
  <w:style w:type="character" w:customStyle="1" w:styleId="30">
    <w:name w:val="页眉或页脚1"/>
    <w:basedOn w:val="17"/>
    <w:autoRedefine/>
    <w:unhideWhenUsed/>
    <w:qFormat/>
    <w:uiPriority w:val="99"/>
    <w:rPr>
      <w:rFonts w:hint="eastAsia"/>
      <w:sz w:val="16"/>
      <w:szCs w:val="24"/>
    </w:rPr>
  </w:style>
  <w:style w:type="character" w:customStyle="1" w:styleId="31">
    <w:name w:val="正文文本 (2) + 间距 -2 pt"/>
    <w:basedOn w:val="21"/>
    <w:unhideWhenUsed/>
    <w:qFormat/>
    <w:uiPriority w:val="99"/>
    <w:rPr>
      <w:rFonts w:hint="eastAsia"/>
      <w:spacing w:val="-40"/>
      <w:sz w:val="24"/>
      <w:szCs w:val="24"/>
    </w:rPr>
  </w:style>
  <w:style w:type="character" w:customStyle="1" w:styleId="32">
    <w:name w:val="页眉或页脚 + Century Gothic"/>
    <w:basedOn w:val="17"/>
    <w:autoRedefine/>
    <w:unhideWhenUsed/>
    <w:qFormat/>
    <w:uiPriority w:val="99"/>
    <w:rPr>
      <w:rFonts w:hint="eastAsia" w:ascii="Century Gothic" w:hAnsi="Century Gothic"/>
      <w:b/>
      <w:sz w:val="15"/>
      <w:szCs w:val="24"/>
      <w:lang w:eastAsia="en-US"/>
    </w:rPr>
  </w:style>
  <w:style w:type="character" w:customStyle="1" w:styleId="33">
    <w:name w:val="正文文本 (4)_"/>
    <w:basedOn w:val="5"/>
    <w:link w:val="10"/>
    <w:autoRedefine/>
    <w:unhideWhenUsed/>
    <w:qFormat/>
    <w:locked/>
    <w:uiPriority w:val="99"/>
    <w:rPr>
      <w:rFonts w:hint="eastAsia" w:ascii="MingLiU" w:hAnsi="MingLiU" w:eastAsia="MingLiU" w:cs="Times New Roman"/>
      <w:sz w:val="20"/>
      <w:szCs w:val="24"/>
    </w:rPr>
  </w:style>
  <w:style w:type="character" w:customStyle="1" w:styleId="34">
    <w:name w:val="正文文本 (2)1"/>
    <w:basedOn w:val="21"/>
    <w:unhideWhenUsed/>
    <w:qFormat/>
    <w:uiPriority w:val="99"/>
    <w:rPr>
      <w:rFonts w:hint="eastAsia"/>
      <w:sz w:val="24"/>
      <w:szCs w:val="24"/>
      <w:lang w:eastAsia="en-US"/>
    </w:rPr>
  </w:style>
  <w:style w:type="character" w:customStyle="1" w:styleId="35">
    <w:name w:val="页眉 Char"/>
    <w:basedOn w:val="5"/>
    <w:link w:val="3"/>
    <w:autoRedefine/>
    <w:unhideWhenUsed/>
    <w:qFormat/>
    <w:locked/>
    <w:uiPriority w:val="99"/>
    <w:rPr>
      <w:rFonts w:hint="eastAsia" w:ascii="MingLiU_HKSCS" w:hAnsi="MingLiU_HKSCS" w:eastAsia="MingLiU_HKSCS" w:cs="Times New Roman"/>
      <w:color w:val="000000"/>
      <w:sz w:val="18"/>
      <w:szCs w:val="18"/>
      <w:lang w:val="zh-TW" w:eastAsia="zh-TW"/>
    </w:rPr>
  </w:style>
  <w:style w:type="character" w:customStyle="1" w:styleId="36">
    <w:name w:val="页脚 Char"/>
    <w:basedOn w:val="5"/>
    <w:link w:val="2"/>
    <w:autoRedefine/>
    <w:unhideWhenUsed/>
    <w:qFormat/>
    <w:locked/>
    <w:uiPriority w:val="99"/>
    <w:rPr>
      <w:rFonts w:hint="eastAsia" w:ascii="MingLiU_HKSCS" w:hAnsi="MingLiU_HKSCS" w:eastAsia="MingLiU_HKSCS" w:cs="Times New Roman"/>
      <w:color w:val="000000"/>
      <w:sz w:val="18"/>
      <w:szCs w:val="18"/>
      <w:lang w:val="zh-TW" w:eastAsia="zh-TW"/>
    </w:rPr>
  </w:style>
  <w:style w:type="paragraph" w:customStyle="1" w:styleId="37">
    <w:name w:val="p"/>
    <w:basedOn w:val="1"/>
    <w:autoRedefine/>
    <w:qFormat/>
    <w:uiPriority w:val="99"/>
    <w:pPr>
      <w:spacing w:line="525" w:lineRule="atLeast"/>
      <w:ind w:firstLine="375"/>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2</Pages>
  <Words>1105</Words>
  <Characters>1116</Characters>
  <TotalTime>11</TotalTime>
  <ScaleCrop>false</ScaleCrop>
  <LinksUpToDate>false</LinksUpToDate>
  <CharactersWithSpaces>1134</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2024-05-20T07:22:00Z</dcterms:created>
  <dc:creator>Administrator</dc:creator>
  <cp:lastModifiedBy>高中三年级</cp:lastModifiedBy>
  <cp:lastPrinted>2025-03-20T00:38:43Z</cp:lastPrinted>
  <dcterms:modified xsi:type="dcterms:W3CDTF">2025-03-20T00:46:08Z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F7DB2ACFEC474C5D91649A6ACB435DE4_13</vt:lpwstr>
  </property>
  <property fmtid="{D5CDD505-2E9C-101B-9397-08002B2CF9AE}" pid="4" name="KSOTemplateDocerSaveRecord">
    <vt:lpwstr>eyJoZGlkIjoiYzRhN2UwMTYzYmM0MGZhNTNlZDJiYjEyODNkNmFiMGIiLCJ1c2VySWQiOiI0NTYyNjM2NDAifQ==</vt:lpwstr>
  </property>
</Properties>
</file>