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eastAsia="zh-CN"/>
        </w:rPr>
      </w:pPr>
      <w:r>
        <w:rPr>
          <w:rFonts w:hint="eastAsia"/>
          <w:b/>
          <w:bCs/>
          <w:sz w:val="36"/>
          <w:szCs w:val="44"/>
          <w:lang w:eastAsia="zh-CN"/>
        </w:rPr>
        <w:t>武冈市</w:t>
      </w:r>
      <w:r>
        <w:rPr>
          <w:rFonts w:hint="eastAsia"/>
          <w:b/>
          <w:bCs/>
          <w:sz w:val="36"/>
          <w:szCs w:val="44"/>
          <w:u w:val="single"/>
          <w:lang w:val="en-US" w:eastAsia="zh-CN"/>
        </w:rPr>
        <w:t xml:space="preserve">           </w:t>
      </w:r>
      <w:r>
        <w:rPr>
          <w:rFonts w:hint="eastAsia"/>
          <w:b/>
          <w:bCs/>
          <w:sz w:val="36"/>
          <w:szCs w:val="44"/>
          <w:u w:val="none"/>
          <w:lang w:val="en-US" w:eastAsia="zh-CN"/>
        </w:rPr>
        <w:t>学校</w:t>
      </w:r>
      <w:r>
        <w:rPr>
          <w:rFonts w:hint="eastAsia"/>
          <w:b/>
          <w:bCs/>
          <w:sz w:val="36"/>
          <w:szCs w:val="44"/>
          <w:lang w:eastAsia="zh-CN"/>
        </w:rPr>
        <w:t>营养餐大宗食材（</w:t>
      </w:r>
      <w:r>
        <w:rPr>
          <w:rFonts w:hint="eastAsia" w:ascii="宋体" w:cs="宋体"/>
          <w:b/>
          <w:color w:val="auto"/>
          <w:sz w:val="44"/>
          <w:szCs w:val="44"/>
          <w:lang w:eastAsia="zh-CN"/>
        </w:rPr>
        <w:t>食用油</w:t>
      </w:r>
      <w:r>
        <w:rPr>
          <w:rFonts w:hint="eastAsia"/>
          <w:b/>
          <w:bCs/>
          <w:sz w:val="36"/>
          <w:szCs w:val="44"/>
          <w:lang w:eastAsia="zh-CN"/>
        </w:rPr>
        <w:t>）</w:t>
      </w:r>
    </w:p>
    <w:p>
      <w:pPr>
        <w:jc w:val="center"/>
        <w:rPr>
          <w:rFonts w:hint="eastAsia"/>
          <w:b/>
          <w:bCs/>
          <w:sz w:val="36"/>
          <w:szCs w:val="44"/>
          <w:lang w:val="en-US" w:eastAsia="zh-CN"/>
        </w:rPr>
      </w:pPr>
      <w:r>
        <w:rPr>
          <w:rFonts w:hint="eastAsia"/>
          <w:b/>
          <w:bCs/>
          <w:sz w:val="36"/>
          <w:szCs w:val="44"/>
          <w:lang w:val="en-US" w:eastAsia="zh-CN"/>
        </w:rPr>
        <w:t>湖南省电子卖场竞价模式采购</w:t>
      </w:r>
      <w:r>
        <w:rPr>
          <w:rFonts w:hint="eastAsia"/>
          <w:b/>
          <w:bCs/>
          <w:sz w:val="36"/>
          <w:szCs w:val="44"/>
          <w:lang w:eastAsia="zh-CN"/>
        </w:rPr>
        <w:t>标准</w:t>
      </w:r>
    </w:p>
    <w:p>
      <w:pPr>
        <w:pStyle w:val="2"/>
        <w:numPr>
          <w:ilvl w:val="0"/>
          <w:numId w:val="0"/>
        </w:numPr>
        <w:ind w:firstLine="281" w:firstLineChars="100"/>
        <w:rPr>
          <w:rFonts w:hint="eastAsia"/>
          <w:b/>
          <w:bCs/>
          <w:sz w:val="28"/>
          <w:szCs w:val="28"/>
          <w:lang w:val="en-US" w:eastAsia="zh-CN"/>
        </w:rPr>
      </w:pPr>
      <w:r>
        <w:rPr>
          <w:rFonts w:hint="eastAsia"/>
          <w:b/>
          <w:bCs/>
          <w:sz w:val="28"/>
          <w:szCs w:val="28"/>
          <w:lang w:val="en-US" w:eastAsia="zh-CN"/>
        </w:rPr>
        <w:t>一、参与竞价供货商须知</w:t>
      </w:r>
    </w:p>
    <w:p>
      <w:pPr>
        <w:pStyle w:val="2"/>
        <w:numPr>
          <w:ilvl w:val="0"/>
          <w:numId w:val="0"/>
        </w:numPr>
        <w:ind w:firstLine="281" w:firstLineChars="100"/>
        <w:rPr>
          <w:rFonts w:hint="default"/>
          <w:b/>
          <w:bCs/>
          <w:sz w:val="28"/>
          <w:szCs w:val="28"/>
          <w:lang w:val="en-US" w:eastAsia="zh-CN"/>
        </w:rPr>
      </w:pPr>
      <w:r>
        <w:rPr>
          <w:rFonts w:hint="eastAsia"/>
          <w:b/>
          <w:bCs/>
          <w:sz w:val="28"/>
          <w:szCs w:val="28"/>
          <w:lang w:val="en-US" w:eastAsia="zh-CN"/>
        </w:rPr>
        <w:t>1.参与本校营养餐大宗食材（食用油）湖南省电子卖场竞价模式的供应商准入条件须知：</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不同时具备以下十条的，一律不得向学生食堂供货：</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第一条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供货商需具备合法从事经营活动的资质，具备有效的《营业执照》、《食品生产许可证》或《食品经营许可证》、《税务登记证》等；</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w:t>
      </w:r>
      <w:r>
        <w:rPr>
          <w:rFonts w:hint="eastAsia" w:ascii="仿宋_GB2312" w:hAnsi="仿宋_GB2312" w:eastAsia="仿宋_GB2312" w:cs="仿宋_GB2312"/>
          <w:bCs/>
          <w:color w:val="000000" w:themeColor="text1"/>
          <w:kern w:val="0"/>
          <w:sz w:val="28"/>
          <w:szCs w:val="28"/>
          <w14:textFill>
            <w14:solidFill>
              <w14:schemeClr w14:val="tx1"/>
            </w14:solidFill>
          </w14:textFill>
        </w:rPr>
        <w:t>需</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在湖南省电子卖场登记注册</w:t>
      </w:r>
      <w:r>
        <w:rPr>
          <w:rFonts w:hint="eastAsia" w:ascii="仿宋_GB2312" w:hAnsi="仿宋_GB2312" w:eastAsia="仿宋_GB2312" w:cs="仿宋_GB2312"/>
          <w:bCs/>
          <w:color w:val="000000" w:themeColor="text1"/>
          <w:kern w:val="0"/>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第二条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供货商需签订承诺书，承诺近三年内无食品安全事故及其他无违反食品安全行为。</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第三条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供货商需具备满足供货需求的场地</w:t>
      </w:r>
      <w:r>
        <w:rPr>
          <w:rFonts w:hint="eastAsia" w:ascii="仿宋_GB2312" w:hAnsi="仿宋_GB2312" w:eastAsia="仿宋_GB2312" w:cs="仿宋_GB2312"/>
          <w:bCs/>
          <w:color w:val="000000" w:themeColor="text1"/>
          <w:kern w:val="0"/>
          <w:sz w:val="28"/>
          <w:szCs w:val="28"/>
          <w14:textFill>
            <w14:solidFill>
              <w14:schemeClr w14:val="tx1"/>
            </w14:solidFill>
          </w14:textFill>
        </w:rPr>
        <w:t>，包括冷冻、冷藏</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设备，食用油</w:t>
      </w:r>
      <w:r>
        <w:rPr>
          <w:rFonts w:hint="eastAsia" w:ascii="仿宋_GB2312" w:hAnsi="仿宋_GB2312" w:eastAsia="仿宋_GB2312" w:cs="仿宋_GB2312"/>
          <w:bCs/>
          <w:color w:val="000000" w:themeColor="text1"/>
          <w:kern w:val="0"/>
          <w:sz w:val="28"/>
          <w:szCs w:val="28"/>
          <w14:textFill>
            <w14:solidFill>
              <w14:schemeClr w14:val="tx1"/>
            </w14:solidFill>
          </w14:textFill>
        </w:rPr>
        <w:t>、食用油、干货的储存</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场地</w:t>
      </w:r>
      <w:r>
        <w:rPr>
          <w:rFonts w:hint="eastAsia" w:ascii="仿宋_GB2312" w:hAnsi="仿宋_GB2312" w:eastAsia="仿宋_GB2312" w:cs="仿宋_GB2312"/>
          <w:bCs/>
          <w:color w:val="000000" w:themeColor="text1"/>
          <w:kern w:val="0"/>
          <w:sz w:val="28"/>
          <w:szCs w:val="28"/>
          <w14:textFill>
            <w14:solidFill>
              <w14:schemeClr w14:val="tx1"/>
            </w14:solidFill>
          </w14:textFill>
        </w:rPr>
        <w:t>，蔬菜瓜果类食材的临时储存</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场地</w:t>
      </w:r>
      <w:r>
        <w:rPr>
          <w:rFonts w:hint="eastAsia" w:ascii="仿宋_GB2312" w:hAnsi="仿宋_GB2312" w:eastAsia="仿宋_GB2312" w:cs="仿宋_GB2312"/>
          <w:bCs/>
          <w:color w:val="000000" w:themeColor="text1"/>
          <w:kern w:val="0"/>
          <w:sz w:val="28"/>
          <w:szCs w:val="28"/>
          <w14:textFill>
            <w14:solidFill>
              <w14:schemeClr w14:val="tx1"/>
            </w14:solidFill>
          </w14:textFill>
        </w:rPr>
        <w:t>和分拣</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场地</w:t>
      </w:r>
      <w:r>
        <w:rPr>
          <w:rFonts w:hint="eastAsia" w:ascii="仿宋_GB2312" w:hAnsi="仿宋_GB2312" w:eastAsia="仿宋_GB2312" w:cs="仿宋_GB2312"/>
          <w:bCs/>
          <w:color w:val="000000" w:themeColor="text1"/>
          <w:kern w:val="0"/>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第四条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供货商需建立满足供货条件的</w:t>
      </w:r>
      <w:r>
        <w:rPr>
          <w:rFonts w:hint="eastAsia" w:ascii="仿宋_GB2312" w:hAnsi="仿宋_GB2312" w:eastAsia="仿宋_GB2312" w:cs="仿宋_GB2312"/>
          <w:bCs/>
          <w:color w:val="000000" w:themeColor="text1"/>
          <w:kern w:val="0"/>
          <w:sz w:val="28"/>
          <w:szCs w:val="28"/>
          <w14:textFill>
            <w14:solidFill>
              <w14:schemeClr w14:val="tx1"/>
            </w14:solidFill>
          </w14:textFill>
        </w:rPr>
        <w:t>团队，</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做到</w:t>
      </w:r>
      <w:r>
        <w:rPr>
          <w:rFonts w:hint="eastAsia" w:ascii="仿宋_GB2312" w:hAnsi="仿宋_GB2312" w:eastAsia="仿宋_GB2312" w:cs="仿宋_GB2312"/>
          <w:bCs/>
          <w:color w:val="000000" w:themeColor="text1"/>
          <w:kern w:val="0"/>
          <w:sz w:val="28"/>
          <w:szCs w:val="28"/>
          <w14:textFill>
            <w14:solidFill>
              <w14:schemeClr w14:val="tx1"/>
            </w14:solidFill>
          </w14:textFill>
        </w:rPr>
        <w:t>管理制度健全，分工明确，职责到位；工作人员</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应定期体检，</w:t>
      </w:r>
      <w:r>
        <w:rPr>
          <w:rFonts w:hint="eastAsia" w:ascii="仿宋_GB2312" w:hAnsi="仿宋_GB2312" w:eastAsia="仿宋_GB2312" w:cs="仿宋_GB2312"/>
          <w:bCs/>
          <w:color w:val="000000" w:themeColor="text1"/>
          <w:kern w:val="0"/>
          <w:sz w:val="28"/>
          <w:szCs w:val="28"/>
          <w14:textFill>
            <w14:solidFill>
              <w14:schemeClr w14:val="tx1"/>
            </w14:solidFill>
          </w14:textFill>
        </w:rPr>
        <w:t>并取得健康证。</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第五条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供货商需</w:t>
      </w:r>
      <w:r>
        <w:rPr>
          <w:rFonts w:hint="eastAsia" w:ascii="仿宋_GB2312" w:hAnsi="仿宋_GB2312" w:eastAsia="仿宋_GB2312" w:cs="仿宋_GB2312"/>
          <w:bCs/>
          <w:color w:val="000000" w:themeColor="text1"/>
          <w:kern w:val="0"/>
          <w:sz w:val="28"/>
          <w:szCs w:val="28"/>
          <w14:textFill>
            <w14:solidFill>
              <w14:schemeClr w14:val="tx1"/>
            </w14:solidFill>
          </w14:textFill>
        </w:rPr>
        <w:t>配备</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能够</w:t>
      </w:r>
      <w:r>
        <w:rPr>
          <w:rFonts w:hint="eastAsia" w:ascii="仿宋_GB2312" w:hAnsi="仿宋_GB2312" w:eastAsia="仿宋_GB2312" w:cs="仿宋_GB2312"/>
          <w:bCs/>
          <w:color w:val="000000" w:themeColor="text1"/>
          <w:kern w:val="0"/>
          <w:sz w:val="28"/>
          <w:szCs w:val="28"/>
          <w14:textFill>
            <w14:solidFill>
              <w14:schemeClr w14:val="tx1"/>
            </w14:solidFill>
          </w14:textFill>
        </w:rPr>
        <w:t>满足</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供货需</w:t>
      </w:r>
      <w:r>
        <w:rPr>
          <w:rFonts w:hint="eastAsia" w:ascii="仿宋_GB2312" w:hAnsi="仿宋_GB2312" w:eastAsia="仿宋_GB2312" w:cs="仿宋_GB2312"/>
          <w:bCs/>
          <w:color w:val="000000" w:themeColor="text1"/>
          <w:kern w:val="0"/>
          <w:sz w:val="28"/>
          <w:szCs w:val="28"/>
          <w14:textFill>
            <w14:solidFill>
              <w14:schemeClr w14:val="tx1"/>
            </w14:solidFill>
          </w14:textFill>
        </w:rPr>
        <w:t>求的车辆</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，确保</w:t>
      </w:r>
      <w:r>
        <w:rPr>
          <w:rFonts w:hint="eastAsia" w:ascii="仿宋_GB2312" w:hAnsi="仿宋_GB2312" w:eastAsia="仿宋_GB2312" w:cs="仿宋_GB2312"/>
          <w:bCs/>
          <w:color w:val="000000" w:themeColor="text1"/>
          <w:kern w:val="0"/>
          <w:sz w:val="28"/>
          <w:szCs w:val="28"/>
          <w14:textFill>
            <w14:solidFill>
              <w14:schemeClr w14:val="tx1"/>
            </w14:solidFill>
          </w14:textFill>
        </w:rPr>
        <w:t>食材的新鲜度</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kern w:val="0"/>
          <w:sz w:val="28"/>
          <w:szCs w:val="28"/>
          <w14:textFill>
            <w14:solidFill>
              <w14:schemeClr w14:val="tx1"/>
            </w14:solidFill>
          </w14:textFill>
        </w:rPr>
        <w:t>车</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辆要相对固定</w:t>
      </w:r>
      <w:r>
        <w:rPr>
          <w:rFonts w:hint="eastAsia" w:ascii="仿宋_GB2312" w:hAnsi="仿宋_GB2312" w:eastAsia="仿宋_GB2312" w:cs="仿宋_GB2312"/>
          <w:bCs/>
          <w:color w:val="000000" w:themeColor="text1"/>
          <w:kern w:val="0"/>
          <w:sz w:val="28"/>
          <w:szCs w:val="28"/>
          <w14:textFill>
            <w14:solidFill>
              <w14:schemeClr w14:val="tx1"/>
            </w14:solidFill>
          </w14:textFill>
        </w:rPr>
        <w:t>，定期</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对车辆</w:t>
      </w:r>
      <w:r>
        <w:rPr>
          <w:rFonts w:hint="eastAsia" w:ascii="仿宋_GB2312" w:hAnsi="仿宋_GB2312" w:eastAsia="仿宋_GB2312" w:cs="仿宋_GB2312"/>
          <w:bCs/>
          <w:color w:val="000000" w:themeColor="text1"/>
          <w:kern w:val="0"/>
          <w:sz w:val="28"/>
          <w:szCs w:val="28"/>
          <w14:textFill>
            <w14:solidFill>
              <w14:schemeClr w14:val="tx1"/>
            </w14:solidFill>
          </w14:textFill>
        </w:rPr>
        <w:t>清洗、消毒和保洁</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。同时，要</w:t>
      </w:r>
      <w:r>
        <w:rPr>
          <w:rFonts w:hint="eastAsia" w:ascii="仿宋_GB2312" w:hAnsi="仿宋_GB2312" w:eastAsia="仿宋_GB2312" w:cs="仿宋_GB2312"/>
          <w:bCs/>
          <w:color w:val="000000" w:themeColor="text1"/>
          <w:kern w:val="0"/>
          <w:sz w:val="28"/>
          <w:szCs w:val="28"/>
          <w14:textFill>
            <w14:solidFill>
              <w14:schemeClr w14:val="tx1"/>
            </w14:solidFill>
          </w14:textFill>
        </w:rPr>
        <w:t>根据</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送货</w:t>
      </w:r>
      <w:r>
        <w:rPr>
          <w:rFonts w:hint="eastAsia" w:ascii="仿宋_GB2312" w:hAnsi="仿宋_GB2312" w:eastAsia="仿宋_GB2312" w:cs="仿宋_GB2312"/>
          <w:bCs/>
          <w:color w:val="000000" w:themeColor="text1"/>
          <w:kern w:val="0"/>
          <w:sz w:val="28"/>
          <w:szCs w:val="28"/>
          <w14:textFill>
            <w14:solidFill>
              <w14:schemeClr w14:val="tx1"/>
            </w14:solidFill>
          </w14:textFill>
        </w:rPr>
        <w:t>线路</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与</w:t>
      </w:r>
      <w:r>
        <w:rPr>
          <w:rFonts w:hint="eastAsia" w:ascii="仿宋_GB2312" w:hAnsi="仿宋_GB2312" w:eastAsia="仿宋_GB2312" w:cs="仿宋_GB2312"/>
          <w:bCs/>
          <w:color w:val="000000" w:themeColor="text1"/>
          <w:kern w:val="0"/>
          <w:sz w:val="28"/>
          <w:szCs w:val="28"/>
          <w14:textFill>
            <w14:solidFill>
              <w14:schemeClr w14:val="tx1"/>
            </w14:solidFill>
          </w14:textFill>
        </w:rPr>
        <w:t>学校加强组织和协调，优化</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送货</w:t>
      </w:r>
      <w:r>
        <w:rPr>
          <w:rFonts w:hint="eastAsia" w:ascii="仿宋_GB2312" w:hAnsi="仿宋_GB2312" w:eastAsia="仿宋_GB2312" w:cs="仿宋_GB2312"/>
          <w:bCs/>
          <w:color w:val="000000" w:themeColor="text1"/>
          <w:kern w:val="0"/>
          <w:sz w:val="28"/>
          <w:szCs w:val="28"/>
          <w14:textFill>
            <w14:solidFill>
              <w14:schemeClr w14:val="tx1"/>
            </w14:solidFill>
          </w14:textFill>
        </w:rPr>
        <w:t>时间安排，</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按照约定时</w:t>
      </w:r>
      <w:bookmarkStart w:id="0" w:name="_GoBack"/>
      <w:bookmarkEnd w:id="0"/>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间将</w:t>
      </w:r>
      <w:r>
        <w:rPr>
          <w:rFonts w:hint="eastAsia" w:ascii="仿宋_GB2312" w:hAnsi="仿宋_GB2312" w:eastAsia="仿宋_GB2312" w:cs="仿宋_GB2312"/>
          <w:bCs/>
          <w:color w:val="000000" w:themeColor="text1"/>
          <w:kern w:val="0"/>
          <w:sz w:val="28"/>
          <w:szCs w:val="28"/>
          <w14:textFill>
            <w14:solidFill>
              <w14:schemeClr w14:val="tx1"/>
            </w14:solidFill>
          </w14:textFill>
        </w:rPr>
        <w:t>食材送到学校指定地点</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，确保</w:t>
      </w:r>
      <w:r>
        <w:rPr>
          <w:rFonts w:hint="eastAsia" w:ascii="仿宋_GB2312" w:hAnsi="仿宋_GB2312" w:eastAsia="仿宋_GB2312" w:cs="仿宋_GB2312"/>
          <w:bCs/>
          <w:color w:val="000000" w:themeColor="text1"/>
          <w:kern w:val="0"/>
          <w:sz w:val="28"/>
          <w:szCs w:val="28"/>
          <w14:textFill>
            <w14:solidFill>
              <w14:schemeClr w14:val="tx1"/>
            </w14:solidFill>
          </w14:textFill>
        </w:rPr>
        <w:t>学校师生正常开餐</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第六条</w:t>
      </w:r>
      <w:r>
        <w:rPr>
          <w:rFonts w:hint="eastAsia" w:ascii="楷体" w:hAnsi="楷体" w:eastAsia="楷体" w:cs="楷体"/>
          <w:b/>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w:t>
      </w:r>
      <w:r>
        <w:rPr>
          <w:rFonts w:hint="eastAsia" w:ascii="仿宋_GB2312" w:hAnsi="仿宋_GB2312" w:eastAsia="仿宋_GB2312" w:cs="仿宋_GB2312"/>
          <w:bCs/>
          <w:color w:val="000000" w:themeColor="text1"/>
          <w:kern w:val="0"/>
          <w:sz w:val="28"/>
          <w:szCs w:val="28"/>
          <w14:textFill>
            <w14:solidFill>
              <w14:schemeClr w14:val="tx1"/>
            </w14:solidFill>
          </w14:textFill>
        </w:rPr>
        <w:t>食材</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坚持“</w:t>
      </w:r>
      <w:r>
        <w:rPr>
          <w:rFonts w:hint="eastAsia" w:ascii="仿宋_GB2312" w:hAnsi="仿宋_GB2312" w:eastAsia="仿宋_GB2312" w:cs="仿宋_GB2312"/>
          <w:bCs/>
          <w:color w:val="000000" w:themeColor="text1"/>
          <w:kern w:val="0"/>
          <w:sz w:val="28"/>
          <w:szCs w:val="28"/>
          <w14:textFill>
            <w14:solidFill>
              <w14:schemeClr w14:val="tx1"/>
            </w14:solidFill>
          </w14:textFill>
        </w:rPr>
        <w:t>品牌优先</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kern w:val="0"/>
          <w:sz w:val="28"/>
          <w:szCs w:val="28"/>
          <w14:textFill>
            <w14:solidFill>
              <w14:schemeClr w14:val="tx1"/>
            </w14:solidFill>
          </w14:textFill>
        </w:rPr>
        <w:t>原则。</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大米</w:t>
      </w:r>
      <w:r>
        <w:rPr>
          <w:rFonts w:hint="eastAsia" w:ascii="仿宋_GB2312" w:hAnsi="仿宋_GB2312" w:eastAsia="仿宋_GB2312" w:cs="仿宋_GB2312"/>
          <w:bCs/>
          <w:color w:val="000000" w:themeColor="text1"/>
          <w:kern w:val="0"/>
          <w:sz w:val="28"/>
          <w:szCs w:val="28"/>
          <w14:textFill>
            <w14:solidFill>
              <w14:schemeClr w14:val="tx1"/>
            </w14:solidFill>
          </w14:textFill>
        </w:rPr>
        <w:t>、油、肉</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牛肉</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鸡蛋</w:t>
      </w:r>
      <w:r>
        <w:rPr>
          <w:rFonts w:hint="eastAsia" w:ascii="仿宋_GB2312" w:hAnsi="仿宋_GB2312" w:eastAsia="仿宋_GB2312" w:cs="仿宋_GB2312"/>
          <w:bCs/>
          <w:color w:val="000000" w:themeColor="text1"/>
          <w:kern w:val="0"/>
          <w:sz w:val="28"/>
          <w:szCs w:val="28"/>
          <w14:textFill>
            <w14:solidFill>
              <w14:schemeClr w14:val="tx1"/>
            </w14:solidFill>
          </w14:textFill>
        </w:rPr>
        <w:t>等食材的进货渠道，应</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及时以书面形式</w:t>
      </w:r>
      <w:r>
        <w:rPr>
          <w:rFonts w:hint="eastAsia" w:ascii="仿宋_GB2312" w:hAnsi="仿宋_GB2312" w:eastAsia="仿宋_GB2312" w:cs="仿宋_GB2312"/>
          <w:bCs/>
          <w:color w:val="000000" w:themeColor="text1"/>
          <w:kern w:val="0"/>
          <w:sz w:val="28"/>
          <w:szCs w:val="28"/>
          <w14:textFill>
            <w14:solidFill>
              <w14:schemeClr w14:val="tx1"/>
            </w14:solidFill>
          </w14:textFill>
        </w:rPr>
        <w:t>向市</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营改办报备</w:t>
      </w:r>
      <w:r>
        <w:rPr>
          <w:rFonts w:hint="eastAsia" w:ascii="仿宋_GB2312" w:hAnsi="仿宋_GB2312" w:eastAsia="仿宋_GB2312" w:cs="仿宋_GB2312"/>
          <w:bCs/>
          <w:color w:val="000000" w:themeColor="text1"/>
          <w:kern w:val="0"/>
          <w:sz w:val="28"/>
          <w:szCs w:val="28"/>
          <w14:textFill>
            <w14:solidFill>
              <w14:schemeClr w14:val="tx1"/>
            </w14:solidFill>
          </w14:textFill>
        </w:rPr>
        <w:t>，由市</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营改办</w:t>
      </w:r>
      <w:r>
        <w:rPr>
          <w:rFonts w:hint="eastAsia" w:ascii="仿宋_GB2312" w:hAnsi="仿宋_GB2312" w:eastAsia="仿宋_GB2312" w:cs="仿宋_GB2312"/>
          <w:bCs/>
          <w:color w:val="000000" w:themeColor="text1"/>
          <w:kern w:val="0"/>
          <w:sz w:val="28"/>
          <w:szCs w:val="28"/>
          <w14:textFill>
            <w14:solidFill>
              <w14:schemeClr w14:val="tx1"/>
            </w14:solidFill>
          </w14:textFill>
        </w:rPr>
        <w:t>和</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w:t>
      </w:r>
      <w:r>
        <w:rPr>
          <w:rFonts w:hint="eastAsia" w:ascii="仿宋_GB2312" w:hAnsi="仿宋_GB2312" w:eastAsia="仿宋_GB2312" w:cs="仿宋_GB2312"/>
          <w:bCs/>
          <w:color w:val="000000" w:themeColor="text1"/>
          <w:kern w:val="0"/>
          <w:sz w:val="28"/>
          <w:szCs w:val="28"/>
          <w14:textFill>
            <w14:solidFill>
              <w14:schemeClr w14:val="tx1"/>
            </w14:solidFill>
          </w14:textFill>
        </w:rPr>
        <w:t>共同考察确定。一经确定，中途不得随意更换。</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w:t>
      </w:r>
      <w:r>
        <w:rPr>
          <w:rFonts w:hint="eastAsia" w:ascii="仿宋_GB2312" w:hAnsi="仿宋_GB2312" w:eastAsia="仿宋_GB2312" w:cs="仿宋_GB2312"/>
          <w:bCs/>
          <w:color w:val="000000" w:themeColor="text1"/>
          <w:kern w:val="0"/>
          <w:sz w:val="28"/>
          <w:szCs w:val="28"/>
          <w14:textFill>
            <w14:solidFill>
              <w14:schemeClr w14:val="tx1"/>
            </w14:solidFill>
          </w14:textFill>
        </w:rPr>
        <w:t>如需更换供货渠道，新的供货渠道必须报武冈市</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营改办</w:t>
      </w:r>
      <w:r>
        <w:rPr>
          <w:rFonts w:hint="eastAsia" w:ascii="仿宋_GB2312" w:hAnsi="仿宋_GB2312" w:eastAsia="仿宋_GB2312" w:cs="仿宋_GB2312"/>
          <w:bCs/>
          <w:color w:val="000000" w:themeColor="text1"/>
          <w:kern w:val="0"/>
          <w:sz w:val="28"/>
          <w:szCs w:val="28"/>
          <w14:textFill>
            <w14:solidFill>
              <w14:schemeClr w14:val="tx1"/>
            </w14:solidFill>
          </w14:textFill>
        </w:rPr>
        <w:t>考察同意后方可更换。</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spacing w:val="-6"/>
          <w:kern w:val="0"/>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第七条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货商要加强</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食材</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出入库管理，</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采购数量必须与入库数量一致</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出库数量必须与</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供货</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数量</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和</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报损数量</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的总数</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一致。市</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营改办将</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随时查阅、调出</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供货商</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食材采购、入库、出库、报损、库存的数量，</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供货商</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 xml:space="preserve">必须无条件执行、配合。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第八条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供货商要</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主动配合做好食材价格的确定工作，每月据实提供食材采购种类、地点、进货价格和配送成本等相关资料和信息，价格波动较大的食材，及时将供货价格报送至市营改办备案，确保食材结算单价不高于同期市场公允价格，并严格按照确定的价格进行结算。</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第九条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供货食材实行月度结算，供货商根据学校验收人员签字确认的验收单，按月提供税务部门的正式发票（食材的基准价均为含税价），并严格按照报账程序进行报账结算。供货商与采购人之间不得发生现金交易。</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黑体" w:hAnsi="黑体" w:eastAsia="黑体" w:cs="黑体"/>
          <w:b w:val="0"/>
          <w:bCs/>
          <w:color w:val="000000" w:themeColor="text1"/>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第十条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周边小型商超、农户作为供货商向学校配送零星食材的，蔬菜类需到所在乡镇农业服务中心进行农残检测，检测达标方能配送到学校，其他食材需提供相关食品合格证。</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2" w:firstLineChars="200"/>
        <w:jc w:val="left"/>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b/>
          <w:bCs/>
          <w:sz w:val="28"/>
          <w:szCs w:val="28"/>
          <w:lang w:val="en-US" w:eastAsia="zh-CN"/>
        </w:rPr>
        <w:t>2.参与本校营养餐大宗食材（食用油）湖南省电子卖场竞价模式的供应商竞价成功在供货期间</w:t>
      </w:r>
      <w:r>
        <w:rPr>
          <w:rFonts w:hint="eastAsia" w:ascii="仿宋_GB2312" w:hAnsi="仿宋_GB2312" w:eastAsia="仿宋_GB2312" w:cs="仿宋_GB2312"/>
          <w:bCs/>
          <w:color w:val="000000" w:themeColor="text1"/>
          <w:kern w:val="0"/>
          <w:sz w:val="28"/>
          <w:szCs w:val="28"/>
          <w14:textFill>
            <w14:solidFill>
              <w14:schemeClr w14:val="tx1"/>
            </w14:solidFill>
          </w14:textFill>
        </w:rPr>
        <w:t>出现如下情况之一的，</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一律</w:t>
      </w:r>
      <w:r>
        <w:rPr>
          <w:rFonts w:hint="eastAsia" w:ascii="仿宋_GB2312" w:hAnsi="仿宋_GB2312" w:eastAsia="仿宋_GB2312" w:cs="仿宋_GB2312"/>
          <w:bCs/>
          <w:color w:val="000000" w:themeColor="text1"/>
          <w:kern w:val="0"/>
          <w:sz w:val="28"/>
          <w:szCs w:val="28"/>
          <w14:textFill>
            <w14:solidFill>
              <w14:schemeClr w14:val="tx1"/>
            </w14:solidFill>
          </w14:textFill>
        </w:rPr>
        <w:t>取消</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学生食堂食材供货</w:t>
      </w:r>
      <w:r>
        <w:rPr>
          <w:rFonts w:hint="eastAsia" w:ascii="仿宋_GB2312" w:hAnsi="仿宋_GB2312" w:eastAsia="仿宋_GB2312" w:cs="仿宋_GB2312"/>
          <w:bCs/>
          <w:color w:val="000000" w:themeColor="text1"/>
          <w:kern w:val="0"/>
          <w:sz w:val="28"/>
          <w:szCs w:val="28"/>
          <w14:textFill>
            <w14:solidFill>
              <w14:schemeClr w14:val="tx1"/>
            </w14:solidFill>
          </w14:textFill>
        </w:rPr>
        <w:t>资格</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第一条</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 xml:space="preserve"> 供货商不符合准入基本条件，存在弄虚作假的。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spacing w:val="-20"/>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第二条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供货商违反</w:t>
      </w:r>
      <w:r>
        <w:rPr>
          <w:rFonts w:hint="eastAsia" w:ascii="仿宋_GB2312" w:hAnsi="仿宋_GB2312" w:eastAsia="仿宋_GB2312" w:cs="仿宋_GB2312"/>
          <w:bCs/>
          <w:color w:val="000000" w:themeColor="text1"/>
          <w:spacing w:val="-11"/>
          <w:kern w:val="0"/>
          <w:sz w:val="28"/>
          <w:szCs w:val="28"/>
          <w:lang w:val="en-US" w:eastAsia="zh-CN"/>
          <w14:textFill>
            <w14:solidFill>
              <w14:schemeClr w14:val="tx1"/>
            </w14:solidFill>
          </w14:textFill>
        </w:rPr>
        <w:t>国家相关法律法规。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第三条 </w:t>
      </w:r>
      <w:r>
        <w:rPr>
          <w:rFonts w:hint="eastAsia" w:ascii="仿宋_GB2312" w:hAnsi="仿宋_GB2312" w:eastAsia="仿宋_GB2312" w:cs="仿宋_GB2312"/>
          <w:bCs/>
          <w:color w:val="000000" w:themeColor="text1"/>
          <w:kern w:val="0"/>
          <w:sz w:val="28"/>
          <w:szCs w:val="28"/>
          <w14:textFill>
            <w14:solidFill>
              <w14:schemeClr w14:val="tx1"/>
            </w14:solidFill>
          </w14:textFill>
        </w:rPr>
        <w:t>因供应商</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配送</w:t>
      </w:r>
      <w:r>
        <w:rPr>
          <w:rFonts w:hint="eastAsia" w:ascii="仿宋_GB2312" w:hAnsi="仿宋_GB2312" w:eastAsia="仿宋_GB2312" w:cs="仿宋_GB2312"/>
          <w:bCs/>
          <w:color w:val="000000" w:themeColor="text1"/>
          <w:kern w:val="0"/>
          <w:sz w:val="28"/>
          <w:szCs w:val="28"/>
          <w14:textFill>
            <w14:solidFill>
              <w14:schemeClr w14:val="tx1"/>
            </w14:solidFill>
          </w14:textFill>
        </w:rPr>
        <w:t>的食材发生食品安全事故的</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第四条 </w:t>
      </w:r>
      <w:r>
        <w:rPr>
          <w:rFonts w:hint="eastAsia" w:ascii="仿宋_GB2312" w:hAnsi="仿宋_GB2312" w:eastAsia="仿宋_GB2312" w:cs="仿宋_GB2312"/>
          <w:bCs/>
          <w:color w:val="000000" w:themeColor="text1"/>
          <w:kern w:val="0"/>
          <w:sz w:val="28"/>
          <w:szCs w:val="28"/>
          <w14:textFill>
            <w14:solidFill>
              <w14:schemeClr w14:val="tx1"/>
            </w14:solidFill>
          </w14:textFill>
        </w:rPr>
        <w:t>供货商的</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食材出现</w:t>
      </w:r>
      <w:r>
        <w:rPr>
          <w:rFonts w:hint="eastAsia" w:ascii="仿宋_GB2312" w:hAnsi="仿宋_GB2312" w:eastAsia="仿宋_GB2312" w:cs="仿宋_GB2312"/>
          <w:bCs/>
          <w:color w:val="000000" w:themeColor="text1"/>
          <w:kern w:val="0"/>
          <w:sz w:val="28"/>
          <w:szCs w:val="28"/>
          <w14:textFill>
            <w14:solidFill>
              <w14:schemeClr w14:val="tx1"/>
            </w14:solidFill>
          </w14:textFill>
        </w:rPr>
        <w:t>质量问题，被相关部门</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立案查处并</w:t>
      </w:r>
      <w:r>
        <w:rPr>
          <w:rFonts w:hint="eastAsia" w:ascii="仿宋_GB2312" w:hAnsi="仿宋_GB2312" w:eastAsia="仿宋_GB2312" w:cs="仿宋_GB2312"/>
          <w:bCs/>
          <w:color w:val="000000" w:themeColor="text1"/>
          <w:kern w:val="0"/>
          <w:sz w:val="28"/>
          <w:szCs w:val="28"/>
          <w14:textFill>
            <w14:solidFill>
              <w14:schemeClr w14:val="tx1"/>
            </w14:solidFill>
          </w14:textFill>
        </w:rPr>
        <w:t>通报</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第五条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供货食材出现以次充好、短斤少两的。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第六条 </w:t>
      </w:r>
      <w:r>
        <w:rPr>
          <w:rFonts w:hint="eastAsia" w:ascii="仿宋_GB2312" w:hAnsi="仿宋_GB2312" w:eastAsia="仿宋_GB2312" w:cs="仿宋_GB2312"/>
          <w:bCs/>
          <w:color w:val="000000" w:themeColor="text1"/>
          <w:kern w:val="0"/>
          <w:sz w:val="28"/>
          <w:szCs w:val="28"/>
          <w14:textFill>
            <w14:solidFill>
              <w14:schemeClr w14:val="tx1"/>
            </w14:solidFill>
          </w14:textFill>
        </w:rPr>
        <w:t>供货商</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出现变质变味，仍送至学校的</w:t>
      </w:r>
      <w:r>
        <w:rPr>
          <w:rFonts w:hint="eastAsia" w:ascii="仿宋_GB2312" w:hAnsi="仿宋_GB2312" w:eastAsia="仿宋_GB2312" w:cs="仿宋_GB2312"/>
          <w:bCs/>
          <w:color w:val="000000" w:themeColor="text1"/>
          <w:kern w:val="0"/>
          <w:sz w:val="28"/>
          <w:szCs w:val="28"/>
          <w14:textFill>
            <w14:solidFill>
              <w14:schemeClr w14:val="tx1"/>
            </w14:solidFill>
          </w14:textFill>
        </w:rPr>
        <w:t>，第一次由</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市</w:t>
      </w:r>
      <w:r>
        <w:rPr>
          <w:rFonts w:hint="eastAsia" w:ascii="仿宋_GB2312" w:hAnsi="仿宋_GB2312" w:eastAsia="仿宋_GB2312" w:cs="仿宋_GB2312"/>
          <w:bCs/>
          <w:color w:val="000000" w:themeColor="text1"/>
          <w:kern w:val="0"/>
          <w:sz w:val="28"/>
          <w:szCs w:val="28"/>
          <w14:textFill>
            <w14:solidFill>
              <w14:schemeClr w14:val="tx1"/>
            </w14:solidFill>
          </w14:textFill>
        </w:rPr>
        <w:t>营</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改</w:t>
      </w:r>
      <w:r>
        <w:rPr>
          <w:rFonts w:hint="eastAsia" w:ascii="仿宋_GB2312" w:hAnsi="仿宋_GB2312" w:eastAsia="仿宋_GB2312" w:cs="仿宋_GB2312"/>
          <w:bCs/>
          <w:color w:val="000000" w:themeColor="text1"/>
          <w:kern w:val="0"/>
          <w:sz w:val="28"/>
          <w:szCs w:val="28"/>
          <w14:textFill>
            <w14:solidFill>
              <w14:schemeClr w14:val="tx1"/>
            </w14:solidFill>
          </w14:textFill>
        </w:rPr>
        <w:t>办对该供货商进行约谈，</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并移送市场监管部门依法依规进行处罚；</w:t>
      </w:r>
      <w:r>
        <w:rPr>
          <w:rFonts w:hint="eastAsia" w:ascii="仿宋_GB2312" w:hAnsi="仿宋_GB2312" w:eastAsia="仿宋_GB2312" w:cs="仿宋_GB2312"/>
          <w:bCs/>
          <w:color w:val="000000" w:themeColor="text1"/>
          <w:kern w:val="0"/>
          <w:sz w:val="28"/>
          <w:szCs w:val="28"/>
          <w14:textFill>
            <w14:solidFill>
              <w14:schemeClr w14:val="tx1"/>
            </w14:solidFill>
          </w14:textFill>
        </w:rPr>
        <w:t>第二次</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，直接退出供货，同步移送市场监管部门依法依规进行处罚。</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第七条 </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因供应商</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单方</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原因</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造成</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学生</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食堂无法供餐</w:t>
      </w:r>
      <w:r>
        <w:rPr>
          <w:rFonts w:hint="eastAsia" w:ascii="仿宋_GB2312" w:hAnsi="仿宋_GB2312" w:eastAsia="仿宋_GB2312" w:cs="仿宋_GB2312"/>
          <w:bCs/>
          <w:color w:val="000000" w:themeColor="text1"/>
          <w:spacing w:val="-6"/>
          <w:kern w:val="0"/>
          <w:sz w:val="28"/>
          <w:szCs w:val="28"/>
          <w14:textFill>
            <w14:solidFill>
              <w14:schemeClr w14:val="tx1"/>
            </w14:solidFill>
          </w14:textFill>
        </w:rPr>
        <w:t>的</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供货商</w:t>
      </w:r>
      <w:r>
        <w:rPr>
          <w:rFonts w:hint="eastAsia" w:ascii="仿宋_GB2312" w:hAnsi="仿宋_GB2312" w:eastAsia="仿宋_GB2312" w:cs="仿宋_GB2312"/>
          <w:bCs/>
          <w:color w:val="000000" w:themeColor="text1"/>
          <w:kern w:val="0"/>
          <w:sz w:val="28"/>
          <w:szCs w:val="28"/>
          <w14:textFill>
            <w14:solidFill>
              <w14:schemeClr w14:val="tx1"/>
            </w14:solidFill>
          </w14:textFill>
        </w:rPr>
        <w:t>拒绝配送</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规模较小或地处偏远</w:t>
      </w:r>
      <w:r>
        <w:rPr>
          <w:rFonts w:hint="eastAsia" w:ascii="仿宋_GB2312" w:hAnsi="仿宋_GB2312" w:eastAsia="仿宋_GB2312" w:cs="仿宋_GB2312"/>
          <w:bCs/>
          <w:color w:val="000000" w:themeColor="text1"/>
          <w:kern w:val="0"/>
          <w:sz w:val="28"/>
          <w:szCs w:val="28"/>
          <w14:textFill>
            <w14:solidFill>
              <w14:schemeClr w14:val="tx1"/>
            </w14:solidFill>
          </w14:textFill>
        </w:rPr>
        <w:t>的</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农村</w:t>
      </w:r>
      <w:r>
        <w:rPr>
          <w:rFonts w:hint="eastAsia" w:ascii="仿宋_GB2312" w:hAnsi="仿宋_GB2312" w:eastAsia="仿宋_GB2312" w:cs="仿宋_GB2312"/>
          <w:bCs/>
          <w:color w:val="000000" w:themeColor="text1"/>
          <w:kern w:val="0"/>
          <w:sz w:val="28"/>
          <w:szCs w:val="28"/>
          <w14:textFill>
            <w14:solidFill>
              <w14:schemeClr w14:val="tx1"/>
            </w14:solidFill>
          </w14:textFill>
        </w:rPr>
        <w:t>学校的；</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未按</w:t>
      </w:r>
      <w:r>
        <w:rPr>
          <w:rFonts w:hint="eastAsia" w:ascii="仿宋_GB2312" w:hAnsi="仿宋_GB2312" w:eastAsia="仿宋_GB2312" w:cs="仿宋_GB2312"/>
          <w:bCs/>
          <w:color w:val="000000" w:themeColor="text1"/>
          <w:kern w:val="0"/>
          <w:sz w:val="28"/>
          <w:szCs w:val="28"/>
          <w14:textFill>
            <w14:solidFill>
              <w14:schemeClr w14:val="tx1"/>
            </w14:solidFill>
          </w14:textFill>
        </w:rPr>
        <w:t>规定的时间</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供货</w:t>
      </w:r>
      <w:r>
        <w:rPr>
          <w:rFonts w:hint="eastAsia" w:ascii="仿宋_GB2312" w:hAnsi="仿宋_GB2312" w:eastAsia="仿宋_GB2312" w:cs="仿宋_GB2312"/>
          <w:bCs/>
          <w:color w:val="000000" w:themeColor="text1"/>
          <w:kern w:val="0"/>
          <w:sz w:val="28"/>
          <w:szCs w:val="28"/>
          <w14:textFill>
            <w14:solidFill>
              <w14:schemeClr w14:val="tx1"/>
            </w14:solidFill>
          </w14:textFill>
        </w:rPr>
        <w:t>，</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出现</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2次</w:t>
      </w:r>
      <w:r>
        <w:rPr>
          <w:rFonts w:hint="eastAsia" w:ascii="仿宋_GB2312" w:hAnsi="仿宋_GB2312" w:eastAsia="仿宋_GB2312" w:cs="仿宋_GB2312"/>
          <w:bCs/>
          <w:color w:val="000000" w:themeColor="text1"/>
          <w:kern w:val="0"/>
          <w:sz w:val="28"/>
          <w:szCs w:val="28"/>
          <w14:textFill>
            <w14:solidFill>
              <w14:schemeClr w14:val="tx1"/>
            </w14:solidFill>
          </w14:textFill>
        </w:rPr>
        <w:t>影响学校正常</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教育教学秩序</w:t>
      </w:r>
      <w:r>
        <w:rPr>
          <w:rFonts w:hint="eastAsia" w:ascii="仿宋_GB2312" w:hAnsi="仿宋_GB2312" w:eastAsia="仿宋_GB2312" w:cs="仿宋_GB2312"/>
          <w:bCs/>
          <w:color w:val="000000" w:themeColor="text1"/>
          <w:kern w:val="0"/>
          <w:sz w:val="28"/>
          <w:szCs w:val="28"/>
          <w14:textFill>
            <w14:solidFill>
              <w14:schemeClr w14:val="tx1"/>
            </w14:solidFill>
          </w14:textFill>
        </w:rPr>
        <w:t>的</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第八条 </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送货</w:t>
      </w:r>
      <w:r>
        <w:rPr>
          <w:rFonts w:hint="eastAsia" w:ascii="仿宋_GB2312" w:hAnsi="仿宋_GB2312" w:eastAsia="仿宋_GB2312" w:cs="仿宋_GB2312"/>
          <w:bCs/>
          <w:color w:val="000000" w:themeColor="text1"/>
          <w:kern w:val="0"/>
          <w:sz w:val="28"/>
          <w:szCs w:val="28"/>
          <w14:textFill>
            <w14:solidFill>
              <w14:schemeClr w14:val="tx1"/>
            </w14:solidFill>
          </w14:textFill>
        </w:rPr>
        <w:t>人员</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不如实、不按时提供送货单和相关凭证，</w:t>
      </w:r>
      <w:r>
        <w:rPr>
          <w:rFonts w:hint="eastAsia" w:ascii="仿宋_GB2312" w:hAnsi="仿宋_GB2312" w:eastAsia="仿宋_GB2312" w:cs="仿宋_GB2312"/>
          <w:bCs/>
          <w:color w:val="000000" w:themeColor="text1"/>
          <w:kern w:val="0"/>
          <w:sz w:val="28"/>
          <w:szCs w:val="28"/>
          <w14:textFill>
            <w14:solidFill>
              <w14:schemeClr w14:val="tx1"/>
            </w14:solidFill>
          </w14:textFill>
        </w:rPr>
        <w:t>服务</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态度差，性质恶劣的。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default" w:ascii="仿宋_GB2312" w:hAnsi="仿宋_GB2312" w:eastAsia="仿宋_GB2312" w:cs="仿宋_GB2312"/>
          <w:bCs/>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第九条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供货商</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向学校开具虚假食材采购发票套取学生伙食费行为，经查</w:t>
      </w:r>
      <w:r>
        <w:rPr>
          <w:rFonts w:hint="eastAsia" w:ascii="仿宋_GB2312" w:hAnsi="仿宋_GB2312" w:eastAsia="仿宋_GB2312" w:cs="仿宋_GB2312"/>
          <w:bCs/>
          <w:color w:val="000000" w:themeColor="text1"/>
          <w:spacing w:val="-6"/>
          <w:kern w:val="0"/>
          <w:sz w:val="28"/>
          <w:szCs w:val="28"/>
          <w:lang w:eastAsia="zh-CN"/>
          <w14:textFill>
            <w14:solidFill>
              <w14:schemeClr w14:val="tx1"/>
            </w14:solidFill>
          </w14:textFill>
        </w:rPr>
        <w:t>实的，立刻无条件终止配送合同，永久</w:t>
      </w:r>
      <w:r>
        <w:rPr>
          <w:rFonts w:hint="eastAsia" w:ascii="仿宋_GB2312" w:hAnsi="仿宋_GB2312" w:eastAsia="仿宋_GB2312" w:cs="仿宋_GB2312"/>
          <w:bCs/>
          <w:color w:val="000000" w:themeColor="text1"/>
          <w:kern w:val="0"/>
          <w:sz w:val="28"/>
          <w:szCs w:val="28"/>
          <w14:textFill>
            <w14:solidFill>
              <w14:schemeClr w14:val="tx1"/>
            </w14:solidFill>
          </w14:textFill>
        </w:rPr>
        <w:t>列入黑名单，案件移交相关职能部门处理。</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0" w:firstLineChars="200"/>
        <w:jc w:val="both"/>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第十条</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eastAsia="zh-CN"/>
          <w14:textFill>
            <w14:solidFill>
              <w14:schemeClr w14:val="tx1"/>
            </w14:solidFill>
          </w14:textFill>
        </w:rPr>
        <w:t>连续两月</w:t>
      </w:r>
      <w:r>
        <w:rPr>
          <w:rFonts w:hint="eastAsia" w:ascii="仿宋_GB2312" w:hAnsi="仿宋_GB2312" w:eastAsia="仿宋_GB2312" w:cs="仿宋_GB2312"/>
          <w:color w:val="000000" w:themeColor="text1"/>
          <w:sz w:val="28"/>
          <w:szCs w:val="28"/>
          <w14:textFill>
            <w14:solidFill>
              <w14:schemeClr w14:val="tx1"/>
            </w14:solidFill>
          </w14:textFill>
        </w:rPr>
        <w:t>满意度</w:t>
      </w:r>
      <w:r>
        <w:rPr>
          <w:rFonts w:hint="eastAsia" w:ascii="仿宋_GB2312" w:hAnsi="仿宋_GB2312" w:eastAsia="仿宋_GB2312" w:cs="仿宋_GB2312"/>
          <w:color w:val="000000" w:themeColor="text1"/>
          <w:sz w:val="28"/>
          <w:szCs w:val="28"/>
          <w:lang w:eastAsia="zh-CN"/>
          <w14:textFill>
            <w14:solidFill>
              <w14:schemeClr w14:val="tx1"/>
            </w14:solidFill>
          </w14:textFill>
        </w:rPr>
        <w:t>测评低于</w:t>
      </w:r>
      <w:r>
        <w:rPr>
          <w:rFonts w:hint="eastAsia" w:ascii="仿宋_GB2312" w:hAnsi="仿宋_GB2312" w:eastAsia="仿宋_GB2312" w:cs="仿宋_GB2312"/>
          <w:color w:val="000000" w:themeColor="text1"/>
          <w:sz w:val="28"/>
          <w:szCs w:val="28"/>
          <w14:textFill>
            <w14:solidFill>
              <w14:schemeClr w14:val="tx1"/>
            </w14:solidFill>
          </w14:textFill>
        </w:rPr>
        <w:t>80%</w:t>
      </w:r>
      <w:r>
        <w:rPr>
          <w:rFonts w:hint="eastAsia" w:ascii="仿宋_GB2312" w:hAnsi="仿宋_GB2312" w:eastAsia="仿宋_GB2312" w:cs="仿宋_GB2312"/>
          <w:color w:val="000000" w:themeColor="text1"/>
          <w:sz w:val="28"/>
          <w:szCs w:val="28"/>
          <w:lang w:eastAsia="zh-CN"/>
          <w14:textFill>
            <w14:solidFill>
              <w14:schemeClr w14:val="tx1"/>
            </w14:solidFill>
          </w14:textFill>
        </w:rPr>
        <w:t>，综合评价等级为“差”</w:t>
      </w:r>
      <w:r>
        <w:rPr>
          <w:rFonts w:hint="eastAsia" w:ascii="仿宋_GB2312" w:hAnsi="仿宋_GB2312" w:eastAsia="仿宋_GB2312" w:cs="仿宋_GB2312"/>
          <w:color w:val="000000" w:themeColor="text1"/>
          <w:sz w:val="28"/>
          <w:szCs w:val="28"/>
          <w14:textFill>
            <w14:solidFill>
              <w14:schemeClr w14:val="tx1"/>
            </w14:solidFill>
          </w14:textFill>
        </w:rPr>
        <w:t>的</w:t>
      </w:r>
      <w:r>
        <w:rPr>
          <w:rFonts w:hint="eastAsia" w:ascii="仿宋_GB2312" w:hAnsi="仿宋_GB2312" w:eastAsia="仿宋_GB2312" w:cs="仿宋_GB2312"/>
          <w:color w:val="000000" w:themeColor="text1"/>
          <w:kern w:val="2"/>
          <w:sz w:val="28"/>
          <w:szCs w:val="28"/>
          <w:highlight w:val="none"/>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562" w:firstLineChars="200"/>
        <w:jc w:val="both"/>
        <w:textAlignment w:val="auto"/>
        <w:rPr>
          <w:rFonts w:hint="default"/>
          <w:b/>
          <w:bCs/>
          <w:sz w:val="28"/>
          <w:szCs w:val="28"/>
          <w:lang w:val="en-US" w:eastAsia="zh-CN"/>
        </w:rPr>
      </w:pPr>
      <w:r>
        <w:rPr>
          <w:rFonts w:hint="eastAsia"/>
          <w:b/>
          <w:bCs/>
          <w:sz w:val="28"/>
          <w:szCs w:val="28"/>
          <w:lang w:val="en-US" w:eastAsia="zh-CN"/>
        </w:rPr>
        <w:t>3.参与本校营养餐大宗食材（食用油）湖南省电子卖场竞价模式的供应商竞价成功后需自愿承诺做到以下四条：</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第一条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关于</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质量的承诺。供货商所供应的食材符合学生营养餐供货的相关标准和规定，不得提供过期、变质、假冒伪劣的食材。</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第二条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关于</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安全的承诺。供货商需确保食材来源合法，不得采购非法渠道或不明来源的食材，自觉接受相关部门的质量安全检测，确保食材健康、安全。</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第三条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关于</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价格的承诺。供货商</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每月据实提供食材采购种类、地点、进货价格和配送成本等相关资料和信息；对价格波动较大的食材，及时将供货价格报送至市营改办备案，</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不得恶意抬高价格或进行价格欺诈，确保</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食材结算单价不高于同期市场公允价格</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第四条 </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关于</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服务的承诺。供货商需提供及时、高效的供货服务，确保食材按时送达学校食堂，同时要做好售后服务，对出现的问题及时进行处理和解决。</w:t>
      </w:r>
    </w:p>
    <w:p>
      <w:pPr>
        <w:pStyle w:val="2"/>
        <w:numPr>
          <w:ilvl w:val="0"/>
          <w:numId w:val="0"/>
        </w:numPr>
        <w:ind w:firstLine="281" w:firstLineChars="100"/>
        <w:rPr>
          <w:rFonts w:hint="default"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二、食材标准</w:t>
      </w:r>
    </w:p>
    <w:tbl>
      <w:tblPr>
        <w:tblStyle w:val="5"/>
        <w:tblpPr w:leftFromText="180" w:rightFromText="180" w:vertAnchor="text" w:horzAnchor="page" w:tblpX="1650" w:tblpY="242"/>
        <w:tblOverlap w:val="never"/>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638"/>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4" w:type="dxa"/>
            <w:vAlign w:val="center"/>
          </w:tcPr>
          <w:p>
            <w:pPr>
              <w:pStyle w:val="4"/>
              <w:keepNext w:val="0"/>
              <w:keepLines w:val="0"/>
              <w:pageBreakBefore w:val="0"/>
              <w:kinsoku/>
              <w:wordWrap/>
              <w:overflowPunct/>
              <w:topLinePunct w:val="0"/>
              <w:autoSpaceDE/>
              <w:autoSpaceDN/>
              <w:bidi w:val="0"/>
              <w:snapToGrid w:val="0"/>
              <w:spacing w:line="500" w:lineRule="exact"/>
              <w:ind w:left="0" w:leftChars="0" w:firstLine="0" w:firstLineChars="0"/>
              <w:jc w:val="center"/>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eastAsia="zh-CN"/>
              </w:rPr>
              <w:t>名</w:t>
            </w:r>
            <w:r>
              <w:rPr>
                <w:rFonts w:hint="eastAsia" w:ascii="仿宋" w:hAnsi="仿宋" w:eastAsia="仿宋" w:cs="仿宋"/>
                <w:b w:val="0"/>
                <w:bCs/>
                <w:color w:val="auto"/>
                <w:sz w:val="32"/>
                <w:szCs w:val="32"/>
              </w:rPr>
              <w:t>称</w:t>
            </w:r>
          </w:p>
        </w:tc>
        <w:tc>
          <w:tcPr>
            <w:tcW w:w="4638" w:type="dxa"/>
            <w:vAlign w:val="center"/>
          </w:tcPr>
          <w:p>
            <w:pPr>
              <w:keepNext w:val="0"/>
              <w:keepLines w:val="0"/>
              <w:pageBreakBefore w:val="0"/>
              <w:kinsoku/>
              <w:wordWrap/>
              <w:overflowPunct/>
              <w:topLinePunct w:val="0"/>
              <w:autoSpaceDE/>
              <w:autoSpaceDN/>
              <w:bidi w:val="0"/>
              <w:adjustRightInd w:val="0"/>
              <w:snapToGrid w:val="0"/>
              <w:spacing w:line="500" w:lineRule="exact"/>
              <w:ind w:left="0" w:firstLine="640" w:firstLineChars="200"/>
              <w:jc w:val="center"/>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技术规格、参数</w:t>
            </w:r>
          </w:p>
        </w:tc>
        <w:tc>
          <w:tcPr>
            <w:tcW w:w="3675" w:type="dxa"/>
            <w:vAlign w:val="center"/>
          </w:tcPr>
          <w:p>
            <w:pPr>
              <w:keepNext w:val="0"/>
              <w:keepLines w:val="0"/>
              <w:pageBreakBefore w:val="0"/>
              <w:kinsoku/>
              <w:wordWrap/>
              <w:overflowPunct/>
              <w:topLinePunct w:val="0"/>
              <w:autoSpaceDE/>
              <w:autoSpaceDN/>
              <w:bidi w:val="0"/>
              <w:adjustRightInd w:val="0"/>
              <w:snapToGrid w:val="0"/>
              <w:spacing w:line="500" w:lineRule="exact"/>
              <w:ind w:left="0" w:firstLine="640" w:firstLineChars="200"/>
              <w:jc w:val="center"/>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2" w:hRule="atLeast"/>
          <w:jc w:val="center"/>
        </w:trPr>
        <w:tc>
          <w:tcPr>
            <w:tcW w:w="824" w:type="dxa"/>
            <w:vAlign w:val="center"/>
          </w:tcPr>
          <w:p>
            <w:pPr>
              <w:keepNext w:val="0"/>
              <w:keepLines w:val="0"/>
              <w:pageBreakBefore w:val="0"/>
              <w:kinsoku/>
              <w:wordWrap/>
              <w:overflowPunct/>
              <w:topLinePunct w:val="0"/>
              <w:autoSpaceDE/>
              <w:autoSpaceDN/>
              <w:bidi w:val="0"/>
              <w:snapToGrid w:val="0"/>
              <w:spacing w:after="0" w:line="500" w:lineRule="exact"/>
              <w:ind w:right="0" w:rightChars="0"/>
              <w:jc w:val="both"/>
              <w:textAlignment w:val="auto"/>
              <w:rPr>
                <w:rFonts w:hint="eastAsia" w:ascii="仿宋" w:hAnsi="仿宋" w:eastAsia="仿宋" w:cs="仿宋"/>
                <w:b w:val="0"/>
                <w:bCs/>
                <w:color w:val="auto"/>
                <w:sz w:val="32"/>
                <w:szCs w:val="32"/>
              </w:rPr>
            </w:pPr>
            <w:r>
              <w:rPr>
                <w:rFonts w:hint="eastAsia" w:ascii="仿宋" w:hAnsi="仿宋" w:eastAsia="仿宋" w:cs="仿宋"/>
                <w:b/>
                <w:color w:val="auto"/>
                <w:spacing w:val="0"/>
                <w:sz w:val="32"/>
                <w:szCs w:val="32"/>
                <w:rtl w:val="0"/>
              </w:rPr>
              <w:t>食用植物油</w:t>
            </w:r>
          </w:p>
        </w:tc>
        <w:tc>
          <w:tcPr>
            <w:tcW w:w="4638" w:type="dxa"/>
            <w:vAlign w:val="center"/>
          </w:tcPr>
          <w:p>
            <w:pPr>
              <w:keepNext w:val="0"/>
              <w:keepLines w:val="0"/>
              <w:pageBreakBefore w:val="0"/>
              <w:kinsoku/>
              <w:wordWrap/>
              <w:overflowPunct/>
              <w:topLinePunct w:val="0"/>
              <w:autoSpaceDE/>
              <w:autoSpaceDN/>
              <w:bidi w:val="0"/>
              <w:snapToGrid/>
              <w:spacing w:after="0" w:line="500" w:lineRule="exact"/>
              <w:ind w:left="0" w:right="0" w:firstLine="640" w:firstLineChars="200"/>
              <w:jc w:val="both"/>
              <w:textAlignment w:val="auto"/>
              <w:rPr>
                <w:rFonts w:hint="eastAsia" w:ascii="仿宋" w:hAnsi="仿宋" w:eastAsia="仿宋" w:cs="仿宋"/>
                <w:color w:val="auto"/>
                <w:spacing w:val="0"/>
                <w:sz w:val="32"/>
                <w:szCs w:val="32"/>
                <w:rtl w:val="0"/>
              </w:rPr>
            </w:pPr>
            <w:r>
              <w:rPr>
                <w:rFonts w:hint="eastAsia" w:ascii="仿宋" w:hAnsi="仿宋" w:eastAsia="仿宋" w:cs="仿宋"/>
                <w:color w:val="auto"/>
                <w:spacing w:val="0"/>
                <w:sz w:val="32"/>
                <w:szCs w:val="32"/>
                <w:rtl w:val="0"/>
              </w:rPr>
              <w:t>食用一级压榨菜籽油、5L/桶或10L桶①加工工艺：</w:t>
            </w:r>
            <w:r>
              <w:rPr>
                <w:rFonts w:hint="eastAsia" w:ascii="仿宋" w:hAnsi="仿宋" w:eastAsia="仿宋" w:cs="仿宋"/>
                <w:color w:val="auto"/>
                <w:spacing w:val="0"/>
                <w:sz w:val="32"/>
                <w:szCs w:val="32"/>
                <w:rtl w:val="0"/>
                <w:lang w:eastAsia="zh-CN"/>
              </w:rPr>
              <w:t>物理</w:t>
            </w:r>
            <w:r>
              <w:rPr>
                <w:rFonts w:hint="eastAsia" w:ascii="仿宋" w:hAnsi="仿宋" w:eastAsia="仿宋" w:cs="仿宋"/>
                <w:color w:val="auto"/>
                <w:spacing w:val="0"/>
                <w:sz w:val="32"/>
                <w:szCs w:val="32"/>
                <w:rtl w:val="0"/>
              </w:rPr>
              <w:t>压榨；产品原料：非转基因油菜籽；</w:t>
            </w:r>
          </w:p>
          <w:p>
            <w:pPr>
              <w:keepNext w:val="0"/>
              <w:keepLines w:val="0"/>
              <w:pageBreakBefore w:val="0"/>
              <w:kinsoku/>
              <w:wordWrap/>
              <w:overflowPunct/>
              <w:topLinePunct w:val="0"/>
              <w:autoSpaceDE/>
              <w:autoSpaceDN/>
              <w:bidi w:val="0"/>
              <w:snapToGrid/>
              <w:spacing w:after="0" w:line="500" w:lineRule="exact"/>
              <w:ind w:left="0" w:right="0" w:firstLine="640" w:firstLineChars="200"/>
              <w:jc w:val="both"/>
              <w:textAlignment w:val="auto"/>
              <w:rPr>
                <w:rFonts w:hint="eastAsia" w:ascii="仿宋" w:hAnsi="仿宋" w:eastAsia="仿宋" w:cs="仿宋"/>
                <w:color w:val="auto"/>
                <w:spacing w:val="0"/>
                <w:sz w:val="32"/>
                <w:szCs w:val="32"/>
                <w:rtl w:val="0"/>
              </w:rPr>
            </w:pPr>
            <w:r>
              <w:rPr>
                <w:rFonts w:hint="eastAsia" w:ascii="仿宋" w:hAnsi="仿宋" w:eastAsia="仿宋" w:cs="仿宋"/>
                <w:color w:val="auto"/>
                <w:spacing w:val="0"/>
                <w:sz w:val="32"/>
                <w:szCs w:val="32"/>
                <w:rtl w:val="0"/>
              </w:rPr>
              <w:t>②透明度：澄清、透明；</w:t>
            </w:r>
          </w:p>
          <w:p>
            <w:pPr>
              <w:keepNext w:val="0"/>
              <w:keepLines w:val="0"/>
              <w:pageBreakBefore w:val="0"/>
              <w:kinsoku/>
              <w:wordWrap/>
              <w:overflowPunct/>
              <w:topLinePunct w:val="0"/>
              <w:autoSpaceDE/>
              <w:autoSpaceDN/>
              <w:bidi w:val="0"/>
              <w:snapToGrid/>
              <w:spacing w:after="0" w:line="500" w:lineRule="exact"/>
              <w:ind w:left="0" w:right="0" w:firstLine="640" w:firstLineChars="200"/>
              <w:jc w:val="both"/>
              <w:textAlignment w:val="auto"/>
              <w:rPr>
                <w:rFonts w:hint="eastAsia" w:ascii="仿宋" w:hAnsi="仿宋" w:eastAsia="仿宋" w:cs="仿宋"/>
                <w:color w:val="auto"/>
                <w:spacing w:val="0"/>
                <w:sz w:val="32"/>
                <w:szCs w:val="32"/>
                <w:rtl w:val="0"/>
              </w:rPr>
            </w:pPr>
            <w:r>
              <w:rPr>
                <w:rFonts w:hint="eastAsia" w:ascii="仿宋" w:hAnsi="仿宋" w:eastAsia="仿宋" w:cs="仿宋"/>
                <w:color w:val="auto"/>
                <w:spacing w:val="0"/>
                <w:sz w:val="32"/>
                <w:szCs w:val="32"/>
                <w:rtl w:val="0"/>
              </w:rPr>
              <w:t>③无异味，口感好；</w:t>
            </w:r>
          </w:p>
          <w:p>
            <w:pPr>
              <w:keepNext w:val="0"/>
              <w:keepLines w:val="0"/>
              <w:pageBreakBefore w:val="0"/>
              <w:kinsoku/>
              <w:wordWrap/>
              <w:overflowPunct/>
              <w:topLinePunct w:val="0"/>
              <w:autoSpaceDE/>
              <w:autoSpaceDN/>
              <w:bidi w:val="0"/>
              <w:snapToGrid/>
              <w:spacing w:after="0" w:line="500" w:lineRule="exact"/>
              <w:ind w:left="0" w:right="0" w:firstLine="640" w:firstLineChars="200"/>
              <w:jc w:val="both"/>
              <w:textAlignment w:val="auto"/>
              <w:rPr>
                <w:rFonts w:hint="eastAsia" w:ascii="仿宋" w:hAnsi="仿宋" w:eastAsia="仿宋" w:cs="仿宋"/>
                <w:color w:val="auto"/>
                <w:spacing w:val="0"/>
                <w:sz w:val="32"/>
                <w:szCs w:val="32"/>
                <w:rtl w:val="0"/>
              </w:rPr>
            </w:pPr>
            <w:r>
              <w:rPr>
                <w:rFonts w:hint="eastAsia" w:ascii="仿宋" w:hAnsi="仿宋" w:eastAsia="仿宋" w:cs="仿宋"/>
                <w:color w:val="auto"/>
                <w:spacing w:val="0"/>
                <w:sz w:val="32"/>
                <w:szCs w:val="32"/>
                <w:rtl w:val="0"/>
              </w:rPr>
              <w:t>④每桶净重量误差在5‰以内。</w:t>
            </w:r>
          </w:p>
          <w:p>
            <w:pPr>
              <w:keepNext w:val="0"/>
              <w:keepLines w:val="0"/>
              <w:pageBreakBefore w:val="0"/>
              <w:kinsoku/>
              <w:wordWrap/>
              <w:overflowPunct/>
              <w:topLinePunct w:val="0"/>
              <w:autoSpaceDE/>
              <w:autoSpaceDN/>
              <w:bidi w:val="0"/>
              <w:snapToGrid/>
              <w:spacing w:after="0" w:line="500" w:lineRule="exact"/>
              <w:ind w:left="0" w:leftChars="0" w:right="0" w:rightChars="0" w:firstLine="560" w:firstLineChars="200"/>
              <w:jc w:val="both"/>
              <w:textAlignment w:val="auto"/>
              <w:rPr>
                <w:rFonts w:hint="eastAsia" w:ascii="仿宋" w:hAnsi="仿宋" w:eastAsia="仿宋" w:cs="仿宋"/>
                <w:b w:val="0"/>
                <w:bCs/>
                <w:color w:val="auto"/>
                <w:sz w:val="28"/>
                <w:szCs w:val="28"/>
              </w:rPr>
            </w:pPr>
          </w:p>
        </w:tc>
        <w:tc>
          <w:tcPr>
            <w:tcW w:w="3675" w:type="dxa"/>
            <w:vAlign w:val="center"/>
          </w:tcPr>
          <w:p>
            <w:pPr>
              <w:keepNext w:val="0"/>
              <w:keepLines w:val="0"/>
              <w:pageBreakBefore w:val="0"/>
              <w:kinsoku/>
              <w:wordWrap/>
              <w:overflowPunct/>
              <w:topLinePunct w:val="0"/>
              <w:autoSpaceDE/>
              <w:autoSpaceDN/>
              <w:bidi w:val="0"/>
              <w:snapToGrid/>
              <w:spacing w:after="0" w:line="500" w:lineRule="exact"/>
              <w:ind w:right="0" w:rightChars="0"/>
              <w:jc w:val="both"/>
              <w:textAlignment w:val="auto"/>
              <w:rPr>
                <w:rFonts w:hint="eastAsia" w:ascii="仿宋" w:hAnsi="仿宋" w:eastAsia="仿宋" w:cs="仿宋"/>
                <w:b w:val="0"/>
                <w:bCs/>
                <w:color w:val="auto"/>
                <w:sz w:val="28"/>
                <w:szCs w:val="28"/>
              </w:rPr>
            </w:pPr>
            <w:r>
              <w:rPr>
                <w:rFonts w:hint="eastAsia" w:ascii="仿宋" w:hAnsi="仿宋" w:eastAsia="仿宋" w:cs="仿宋"/>
                <w:color w:val="auto"/>
                <w:spacing w:val="0"/>
                <w:sz w:val="32"/>
                <w:szCs w:val="32"/>
                <w:rtl w:val="0"/>
              </w:rPr>
              <w:t>质量标准：GB2716-2018《食用植物油卫生标准》、GB/T1536-2004《菜籽油》、GB7718-2011《食品标签通用标准》。并拥有《食品生产许可证》和合格检验报告</w:t>
            </w:r>
          </w:p>
        </w:tc>
      </w:tr>
    </w:tbl>
    <w:p>
      <w:pPr>
        <w:pStyle w:val="2"/>
        <w:numPr>
          <w:ilvl w:val="0"/>
          <w:numId w:val="0"/>
        </w:numPr>
        <w:rPr>
          <w:rFonts w:hint="eastAsia"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三、限价标准</w:t>
      </w:r>
    </w:p>
    <w:p>
      <w:pPr>
        <w:pStyle w:val="2"/>
        <w:numPr>
          <w:ilvl w:val="0"/>
          <w:numId w:val="0"/>
        </w:numPr>
        <w:ind w:leftChars="100"/>
        <w:rPr>
          <w:rFonts w:hint="default" w:asciiTheme="minorHAnsi" w:hAnsiTheme="minorHAnsi" w:eastAsiaTheme="minorEastAsia" w:cstheme="minorBidi"/>
          <w:b/>
          <w:bCs/>
          <w:kern w:val="2"/>
          <w:sz w:val="28"/>
          <w:szCs w:val="28"/>
          <w:lang w:val="en-US" w:eastAsia="zh-CN" w:bidi="ar-SA"/>
        </w:rPr>
      </w:pPr>
      <w:r>
        <w:rPr>
          <w:rFonts w:hint="eastAsia" w:asciiTheme="minorHAnsi" w:hAnsiTheme="minorHAnsi" w:eastAsiaTheme="minorEastAsia" w:cstheme="minorBidi"/>
          <w:b/>
          <w:bCs/>
          <w:kern w:val="2"/>
          <w:sz w:val="28"/>
          <w:szCs w:val="28"/>
          <w:lang w:val="en-US" w:eastAsia="zh-CN" w:bidi="ar-SA"/>
        </w:rPr>
        <w:t>食用油：最高限价60元/桶（5升装）</w:t>
      </w:r>
    </w:p>
    <w:p>
      <w:pPr>
        <w:pStyle w:val="2"/>
        <w:tabs>
          <w:tab w:val="left" w:pos="5331"/>
        </w:tabs>
        <w:rPr>
          <w:rFonts w:hint="default" w:ascii="仿宋_GB2312" w:hAnsi="仿宋_GB2312" w:eastAsia="仿宋_GB2312" w:cs="仿宋_GB2312"/>
          <w:bCs/>
          <w:color w:val="000000" w:themeColor="text1"/>
          <w:spacing w:val="-6"/>
          <w:kern w:val="0"/>
          <w:sz w:val="28"/>
          <w:szCs w:val="28"/>
          <w:lang w:val="en-US" w:eastAsia="zh-CN" w:bidi="ar-SA"/>
          <w14:textFill>
            <w14:solidFill>
              <w14:schemeClr w14:val="tx1"/>
            </w14:solidFill>
          </w14:textFill>
        </w:rPr>
      </w:pPr>
      <w:r>
        <w:rPr>
          <w:rFonts w:hint="eastAsia"/>
          <w:b/>
          <w:bCs/>
          <w:sz w:val="44"/>
          <w:szCs w:val="52"/>
          <w:lang w:eastAsia="zh-CN"/>
        </w:rPr>
        <w:tab/>
      </w:r>
      <w:r>
        <w:rPr>
          <w:rFonts w:hint="eastAsia"/>
          <w:b/>
          <w:bCs/>
          <w:sz w:val="44"/>
          <w:szCs w:val="52"/>
          <w:lang w:val="en-US" w:eastAsia="zh-CN"/>
        </w:rPr>
        <w:t xml:space="preserve">  </w:t>
      </w:r>
      <w:r>
        <w:rPr>
          <w:rFonts w:hint="eastAsia"/>
          <w:b/>
          <w:bCs/>
          <w:sz w:val="44"/>
          <w:szCs w:val="52"/>
          <w:u w:val="single"/>
          <w:lang w:val="en-US" w:eastAsia="zh-CN"/>
        </w:rPr>
        <w:t xml:space="preserve">  </w:t>
      </w:r>
      <w:r>
        <w:rPr>
          <w:rFonts w:hint="eastAsia" w:ascii="仿宋_GB2312" w:hAnsi="仿宋_GB2312" w:eastAsia="仿宋_GB2312" w:cs="仿宋_GB2312"/>
          <w:bCs/>
          <w:color w:val="000000" w:themeColor="text1"/>
          <w:spacing w:val="-6"/>
          <w:kern w:val="0"/>
          <w:sz w:val="28"/>
          <w:szCs w:val="28"/>
          <w:u w:val="single"/>
          <w:lang w:val="en-US" w:eastAsia="zh-CN" w:bidi="ar-SA"/>
          <w14:textFill>
            <w14:solidFill>
              <w14:schemeClr w14:val="tx1"/>
            </w14:solidFill>
          </w14:textFill>
        </w:rPr>
        <w:t xml:space="preserve">   </w:t>
      </w:r>
      <w:r>
        <w:rPr>
          <w:rFonts w:hint="eastAsia" w:ascii="仿宋_GB2312" w:hAnsi="仿宋_GB2312" w:eastAsia="仿宋_GB2312" w:cs="仿宋_GB2312"/>
          <w:bCs/>
          <w:color w:val="000000" w:themeColor="text1"/>
          <w:spacing w:val="-6"/>
          <w:kern w:val="0"/>
          <w:sz w:val="28"/>
          <w:szCs w:val="28"/>
          <w:lang w:val="en-US" w:eastAsia="zh-CN" w:bidi="ar-SA"/>
          <w14:textFill>
            <w14:solidFill>
              <w14:schemeClr w14:val="tx1"/>
            </w14:solidFill>
          </w14:textFill>
        </w:rPr>
        <w:t>学校</w:t>
      </w:r>
    </w:p>
    <w:p>
      <w:pPr>
        <w:tabs>
          <w:tab w:val="left" w:pos="5601"/>
        </w:tabs>
      </w:pPr>
      <w:r>
        <w:rPr>
          <w:rFonts w:hint="eastAsia" w:ascii="仿宋_GB2312" w:hAnsi="仿宋_GB2312" w:eastAsia="仿宋_GB2312" w:cs="仿宋_GB2312"/>
          <w:bCs/>
          <w:color w:val="000000" w:themeColor="text1"/>
          <w:spacing w:val="-6"/>
          <w:kern w:val="0"/>
          <w:sz w:val="28"/>
          <w:szCs w:val="28"/>
          <w:lang w:val="en-US" w:eastAsia="zh-CN" w:bidi="ar-SA"/>
          <w14:textFill>
            <w14:solidFill>
              <w14:schemeClr w14:val="tx1"/>
            </w14:solidFill>
          </w14:textFill>
        </w:rPr>
        <w:tab/>
      </w:r>
      <w:r>
        <w:rPr>
          <w:rFonts w:hint="eastAsia" w:ascii="仿宋_GB2312" w:hAnsi="仿宋_GB2312" w:eastAsia="仿宋_GB2312" w:cs="仿宋_GB2312"/>
          <w:bCs/>
          <w:color w:val="000000" w:themeColor="text1"/>
          <w:spacing w:val="-6"/>
          <w:kern w:val="0"/>
          <w:sz w:val="28"/>
          <w:szCs w:val="28"/>
          <w:lang w:val="en-US" w:eastAsia="zh-CN" w:bidi="ar-SA"/>
          <w14:textFill>
            <w14:solidFill>
              <w14:schemeClr w14:val="tx1"/>
            </w14:solidFill>
          </w14:textFill>
        </w:rPr>
        <w:t>2024年5月21日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MTlkZTc4OTdhMjM3Y2FmYmE3MTcxNjg1ZGFkZGEifQ=="/>
  </w:docVars>
  <w:rsids>
    <w:rsidRoot w:val="00000000"/>
    <w:rsid w:val="00AA1D15"/>
    <w:rsid w:val="0FBF6EF7"/>
    <w:rsid w:val="21533AB6"/>
    <w:rsid w:val="25D30144"/>
    <w:rsid w:val="27713BF6"/>
    <w:rsid w:val="2B9D755D"/>
    <w:rsid w:val="311F5073"/>
    <w:rsid w:val="35485A44"/>
    <w:rsid w:val="3B82462F"/>
    <w:rsid w:val="3E53120E"/>
    <w:rsid w:val="3F7D5B4C"/>
    <w:rsid w:val="4B4E2A92"/>
    <w:rsid w:val="4B5E0D84"/>
    <w:rsid w:val="534976B3"/>
    <w:rsid w:val="6DF14BB5"/>
    <w:rsid w:val="6E900BC6"/>
    <w:rsid w:val="719F4AA4"/>
    <w:rsid w:val="7A751551"/>
    <w:rsid w:val="7EB9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152"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unhideWhenUsed/>
    <w:qFormat/>
    <w:uiPriority w:val="152"/>
    <w:pPr>
      <w:spacing w:after="120"/>
      <w:ind w:left="420" w:firstLine="0"/>
    </w:pPr>
    <w:rPr>
      <w:rFonts w:ascii="宋体" w:hAnsi="宋体" w:eastAsia="宋体" w:cs="宋体"/>
    </w:rPr>
  </w:style>
  <w:style w:type="paragraph" w:styleId="4">
    <w:name w:val="Normal Indent"/>
    <w:basedOn w:val="1"/>
    <w:autoRedefine/>
    <w:qFormat/>
    <w:uiPriority w:val="99"/>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2024-05-18T14:39:00Z</dcterms:created>
  <dc:creator>Administrator</dc:creator>
  <cp:lastModifiedBy>123</cp:lastModifiedBy>
  <cp:lastPrinted>2024-05-21T10:22:00Z</cp:lastPrinted>
  <dcterms:modified xsi:type="dcterms:W3CDTF">2024-05-21T11:57:08Z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0EFFF2D47D784644BAFB611BCDBF32EA_13</vt:lpwstr>
  </property>
</Properties>
</file>