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1FC71C3">
      <w:pPr>
        <w:pStyle w:val="3"/>
        <w:pageBreakBefore w:val="0"/>
        <w:kinsoku/>
        <w:overflowPunct/>
        <w:topLinePunct w:val="0"/>
        <w:autoSpaceDE/>
        <w:autoSpaceDN/>
        <w:bidi w:val="0"/>
        <w:adjustRightInd w:val="0"/>
        <w:snapToGrid w:val="0"/>
        <w:spacing w:line="579" w:lineRule="exact"/>
        <w:jc w:val="center"/>
        <w:textAlignment w:val="auto"/>
        <w:rPr>
          <w:rFonts w:ascii="黑体" w:hAnsi="黑体" w:eastAsia="黑体" w:cs="仿宋"/>
          <w:kern w:val="21"/>
          <w:sz w:val="44"/>
          <w:szCs w:val="44"/>
        </w:rPr>
      </w:pPr>
      <w:bookmarkStart w:id="0" w:name="_Toc2402"/>
      <w:r>
        <w:rPr>
          <w:rFonts w:hint="eastAsia" w:ascii="黑体" w:hAnsi="黑体" w:eastAsia="黑体" w:cs="仿宋"/>
          <w:kern w:val="21"/>
          <w:sz w:val="44"/>
          <w:szCs w:val="44"/>
          <w:lang w:eastAsia="zh-CN"/>
        </w:rPr>
        <w:t>支队</w:t>
      </w:r>
      <w:r>
        <w:rPr>
          <w:rFonts w:hint="eastAsia" w:ascii="黑体" w:hAnsi="黑体" w:eastAsia="黑体" w:cs="仿宋"/>
          <w:kern w:val="21"/>
          <w:sz w:val="44"/>
          <w:szCs w:val="44"/>
        </w:rPr>
        <w:t>委托会计</w:t>
      </w:r>
      <w:r>
        <w:rPr>
          <w:rFonts w:hint="eastAsia" w:ascii="黑体" w:hAnsi="黑体" w:eastAsia="黑体" w:cs="仿宋"/>
          <w:kern w:val="21"/>
          <w:sz w:val="44"/>
          <w:szCs w:val="44"/>
          <w:lang w:eastAsia="zh-CN"/>
        </w:rPr>
        <w:t>师</w:t>
      </w:r>
      <w:r>
        <w:rPr>
          <w:rFonts w:hint="eastAsia" w:ascii="黑体" w:hAnsi="黑体" w:eastAsia="黑体" w:cs="仿宋"/>
          <w:kern w:val="21"/>
          <w:sz w:val="44"/>
          <w:szCs w:val="44"/>
        </w:rPr>
        <w:t>事务所开展审计服务项目的电子卖场竞价文件</w:t>
      </w:r>
    </w:p>
    <w:p w14:paraId="7784365B">
      <w:pPr>
        <w:pStyle w:val="3"/>
        <w:pageBreakBefore w:val="0"/>
        <w:kinsoku/>
        <w:overflowPunct/>
        <w:topLinePunct w:val="0"/>
        <w:autoSpaceDE/>
        <w:autoSpaceDN/>
        <w:bidi w:val="0"/>
        <w:adjustRightInd w:val="0"/>
        <w:snapToGrid w:val="0"/>
        <w:spacing w:line="579" w:lineRule="exact"/>
        <w:ind w:firstLine="640" w:firstLineChars="200"/>
        <w:jc w:val="left"/>
        <w:textAlignment w:val="auto"/>
        <w:rPr>
          <w:rFonts w:hint="eastAsia" w:ascii="黑体" w:hAnsi="黑体" w:eastAsia="黑体" w:cs="黑体"/>
          <w:b w:val="0"/>
          <w:bCs w:val="0"/>
          <w:kern w:val="21"/>
          <w:sz w:val="32"/>
        </w:rPr>
      </w:pPr>
      <w:r>
        <w:rPr>
          <w:rFonts w:hint="eastAsia" w:ascii="黑体" w:hAnsi="黑体" w:eastAsia="黑体" w:cs="黑体"/>
          <w:b w:val="0"/>
          <w:bCs w:val="0"/>
          <w:kern w:val="21"/>
          <w:sz w:val="32"/>
        </w:rPr>
        <w:t>一、采购项目概况</w:t>
      </w:r>
      <w:bookmarkEnd w:id="0"/>
    </w:p>
    <w:p w14:paraId="41EB70FC">
      <w:pPr>
        <w:keepNext w:val="0"/>
        <w:keepLines w:val="0"/>
        <w:pageBreakBefore w:val="0"/>
        <w:widowControl w:val="0"/>
        <w:kinsoku/>
        <w:wordWrap/>
        <w:overflowPunct/>
        <w:topLinePunct w:val="0"/>
        <w:autoSpaceDE/>
        <w:autoSpaceDN/>
        <w:bidi w:val="0"/>
        <w:adjustRightInd/>
        <w:spacing w:line="579" w:lineRule="exact"/>
        <w:ind w:leftChars="0" w:firstLine="640" w:firstLineChars="200"/>
        <w:jc w:val="left"/>
        <w:textAlignment w:val="auto"/>
        <w:rPr>
          <w:rFonts w:hint="eastAsia"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1、项目名称：衡阳市消防救援支队委托会计师事务所开展审计服务项目</w:t>
      </w:r>
    </w:p>
    <w:p w14:paraId="14A4A3E9">
      <w:pPr>
        <w:keepNext w:val="0"/>
        <w:keepLines w:val="0"/>
        <w:pageBreakBefore w:val="0"/>
        <w:widowControl w:val="0"/>
        <w:kinsoku/>
        <w:wordWrap/>
        <w:overflowPunct/>
        <w:topLinePunct w:val="0"/>
        <w:autoSpaceDE/>
        <w:autoSpaceDN/>
        <w:bidi w:val="0"/>
        <w:adjustRightInd/>
        <w:spacing w:line="579" w:lineRule="exact"/>
        <w:ind w:leftChars="0" w:firstLine="640" w:firstLineChars="200"/>
        <w:jc w:val="left"/>
        <w:textAlignment w:val="auto"/>
        <w:rPr>
          <w:rFonts w:hint="eastAsia"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2、采购方式：电子卖场竞价</w:t>
      </w:r>
    </w:p>
    <w:p w14:paraId="0D76DA94">
      <w:pPr>
        <w:keepNext w:val="0"/>
        <w:keepLines w:val="0"/>
        <w:pageBreakBefore w:val="0"/>
        <w:widowControl w:val="0"/>
        <w:kinsoku/>
        <w:wordWrap/>
        <w:overflowPunct/>
        <w:topLinePunct w:val="0"/>
        <w:autoSpaceDE/>
        <w:autoSpaceDN/>
        <w:bidi w:val="0"/>
        <w:adjustRightInd/>
        <w:spacing w:line="579" w:lineRule="exact"/>
        <w:ind w:leftChars="0" w:firstLine="640" w:firstLineChars="200"/>
        <w:jc w:val="left"/>
        <w:textAlignment w:val="auto"/>
        <w:rPr>
          <w:rFonts w:hint="eastAsia"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3、采购控制价：人民币101700元。</w:t>
      </w:r>
    </w:p>
    <w:p w14:paraId="03A1BCB4">
      <w:pPr>
        <w:keepNext w:val="0"/>
        <w:keepLines w:val="0"/>
        <w:pageBreakBefore w:val="0"/>
        <w:widowControl w:val="0"/>
        <w:kinsoku/>
        <w:wordWrap/>
        <w:overflowPunct/>
        <w:topLinePunct w:val="0"/>
        <w:autoSpaceDE/>
        <w:autoSpaceDN/>
        <w:bidi w:val="0"/>
        <w:adjustRightInd/>
        <w:spacing w:line="579" w:lineRule="exact"/>
        <w:ind w:leftChars="0" w:firstLine="640" w:firstLineChars="200"/>
        <w:jc w:val="left"/>
        <w:textAlignment w:val="auto"/>
        <w:rPr>
          <w:rFonts w:hint="eastAsia"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4、项目概况：为加强和规范领导干部经济责任审计工作，强化领导干部管理监督，促进依法履行职责，推进党风廉政建设，支队聘请地方会计师事务所对辖区8个大队级单位开展领导干部经济责任审计工作，1个大队开展领导干部离任审计，采用电子卖场竞价的方式确定一家服务供应商；项目作为一个包进行整体采购，最终确定一家成交供应商。</w:t>
      </w:r>
    </w:p>
    <w:p w14:paraId="330965A2">
      <w:pPr>
        <w:keepNext w:val="0"/>
        <w:keepLines w:val="0"/>
        <w:pageBreakBefore w:val="0"/>
        <w:widowControl w:val="0"/>
        <w:kinsoku/>
        <w:wordWrap/>
        <w:overflowPunct/>
        <w:topLinePunct w:val="0"/>
        <w:autoSpaceDE/>
        <w:autoSpaceDN/>
        <w:bidi w:val="0"/>
        <w:adjustRightInd/>
        <w:spacing w:line="579" w:lineRule="exact"/>
        <w:ind w:leftChars="0" w:firstLine="640" w:firstLineChars="200"/>
        <w:jc w:val="left"/>
        <w:textAlignment w:val="auto"/>
        <w:rPr>
          <w:rFonts w:hint="eastAsia" w:ascii="Times New Roman" w:hAnsi="Times New Roman" w:eastAsia="方正仿宋_GBK" w:cs="Times New Roman"/>
          <w:sz w:val="32"/>
          <w:szCs w:val="32"/>
          <w:lang w:val="zh-CN" w:eastAsia="zh-CN"/>
        </w:rPr>
      </w:pPr>
      <w:r>
        <w:rPr>
          <w:rFonts w:hint="eastAsia" w:ascii="Times New Roman" w:hAnsi="Times New Roman" w:eastAsia="方正仿宋_GBK" w:cs="Times New Roman"/>
          <w:sz w:val="32"/>
          <w:szCs w:val="32"/>
          <w:lang w:val="en-US" w:eastAsia="zh-CN"/>
        </w:rPr>
        <w:t>5、</w:t>
      </w:r>
      <w:r>
        <w:rPr>
          <w:rFonts w:hint="eastAsia" w:ascii="Times New Roman" w:hAnsi="Times New Roman" w:eastAsia="方正仿宋_GBK" w:cs="Times New Roman"/>
          <w:sz w:val="32"/>
          <w:szCs w:val="32"/>
          <w:lang w:val="zh-CN" w:eastAsia="zh-CN"/>
        </w:rPr>
        <w:t>报价范围：本采购项目报价包含完成</w:t>
      </w:r>
      <w:r>
        <w:rPr>
          <w:rFonts w:hint="eastAsia" w:ascii="Times New Roman" w:hAnsi="Times New Roman" w:eastAsia="方正仿宋_GBK" w:cs="Times New Roman"/>
          <w:sz w:val="32"/>
          <w:szCs w:val="32"/>
          <w:lang w:val="en-US" w:eastAsia="zh-CN"/>
        </w:rPr>
        <w:t>审计项目</w:t>
      </w:r>
      <w:r>
        <w:rPr>
          <w:rFonts w:hint="eastAsia" w:ascii="Times New Roman" w:hAnsi="Times New Roman" w:eastAsia="方正仿宋_GBK" w:cs="Times New Roman"/>
          <w:sz w:val="32"/>
          <w:szCs w:val="32"/>
          <w:lang w:val="zh-CN" w:eastAsia="zh-CN"/>
        </w:rPr>
        <w:t>所需的人工费、材料费及机械费；包括但不限于人员工资、加班费、伙食费、五险、津贴、福利费、差旅费、办公费用、管理费用、税金、合理利润、成果及技术资料提供、技术服务费用、不可预见费用（如应对应急突发事件发生的费用），以及年度审计相关工作范围内的所有费用。</w:t>
      </w:r>
    </w:p>
    <w:p w14:paraId="15A24C2B">
      <w:pPr>
        <w:pageBreakBefore w:val="0"/>
        <w:kinsoku/>
        <w:wordWrap w:val="0"/>
        <w:overflowPunct/>
        <w:topLinePunct w:val="0"/>
        <w:autoSpaceDE/>
        <w:autoSpaceDN/>
        <w:bidi w:val="0"/>
        <w:adjustRightInd w:val="0"/>
        <w:snapToGrid w:val="0"/>
        <w:spacing w:line="579" w:lineRule="exact"/>
        <w:ind w:firstLine="640" w:firstLineChars="200"/>
        <w:textAlignment w:val="auto"/>
        <w:rPr>
          <w:rFonts w:hint="eastAsia" w:ascii="黑体" w:hAnsi="黑体" w:eastAsia="黑体" w:cs="黑体"/>
          <w:b w:val="0"/>
          <w:bCs w:val="0"/>
          <w:kern w:val="21"/>
          <w:sz w:val="32"/>
          <w:szCs w:val="32"/>
        </w:rPr>
      </w:pPr>
      <w:r>
        <w:rPr>
          <w:rFonts w:hint="eastAsia" w:ascii="黑体" w:hAnsi="黑体" w:eastAsia="黑体" w:cs="黑体"/>
          <w:b w:val="0"/>
          <w:bCs w:val="0"/>
          <w:kern w:val="21"/>
          <w:sz w:val="32"/>
          <w:szCs w:val="32"/>
        </w:rPr>
        <w:t>二、资质审查</w:t>
      </w:r>
    </w:p>
    <w:p w14:paraId="5738B429">
      <w:pPr>
        <w:pageBreakBefore w:val="0"/>
        <w:kinsoku/>
        <w:overflowPunct/>
        <w:topLinePunct w:val="0"/>
        <w:autoSpaceDE/>
        <w:autoSpaceDN/>
        <w:bidi w:val="0"/>
        <w:adjustRightInd w:val="0"/>
        <w:snapToGrid w:val="0"/>
        <w:spacing w:line="579" w:lineRule="exact"/>
        <w:ind w:firstLine="640" w:firstLineChars="200"/>
        <w:jc w:val="left"/>
        <w:textAlignment w:val="auto"/>
        <w:rPr>
          <w:rFonts w:hint="eastAsia" w:ascii="方正楷体_GBK" w:hAnsi="方正楷体_GBK" w:eastAsia="方正楷体_GBK" w:cs="方正楷体_GBK"/>
          <w:bCs/>
          <w:kern w:val="21"/>
          <w:sz w:val="32"/>
          <w:szCs w:val="32"/>
        </w:rPr>
      </w:pPr>
      <w:r>
        <w:rPr>
          <w:rFonts w:hint="eastAsia" w:ascii="方正楷体_GBK" w:hAnsi="方正楷体_GBK" w:eastAsia="方正楷体_GBK" w:cs="方正楷体_GBK"/>
          <w:bCs/>
          <w:kern w:val="21"/>
          <w:sz w:val="32"/>
          <w:szCs w:val="32"/>
        </w:rPr>
        <w:t>（一）基本条件</w:t>
      </w:r>
    </w:p>
    <w:p w14:paraId="2E822CA5">
      <w:pPr>
        <w:keepNext w:val="0"/>
        <w:keepLines w:val="0"/>
        <w:pageBreakBefore w:val="0"/>
        <w:widowControl w:val="0"/>
        <w:kinsoku/>
        <w:wordWrap/>
        <w:overflowPunct/>
        <w:topLinePunct w:val="0"/>
        <w:autoSpaceDE/>
        <w:autoSpaceDN/>
        <w:bidi w:val="0"/>
        <w:adjustRightInd/>
        <w:spacing w:line="579" w:lineRule="exact"/>
        <w:ind w:leftChars="0" w:firstLine="640" w:firstLineChars="200"/>
        <w:jc w:val="left"/>
        <w:textAlignment w:val="auto"/>
        <w:rPr>
          <w:rFonts w:hint="eastAsia"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供应商营业范围内必须具备审计相关资质。必须是在中华人民共和国境内注册登记的法人、其他组织或者自然人，且应当符合《政府采购法》第二十二条第一款的规定，即：（1）具有独立承担民事责任的能力；（2）具有良好的商业信誉和健全的财务会计制度；（3）具有履行合同所必需的设备和专业技术能力；（4）有依法缴纳税收和社会保障资金的良好记录；（5）参加政府采购活动前三年内，在经营活动中没有重大违法记录；（6）法律、行政法规规定的其他条件。</w:t>
      </w:r>
    </w:p>
    <w:p w14:paraId="1765668E">
      <w:pPr>
        <w:pageBreakBefore w:val="0"/>
        <w:kinsoku/>
        <w:overflowPunct/>
        <w:topLinePunct w:val="0"/>
        <w:autoSpaceDE/>
        <w:autoSpaceDN/>
        <w:bidi w:val="0"/>
        <w:adjustRightInd w:val="0"/>
        <w:snapToGrid w:val="0"/>
        <w:spacing w:line="579" w:lineRule="exact"/>
        <w:ind w:firstLine="640" w:firstLineChars="200"/>
        <w:jc w:val="left"/>
        <w:textAlignment w:val="auto"/>
        <w:rPr>
          <w:rFonts w:hint="eastAsia" w:ascii="方正楷体_GBK" w:hAnsi="方正楷体_GBK" w:eastAsia="方正楷体_GBK" w:cs="方正楷体_GBK"/>
          <w:bCs/>
          <w:kern w:val="21"/>
          <w:sz w:val="32"/>
          <w:szCs w:val="32"/>
          <w:lang w:val="zh-CN"/>
        </w:rPr>
      </w:pPr>
      <w:r>
        <w:rPr>
          <w:rFonts w:hint="eastAsia" w:ascii="方正楷体_GBK" w:hAnsi="方正楷体_GBK" w:eastAsia="方正楷体_GBK" w:cs="方正楷体_GBK"/>
          <w:bCs/>
          <w:kern w:val="21"/>
          <w:sz w:val="32"/>
          <w:szCs w:val="32"/>
          <w:lang w:val="zh-CN"/>
        </w:rPr>
        <w:t>（二）服务团队要求</w:t>
      </w:r>
    </w:p>
    <w:p w14:paraId="29864A1E">
      <w:pPr>
        <w:keepNext w:val="0"/>
        <w:keepLines w:val="0"/>
        <w:pageBreakBefore w:val="0"/>
        <w:widowControl w:val="0"/>
        <w:kinsoku/>
        <w:wordWrap/>
        <w:overflowPunct/>
        <w:topLinePunct w:val="0"/>
        <w:autoSpaceDE/>
        <w:autoSpaceDN/>
        <w:bidi w:val="0"/>
        <w:adjustRightInd/>
        <w:spacing w:line="579" w:lineRule="exact"/>
        <w:ind w:leftChars="0" w:firstLine="640" w:firstLineChars="200"/>
        <w:jc w:val="left"/>
        <w:textAlignment w:val="auto"/>
        <w:rPr>
          <w:rFonts w:hint="eastAsia" w:ascii="Times New Roman" w:hAnsi="Times New Roman" w:eastAsia="方正仿宋_GBK" w:cs="Times New Roman"/>
          <w:color w:val="auto"/>
          <w:sz w:val="32"/>
          <w:szCs w:val="32"/>
          <w:highlight w:val="none"/>
          <w:lang w:val="en-US" w:eastAsia="zh-CN"/>
        </w:rPr>
      </w:pPr>
      <w:r>
        <w:rPr>
          <w:rFonts w:hint="eastAsia" w:ascii="Times New Roman" w:hAnsi="Times New Roman" w:eastAsia="方正仿宋_GBK" w:cs="Times New Roman"/>
          <w:color w:val="auto"/>
          <w:sz w:val="32"/>
          <w:szCs w:val="32"/>
          <w:highlight w:val="none"/>
          <w:lang w:val="en-US" w:eastAsia="zh-CN"/>
        </w:rPr>
        <w:t>1、根据衡阳市消防救援支队审计大队级单位项目要求，小组成员必须配备注册会计师1名、高级会计师1名、中级会计师2名、初级会计师1名的项目服务团队。</w:t>
      </w:r>
    </w:p>
    <w:p w14:paraId="68259712">
      <w:pPr>
        <w:pStyle w:val="6"/>
        <w:pageBreakBefore w:val="0"/>
        <w:kinsoku/>
        <w:overflowPunct/>
        <w:topLinePunct w:val="0"/>
        <w:autoSpaceDE/>
        <w:autoSpaceDN/>
        <w:bidi w:val="0"/>
        <w:spacing w:after="0" w:line="579" w:lineRule="exact"/>
        <w:ind w:firstLine="640" w:firstLineChars="200"/>
        <w:textAlignment w:val="auto"/>
        <w:rPr>
          <w:rFonts w:ascii="仿宋" w:hAnsi="仿宋" w:eastAsia="仿宋" w:cs="仿宋"/>
          <w:kern w:val="21"/>
          <w:sz w:val="32"/>
          <w:szCs w:val="32"/>
          <w:highlight w:val="yellow"/>
        </w:rPr>
      </w:pPr>
      <w:r>
        <w:rPr>
          <w:rFonts w:hint="eastAsia" w:ascii="Times New Roman" w:hAnsi="Times New Roman" w:eastAsia="方正仿宋_GBK" w:cs="Times New Roman"/>
          <w:kern w:val="2"/>
          <w:sz w:val="32"/>
          <w:szCs w:val="32"/>
          <w:highlight w:val="none"/>
          <w:lang w:val="en-US" w:eastAsia="zh-CN" w:bidi="ar-SA"/>
        </w:rPr>
        <w:t>2</w:t>
      </w:r>
      <w:r>
        <w:rPr>
          <w:rFonts w:hint="eastAsia" w:ascii="Times New Roman" w:hAnsi="Times New Roman" w:eastAsia="方正仿宋_GBK" w:cs="Times New Roman"/>
          <w:color w:val="auto"/>
          <w:kern w:val="2"/>
          <w:sz w:val="32"/>
          <w:szCs w:val="32"/>
          <w:highlight w:val="none"/>
          <w:lang w:val="en-US" w:eastAsia="zh-CN" w:bidi="ar-SA"/>
        </w:rPr>
        <w:t>、</w:t>
      </w:r>
      <w:r>
        <w:rPr>
          <w:rFonts w:hint="eastAsia" w:ascii="仿宋" w:hAnsi="仿宋" w:eastAsia="仿宋" w:cs="仿宋"/>
          <w:color w:val="auto"/>
          <w:kern w:val="21"/>
          <w:sz w:val="32"/>
          <w:szCs w:val="32"/>
          <w:highlight w:val="none"/>
        </w:rPr>
        <w:t>拟配备的项目负责人必须为注册十年以上的中国注册会计师、具备高级会计师职称且有相关</w:t>
      </w:r>
      <w:r>
        <w:rPr>
          <w:rFonts w:hint="eastAsia" w:ascii="仿宋" w:hAnsi="仿宋" w:eastAsia="仿宋" w:cs="仿宋"/>
          <w:color w:val="auto"/>
          <w:kern w:val="21"/>
          <w:sz w:val="32"/>
          <w:szCs w:val="32"/>
          <w:highlight w:val="none"/>
          <w:lang w:eastAsia="zh-CN"/>
        </w:rPr>
        <w:t>经济责任</w:t>
      </w:r>
      <w:r>
        <w:rPr>
          <w:rFonts w:hint="eastAsia" w:ascii="仿宋" w:hAnsi="仿宋" w:eastAsia="仿宋" w:cs="仿宋"/>
          <w:color w:val="auto"/>
          <w:kern w:val="21"/>
          <w:sz w:val="32"/>
          <w:szCs w:val="32"/>
          <w:highlight w:val="none"/>
        </w:rPr>
        <w:t>审计</w:t>
      </w:r>
      <w:r>
        <w:rPr>
          <w:rFonts w:hint="eastAsia" w:ascii="仿宋" w:hAnsi="仿宋" w:eastAsia="仿宋" w:cs="仿宋"/>
          <w:color w:val="auto"/>
          <w:kern w:val="21"/>
          <w:sz w:val="32"/>
          <w:szCs w:val="32"/>
          <w:highlight w:val="none"/>
          <w:lang w:eastAsia="zh-CN"/>
        </w:rPr>
        <w:t>、离任审计</w:t>
      </w:r>
      <w:r>
        <w:rPr>
          <w:rFonts w:hint="eastAsia" w:ascii="仿宋" w:hAnsi="仿宋" w:eastAsia="仿宋" w:cs="仿宋"/>
          <w:color w:val="auto"/>
          <w:kern w:val="21"/>
          <w:sz w:val="32"/>
          <w:szCs w:val="32"/>
          <w:highlight w:val="none"/>
        </w:rPr>
        <w:t>经验。拟配备的项目小组长必须为</w:t>
      </w:r>
      <w:r>
        <w:rPr>
          <w:rFonts w:hint="eastAsia" w:ascii="仿宋" w:hAnsi="仿宋" w:eastAsia="仿宋" w:cs="仿宋"/>
          <w:color w:val="auto"/>
          <w:kern w:val="21"/>
          <w:sz w:val="32"/>
          <w:szCs w:val="32"/>
          <w:highlight w:val="none"/>
          <w:lang w:val="en-US" w:eastAsia="zh-CN"/>
        </w:rPr>
        <w:t>五年以上中国注册会计师</w:t>
      </w:r>
      <w:r>
        <w:rPr>
          <w:rFonts w:hint="eastAsia" w:ascii="仿宋" w:hAnsi="仿宋" w:eastAsia="仿宋" w:cs="仿宋"/>
          <w:color w:val="auto"/>
          <w:kern w:val="21"/>
          <w:sz w:val="32"/>
          <w:szCs w:val="32"/>
          <w:highlight w:val="none"/>
        </w:rPr>
        <w:t>且有相关</w:t>
      </w:r>
      <w:r>
        <w:rPr>
          <w:rFonts w:hint="eastAsia" w:ascii="仿宋" w:hAnsi="仿宋" w:eastAsia="仿宋" w:cs="仿宋"/>
          <w:color w:val="auto"/>
          <w:kern w:val="21"/>
          <w:sz w:val="32"/>
          <w:szCs w:val="32"/>
          <w:highlight w:val="none"/>
          <w:lang w:eastAsia="zh-CN"/>
        </w:rPr>
        <w:t>经济责任</w:t>
      </w:r>
      <w:r>
        <w:rPr>
          <w:rFonts w:hint="eastAsia" w:ascii="仿宋" w:hAnsi="仿宋" w:eastAsia="仿宋" w:cs="仿宋"/>
          <w:color w:val="auto"/>
          <w:kern w:val="21"/>
          <w:sz w:val="32"/>
          <w:szCs w:val="32"/>
          <w:highlight w:val="none"/>
        </w:rPr>
        <w:t>审计</w:t>
      </w:r>
      <w:r>
        <w:rPr>
          <w:rFonts w:hint="eastAsia" w:ascii="仿宋" w:hAnsi="仿宋" w:eastAsia="仿宋" w:cs="仿宋"/>
          <w:color w:val="auto"/>
          <w:kern w:val="21"/>
          <w:sz w:val="32"/>
          <w:szCs w:val="32"/>
          <w:highlight w:val="none"/>
          <w:lang w:eastAsia="zh-CN"/>
        </w:rPr>
        <w:t>、离任审计</w:t>
      </w:r>
      <w:r>
        <w:rPr>
          <w:rFonts w:hint="eastAsia" w:ascii="仿宋" w:hAnsi="仿宋" w:eastAsia="仿宋" w:cs="仿宋"/>
          <w:color w:val="auto"/>
          <w:kern w:val="21"/>
          <w:sz w:val="32"/>
          <w:szCs w:val="32"/>
          <w:highlight w:val="none"/>
        </w:rPr>
        <w:t>经验。拟配备的项目助理必须具备初级会计师职称且有相关审计经验。报价人须提供服务团队所有人员资质证明扫描件</w:t>
      </w:r>
      <w:r>
        <w:rPr>
          <w:rFonts w:hint="eastAsia" w:ascii="仿宋" w:hAnsi="仿宋" w:eastAsia="仿宋" w:cs="仿宋"/>
          <w:color w:val="auto"/>
          <w:kern w:val="21"/>
          <w:sz w:val="32"/>
          <w:szCs w:val="32"/>
          <w:highlight w:val="none"/>
          <w:lang w:eastAsia="zh-CN"/>
        </w:rPr>
        <w:t>，</w:t>
      </w:r>
      <w:r>
        <w:rPr>
          <w:rFonts w:hint="eastAsia" w:ascii="仿宋" w:hAnsi="仿宋" w:eastAsia="仿宋" w:cs="仿宋"/>
          <w:color w:val="auto"/>
          <w:kern w:val="21"/>
          <w:sz w:val="32"/>
          <w:szCs w:val="32"/>
          <w:highlight w:val="none"/>
          <w:lang w:val="en-US" w:eastAsia="zh-CN"/>
        </w:rPr>
        <w:t>项目开展时，不得随意更换项目小组成员。</w:t>
      </w:r>
    </w:p>
    <w:p w14:paraId="6712EA15">
      <w:pPr>
        <w:pStyle w:val="6"/>
        <w:pageBreakBefore w:val="0"/>
        <w:kinsoku/>
        <w:overflowPunct/>
        <w:topLinePunct w:val="0"/>
        <w:autoSpaceDE/>
        <w:autoSpaceDN/>
        <w:bidi w:val="0"/>
        <w:spacing w:after="0"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其他条件：（1）单位负责人为同一人或者存在直接控股、管理关系的不同供应商，不得参加同一合同项下的政府采购活动。（2）为本采购项目提供整体设计、规范编制或者项目管理、监理、检测等服务的，不得再参加此项目的其他采购活动。（3）列入失信被执行人、重大税收违法案件当事人名单、列入政府采购严重违法失信行为记录名单、通过天眼查查询存在较多法律纠纷或者合同纠纷的，采购方将其作为不合格供应商处理。本次采购不接受供应商为联合体形式。</w:t>
      </w:r>
    </w:p>
    <w:p w14:paraId="5B9AFE6B">
      <w:pPr>
        <w:pStyle w:val="6"/>
        <w:pageBreakBefore w:val="0"/>
        <w:kinsoku/>
        <w:overflowPunct/>
        <w:topLinePunct w:val="0"/>
        <w:autoSpaceDE/>
        <w:autoSpaceDN/>
        <w:bidi w:val="0"/>
        <w:spacing w:after="0"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3、根据甲方要求提供资料（电子版、软件版)不得拒绝，（审计报告、底稿与其他审计相关资料）</w:t>
      </w:r>
      <w:r>
        <w:rPr>
          <w:rFonts w:hint="default" w:ascii="Times New Roman" w:hAnsi="Times New Roman" w:eastAsia="方正仿宋_GBK" w:cs="Times New Roman"/>
          <w:kern w:val="2"/>
          <w:sz w:val="32"/>
          <w:szCs w:val="32"/>
          <w:lang w:val="en-US" w:eastAsia="zh-CN" w:bidi="ar-SA"/>
        </w:rPr>
        <w:t>。</w:t>
      </w:r>
    </w:p>
    <w:p w14:paraId="3CD0B431">
      <w:pPr>
        <w:pStyle w:val="6"/>
        <w:pageBreakBefore w:val="0"/>
        <w:kinsoku/>
        <w:overflowPunct/>
        <w:topLinePunct w:val="0"/>
        <w:autoSpaceDE/>
        <w:autoSpaceDN/>
        <w:bidi w:val="0"/>
        <w:spacing w:after="0"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4、出具审计报告后发现的审计问题如何整改可以提供解答或告知，必要时可提供简易会计咨询服务</w:t>
      </w:r>
      <w:r>
        <w:rPr>
          <w:rFonts w:hint="default" w:ascii="Times New Roman" w:hAnsi="Times New Roman" w:eastAsia="方正仿宋_GBK" w:cs="Times New Roman"/>
          <w:kern w:val="2"/>
          <w:sz w:val="32"/>
          <w:szCs w:val="32"/>
          <w:lang w:val="en-US" w:eastAsia="zh-CN" w:bidi="ar-SA"/>
        </w:rPr>
        <w:t>。</w:t>
      </w:r>
    </w:p>
    <w:p w14:paraId="19D20E91">
      <w:pPr>
        <w:pageBreakBefore w:val="0"/>
        <w:kinsoku/>
        <w:wordWrap w:val="0"/>
        <w:overflowPunct/>
        <w:topLinePunct w:val="0"/>
        <w:autoSpaceDE/>
        <w:autoSpaceDN/>
        <w:bidi w:val="0"/>
        <w:adjustRightInd w:val="0"/>
        <w:snapToGrid w:val="0"/>
        <w:spacing w:line="579" w:lineRule="exact"/>
        <w:ind w:firstLine="643" w:firstLineChars="200"/>
        <w:textAlignment w:val="auto"/>
        <w:rPr>
          <w:rFonts w:ascii="仿宋" w:hAnsi="仿宋" w:eastAsia="仿宋" w:cs="仿宋"/>
          <w:b/>
          <w:bCs/>
          <w:kern w:val="21"/>
          <w:sz w:val="32"/>
          <w:szCs w:val="32"/>
        </w:rPr>
      </w:pPr>
      <w:bookmarkStart w:id="1" w:name="_Toc25178"/>
      <w:r>
        <w:rPr>
          <w:rFonts w:hint="eastAsia" w:ascii="仿宋" w:hAnsi="仿宋" w:eastAsia="仿宋" w:cs="仿宋"/>
          <w:b/>
          <w:bCs/>
          <w:kern w:val="21"/>
          <w:sz w:val="32"/>
          <w:szCs w:val="32"/>
        </w:rPr>
        <w:t>三、采购项目技术要求</w:t>
      </w:r>
      <w:bookmarkEnd w:id="1"/>
    </w:p>
    <w:p w14:paraId="588F6C86">
      <w:pPr>
        <w:pageBreakBefore w:val="0"/>
        <w:kinsoku/>
        <w:overflowPunct/>
        <w:topLinePunct w:val="0"/>
        <w:autoSpaceDE/>
        <w:autoSpaceDN/>
        <w:bidi w:val="0"/>
        <w:adjustRightInd w:val="0"/>
        <w:snapToGrid w:val="0"/>
        <w:spacing w:line="579" w:lineRule="exact"/>
        <w:ind w:firstLine="643" w:firstLineChars="200"/>
        <w:jc w:val="left"/>
        <w:textAlignment w:val="auto"/>
        <w:rPr>
          <w:rFonts w:ascii="仿宋" w:hAnsi="仿宋" w:eastAsia="仿宋" w:cs="仿宋"/>
          <w:b/>
          <w:bCs/>
          <w:kern w:val="21"/>
          <w:sz w:val="32"/>
          <w:szCs w:val="32"/>
          <w:lang w:val="zh-CN"/>
        </w:rPr>
      </w:pPr>
      <w:r>
        <w:rPr>
          <w:rFonts w:hint="eastAsia" w:ascii="仿宋" w:hAnsi="仿宋" w:eastAsia="仿宋" w:cs="仿宋"/>
          <w:b/>
          <w:bCs/>
          <w:kern w:val="21"/>
          <w:sz w:val="32"/>
          <w:szCs w:val="32"/>
          <w:lang w:val="zh-CN"/>
        </w:rPr>
        <w:t>（一）项目背景</w:t>
      </w:r>
    </w:p>
    <w:p w14:paraId="2A3F8549">
      <w:pPr>
        <w:pStyle w:val="6"/>
        <w:pageBreakBefore w:val="0"/>
        <w:kinsoku/>
        <w:overflowPunct/>
        <w:topLinePunct w:val="0"/>
        <w:autoSpaceDE/>
        <w:autoSpaceDN/>
        <w:bidi w:val="0"/>
        <w:spacing w:after="0" w:line="579" w:lineRule="exact"/>
        <w:ind w:firstLine="640" w:firstLineChars="200"/>
        <w:textAlignment w:val="auto"/>
        <w:rPr>
          <w:rFonts w:hint="eastAsia" w:ascii="Times New Roman" w:hAnsi="Times New Roman" w:eastAsia="方正仿宋_GBK" w:cs="Times New Roman"/>
          <w:kern w:val="2"/>
          <w:sz w:val="32"/>
          <w:szCs w:val="32"/>
          <w:lang w:val="zh-CN" w:eastAsia="zh-CN" w:bidi="ar-SA"/>
        </w:rPr>
      </w:pPr>
      <w:r>
        <w:rPr>
          <w:rFonts w:hint="eastAsia" w:ascii="Times New Roman" w:hAnsi="Times New Roman" w:eastAsia="方正仿宋_GBK" w:cs="Times New Roman"/>
          <w:kern w:val="2"/>
          <w:sz w:val="32"/>
          <w:szCs w:val="32"/>
          <w:lang w:val="en-US" w:eastAsia="zh-CN" w:bidi="ar-SA"/>
        </w:rPr>
        <w:t>按照年初重点工作任务，</w:t>
      </w:r>
      <w:r>
        <w:rPr>
          <w:rFonts w:hint="eastAsia" w:ascii="Times New Roman" w:hAnsi="Times New Roman" w:eastAsia="方正仿宋_GBK" w:cs="Times New Roman"/>
          <w:kern w:val="2"/>
          <w:sz w:val="32"/>
          <w:szCs w:val="32"/>
          <w:lang w:val="zh-CN" w:eastAsia="zh-CN" w:bidi="ar-SA"/>
        </w:rPr>
        <w:t>结合衡阳市实际情况，对</w:t>
      </w:r>
      <w:r>
        <w:rPr>
          <w:rFonts w:hint="eastAsia" w:ascii="Times New Roman" w:hAnsi="Times New Roman" w:eastAsia="方正仿宋_GBK" w:cs="Times New Roman"/>
          <w:kern w:val="2"/>
          <w:sz w:val="32"/>
          <w:szCs w:val="32"/>
          <w:lang w:val="en-US" w:eastAsia="zh-CN" w:bidi="ar-SA"/>
        </w:rPr>
        <w:t>9</w:t>
      </w:r>
      <w:r>
        <w:rPr>
          <w:rFonts w:hint="eastAsia" w:ascii="Times New Roman" w:hAnsi="Times New Roman" w:eastAsia="方正仿宋_GBK" w:cs="Times New Roman"/>
          <w:kern w:val="2"/>
          <w:sz w:val="32"/>
          <w:szCs w:val="32"/>
          <w:lang w:val="zh-CN" w:eastAsia="zh-CN" w:bidi="ar-SA"/>
        </w:rPr>
        <w:t>个大队的会计账目凭证进行核查，</w:t>
      </w:r>
      <w:r>
        <w:rPr>
          <w:rFonts w:hint="eastAsia" w:ascii="Times New Roman" w:hAnsi="Times New Roman" w:eastAsia="方正仿宋_GBK" w:cs="Times New Roman"/>
          <w:kern w:val="2"/>
          <w:sz w:val="32"/>
          <w:szCs w:val="32"/>
          <w:lang w:val="en-US" w:eastAsia="zh-CN" w:bidi="ar-SA"/>
        </w:rPr>
        <w:t>委托地方会计事务所协助开展领导干部经济责任审计、领导干部离任审计工作。</w:t>
      </w:r>
    </w:p>
    <w:p w14:paraId="0E8C4AE1">
      <w:pPr>
        <w:pStyle w:val="6"/>
        <w:pageBreakBefore w:val="0"/>
        <w:kinsoku/>
        <w:overflowPunct/>
        <w:topLinePunct w:val="0"/>
        <w:autoSpaceDE/>
        <w:autoSpaceDN/>
        <w:bidi w:val="0"/>
        <w:spacing w:after="0" w:line="579" w:lineRule="exact"/>
        <w:ind w:firstLine="640" w:firstLineChars="200"/>
        <w:textAlignment w:val="auto"/>
        <w:rPr>
          <w:rFonts w:hint="eastAsia" w:ascii="Times New Roman" w:hAnsi="Times New Roman" w:eastAsia="方正仿宋_GBK" w:cs="Times New Roman"/>
          <w:kern w:val="2"/>
          <w:sz w:val="32"/>
          <w:szCs w:val="32"/>
          <w:lang w:val="zh-CN" w:eastAsia="zh-CN" w:bidi="ar-SA"/>
        </w:rPr>
      </w:pPr>
      <w:r>
        <w:rPr>
          <w:rFonts w:hint="eastAsia" w:ascii="Times New Roman" w:hAnsi="Times New Roman" w:eastAsia="方正仿宋_GBK" w:cs="Times New Roman"/>
          <w:kern w:val="2"/>
          <w:sz w:val="32"/>
          <w:szCs w:val="32"/>
          <w:lang w:val="zh-CN" w:eastAsia="zh-CN" w:bidi="ar-SA"/>
        </w:rPr>
        <w:t>（二）服务范围及内容</w:t>
      </w:r>
    </w:p>
    <w:p w14:paraId="3EF6690F">
      <w:pPr>
        <w:pStyle w:val="6"/>
        <w:pageBreakBefore w:val="0"/>
        <w:kinsoku/>
        <w:overflowPunct/>
        <w:topLinePunct w:val="0"/>
        <w:autoSpaceDE/>
        <w:autoSpaceDN/>
        <w:bidi w:val="0"/>
        <w:spacing w:after="0"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zh-CN" w:eastAsia="zh-CN" w:bidi="ar-SA"/>
        </w:rPr>
        <w:t>1、对辖区内的会计账目凭证的核查，重点审查审计期间内财务收支、预算管理、内控制度以及工程建设、物资采购等管理情况。其中</w:t>
      </w:r>
      <w:r>
        <w:rPr>
          <w:rFonts w:hint="eastAsia" w:ascii="Times New Roman" w:hAnsi="Times New Roman" w:eastAsia="方正仿宋_GBK" w:cs="Times New Roman"/>
          <w:kern w:val="2"/>
          <w:sz w:val="32"/>
          <w:szCs w:val="32"/>
          <w:lang w:val="en-US" w:eastAsia="zh-CN" w:bidi="ar-SA"/>
        </w:rPr>
        <w:t>5</w:t>
      </w:r>
      <w:r>
        <w:rPr>
          <w:rFonts w:hint="eastAsia" w:ascii="Times New Roman" w:hAnsi="Times New Roman" w:eastAsia="方正仿宋_GBK" w:cs="Times New Roman"/>
          <w:kern w:val="2"/>
          <w:sz w:val="32"/>
          <w:szCs w:val="32"/>
          <w:lang w:val="zh-CN" w:eastAsia="zh-CN" w:bidi="ar-SA"/>
        </w:rPr>
        <w:t>个大队领导干部经济责任审计年度为</w:t>
      </w:r>
      <w:r>
        <w:rPr>
          <w:rFonts w:hint="eastAsia" w:ascii="Times New Roman" w:hAnsi="Times New Roman" w:eastAsia="方正仿宋_GBK" w:cs="Times New Roman"/>
          <w:kern w:val="2"/>
          <w:sz w:val="32"/>
          <w:szCs w:val="32"/>
          <w:lang w:val="en-US" w:eastAsia="zh-CN" w:bidi="ar-SA"/>
        </w:rPr>
        <w:t>2023年1月1日至2024年12月31日，3个大队</w:t>
      </w:r>
      <w:r>
        <w:rPr>
          <w:rFonts w:hint="eastAsia" w:ascii="Times New Roman" w:hAnsi="Times New Roman" w:eastAsia="方正仿宋_GBK" w:cs="Times New Roman"/>
          <w:kern w:val="2"/>
          <w:sz w:val="32"/>
          <w:szCs w:val="32"/>
          <w:lang w:val="zh-CN" w:eastAsia="zh-CN" w:bidi="ar-SA"/>
        </w:rPr>
        <w:t>领导干部经济责任审计年度为</w:t>
      </w:r>
      <w:r>
        <w:rPr>
          <w:rFonts w:hint="eastAsia" w:ascii="Times New Roman" w:hAnsi="Times New Roman" w:eastAsia="方正仿宋_GBK" w:cs="Times New Roman"/>
          <w:kern w:val="2"/>
          <w:sz w:val="32"/>
          <w:szCs w:val="32"/>
          <w:lang w:val="en-US" w:eastAsia="zh-CN" w:bidi="ar-SA"/>
        </w:rPr>
        <w:t>2024年1月1日至2024年12月31日，1个大队领导干部离任审计年度为2024年1月1日至2024年12月31日。</w:t>
      </w:r>
    </w:p>
    <w:p w14:paraId="298400E6">
      <w:pPr>
        <w:pStyle w:val="6"/>
        <w:pageBreakBefore w:val="0"/>
        <w:kinsoku/>
        <w:overflowPunct/>
        <w:topLinePunct w:val="0"/>
        <w:autoSpaceDE/>
        <w:autoSpaceDN/>
        <w:bidi w:val="0"/>
        <w:spacing w:after="0" w:line="579" w:lineRule="exact"/>
        <w:ind w:firstLine="640" w:firstLineChars="200"/>
        <w:textAlignment w:val="auto"/>
        <w:rPr>
          <w:rFonts w:hint="eastAsia" w:ascii="Times New Roman" w:hAnsi="Times New Roman" w:eastAsia="方正仿宋_GBK" w:cs="Times New Roman"/>
          <w:kern w:val="2"/>
          <w:sz w:val="32"/>
          <w:szCs w:val="32"/>
          <w:lang w:val="zh-CN" w:eastAsia="zh-CN" w:bidi="ar-SA"/>
        </w:rPr>
      </w:pPr>
      <w:r>
        <w:rPr>
          <w:rFonts w:hint="eastAsia" w:ascii="Times New Roman" w:hAnsi="Times New Roman" w:eastAsia="方正仿宋_GBK" w:cs="Times New Roman"/>
          <w:kern w:val="2"/>
          <w:sz w:val="32"/>
          <w:szCs w:val="32"/>
          <w:lang w:val="en-US" w:eastAsia="zh-CN" w:bidi="ar-SA"/>
        </w:rPr>
        <w:t>2</w:t>
      </w:r>
      <w:r>
        <w:rPr>
          <w:rFonts w:hint="eastAsia" w:ascii="Times New Roman" w:hAnsi="Times New Roman" w:eastAsia="方正仿宋_GBK" w:cs="Times New Roman"/>
          <w:kern w:val="2"/>
          <w:sz w:val="32"/>
          <w:szCs w:val="32"/>
          <w:lang w:val="zh-CN" w:eastAsia="zh-CN" w:bidi="ar-SA"/>
        </w:rPr>
        <w:t>、出具</w:t>
      </w:r>
      <w:r>
        <w:rPr>
          <w:rFonts w:hint="eastAsia" w:ascii="Times New Roman" w:hAnsi="Times New Roman" w:eastAsia="方正仿宋_GBK" w:cs="Times New Roman"/>
          <w:kern w:val="2"/>
          <w:sz w:val="32"/>
          <w:szCs w:val="32"/>
          <w:lang w:val="en-US" w:eastAsia="zh-CN" w:bidi="ar-SA"/>
        </w:rPr>
        <w:t>9</w:t>
      </w:r>
      <w:r>
        <w:rPr>
          <w:rFonts w:hint="eastAsia" w:ascii="Times New Roman" w:hAnsi="Times New Roman" w:eastAsia="方正仿宋_GBK" w:cs="Times New Roman"/>
          <w:kern w:val="2"/>
          <w:sz w:val="32"/>
          <w:szCs w:val="32"/>
          <w:lang w:val="zh-CN" w:eastAsia="zh-CN" w:bidi="ar-SA"/>
        </w:rPr>
        <w:t>份年度审计报告，根据各单位实际不同情况提出相应整改建议及意见，审计资料（电子、纸质版）及时归总给支队。</w:t>
      </w:r>
    </w:p>
    <w:p w14:paraId="6596B719">
      <w:pPr>
        <w:pStyle w:val="6"/>
        <w:pageBreakBefore w:val="0"/>
        <w:kinsoku/>
        <w:overflowPunct/>
        <w:topLinePunct w:val="0"/>
        <w:autoSpaceDE/>
        <w:autoSpaceDN/>
        <w:bidi w:val="0"/>
        <w:spacing w:after="0" w:line="579" w:lineRule="exact"/>
        <w:ind w:firstLine="640" w:firstLineChars="200"/>
        <w:textAlignment w:val="auto"/>
        <w:rPr>
          <w:rFonts w:hint="eastAsia" w:ascii="Times New Roman" w:hAnsi="Times New Roman" w:eastAsia="方正仿宋_GBK" w:cs="Times New Roman"/>
          <w:kern w:val="2"/>
          <w:sz w:val="32"/>
          <w:szCs w:val="32"/>
          <w:lang w:val="zh-CN" w:eastAsia="zh-CN" w:bidi="ar-SA"/>
        </w:rPr>
      </w:pPr>
      <w:r>
        <w:rPr>
          <w:rFonts w:hint="eastAsia" w:ascii="Times New Roman" w:hAnsi="Times New Roman" w:eastAsia="方正仿宋_GBK" w:cs="Times New Roman"/>
          <w:kern w:val="2"/>
          <w:sz w:val="32"/>
          <w:szCs w:val="32"/>
          <w:lang w:val="en-US" w:eastAsia="zh-CN" w:bidi="ar-SA"/>
        </w:rPr>
        <w:t>3</w:t>
      </w:r>
      <w:r>
        <w:rPr>
          <w:rFonts w:hint="eastAsia" w:ascii="Times New Roman" w:hAnsi="Times New Roman" w:eastAsia="方正仿宋_GBK" w:cs="Times New Roman"/>
          <w:kern w:val="2"/>
          <w:sz w:val="32"/>
          <w:szCs w:val="32"/>
          <w:lang w:val="zh-CN" w:eastAsia="zh-CN" w:bidi="ar-SA"/>
        </w:rPr>
        <w:t>、为各单位提供审计咨询，后期整改等其他服务。</w:t>
      </w:r>
    </w:p>
    <w:p w14:paraId="4ACF55B6">
      <w:pPr>
        <w:pStyle w:val="6"/>
        <w:pageBreakBefore w:val="0"/>
        <w:kinsoku/>
        <w:overflowPunct/>
        <w:topLinePunct w:val="0"/>
        <w:autoSpaceDE/>
        <w:autoSpaceDN/>
        <w:bidi w:val="0"/>
        <w:spacing w:after="0" w:line="579" w:lineRule="exact"/>
        <w:ind w:firstLine="640" w:firstLineChars="200"/>
        <w:textAlignment w:val="auto"/>
        <w:rPr>
          <w:rFonts w:hint="eastAsia" w:ascii="Times New Roman" w:hAnsi="Times New Roman" w:eastAsia="方正仿宋_GBK" w:cs="Times New Roman"/>
          <w:kern w:val="2"/>
          <w:sz w:val="32"/>
          <w:szCs w:val="32"/>
          <w:lang w:val="zh-CN" w:eastAsia="zh-CN" w:bidi="ar-SA"/>
        </w:rPr>
      </w:pPr>
      <w:r>
        <w:rPr>
          <w:rFonts w:hint="eastAsia" w:ascii="Times New Roman" w:hAnsi="Times New Roman" w:eastAsia="方正仿宋_GBK" w:cs="Times New Roman"/>
          <w:kern w:val="2"/>
          <w:sz w:val="32"/>
          <w:szCs w:val="32"/>
          <w:lang w:val="en-US" w:eastAsia="zh-CN" w:bidi="ar-SA"/>
        </w:rPr>
        <w:t>4、报价人需根据</w:t>
      </w:r>
      <w:r>
        <w:rPr>
          <w:rFonts w:hint="eastAsia" w:ascii="Times New Roman" w:hAnsi="Times New Roman" w:eastAsia="方正仿宋_GBK" w:cs="Times New Roman"/>
          <w:kern w:val="2"/>
          <w:sz w:val="32"/>
          <w:szCs w:val="32"/>
          <w:lang w:val="zh-CN" w:eastAsia="zh-CN" w:bidi="ar-SA"/>
        </w:rPr>
        <w:t>湖南省物价局、湖南省财政厅印发的《湖南省会计师事务所服务收费管理实施办法》（</w:t>
      </w:r>
      <w:r>
        <w:rPr>
          <w:rFonts w:hint="eastAsia" w:ascii="Times New Roman" w:hAnsi="Times New Roman" w:eastAsia="方正仿宋_GBK" w:cs="Times New Roman"/>
          <w:kern w:val="2"/>
          <w:sz w:val="32"/>
          <w:szCs w:val="32"/>
          <w:lang w:val="en-US" w:eastAsia="zh-CN" w:bidi="ar-SA"/>
        </w:rPr>
        <w:t>湘价服〔2010〕183号</w:t>
      </w:r>
      <w:r>
        <w:rPr>
          <w:rFonts w:hint="eastAsia" w:ascii="Times New Roman" w:hAnsi="Times New Roman" w:eastAsia="方正仿宋_GBK" w:cs="Times New Roman"/>
          <w:kern w:val="2"/>
          <w:sz w:val="32"/>
          <w:szCs w:val="32"/>
          <w:lang w:val="zh-CN" w:eastAsia="zh-CN" w:bidi="ar-SA"/>
        </w:rPr>
        <w:t>）文件要求制定并上报报价清单。</w:t>
      </w:r>
      <w:bookmarkStart w:id="5" w:name="_GoBack"/>
      <w:bookmarkEnd w:id="5"/>
    </w:p>
    <w:p w14:paraId="3496AFB6">
      <w:pPr>
        <w:pStyle w:val="22"/>
        <w:keepNext w:val="0"/>
        <w:keepLines w:val="0"/>
        <w:pageBreakBefore w:val="0"/>
        <w:widowControl w:val="0"/>
        <w:numPr>
          <w:ilvl w:val="0"/>
          <w:numId w:val="0"/>
        </w:numPr>
        <w:kinsoku/>
        <w:wordWrap/>
        <w:overflowPunct/>
        <w:topLinePunct w:val="0"/>
        <w:autoSpaceDE/>
        <w:autoSpaceDN/>
        <w:bidi w:val="0"/>
        <w:adjustRightInd/>
        <w:spacing w:line="579" w:lineRule="exact"/>
        <w:ind w:firstLine="643" w:firstLineChars="200"/>
        <w:textAlignment w:val="auto"/>
        <w:rPr>
          <w:rFonts w:hint="eastAsia" w:ascii="Times New Roman" w:hAnsi="Times New Roman" w:eastAsia="方正仿宋_GBK" w:cs="Times New Roman"/>
          <w:kern w:val="2"/>
          <w:sz w:val="32"/>
          <w:szCs w:val="32"/>
          <w:lang w:val="en-US" w:eastAsia="zh-CN" w:bidi="ar-SA"/>
        </w:rPr>
      </w:pPr>
      <w:r>
        <w:rPr>
          <w:rFonts w:hint="eastAsia" w:ascii="仿宋" w:hAnsi="仿宋" w:eastAsia="仿宋" w:cs="仿宋"/>
          <w:b/>
          <w:bCs/>
          <w:kern w:val="21"/>
          <w:sz w:val="32"/>
          <w:szCs w:val="32"/>
          <w:lang w:val="en-US" w:eastAsia="zh-CN" w:bidi="ar-SA"/>
        </w:rPr>
        <w:t>四、投标文件递交截止时间：</w:t>
      </w:r>
      <w:r>
        <w:rPr>
          <w:rFonts w:hint="eastAsia" w:ascii="Times New Roman" w:hAnsi="Times New Roman" w:eastAsia="方正仿宋_GBK" w:cs="Times New Roman"/>
          <w:kern w:val="2"/>
          <w:sz w:val="32"/>
          <w:szCs w:val="32"/>
          <w:lang w:val="en-US" w:eastAsia="zh-CN" w:bidi="ar-SA"/>
        </w:rPr>
        <w:t>湖南省政府采购电子卖场（https://hunan.zcygov.cn/）本项目报价文件上传截止时间。</w:t>
      </w:r>
    </w:p>
    <w:p w14:paraId="2085F7C4">
      <w:pPr>
        <w:pStyle w:val="15"/>
        <w:keepNext w:val="0"/>
        <w:keepLines w:val="0"/>
        <w:pageBreakBefore w:val="0"/>
        <w:widowControl w:val="0"/>
        <w:kinsoku/>
        <w:wordWrap/>
        <w:overflowPunct/>
        <w:topLinePunct w:val="0"/>
        <w:autoSpaceDE/>
        <w:autoSpaceDN/>
        <w:bidi w:val="0"/>
        <w:adjustRightInd/>
        <w:spacing w:line="579" w:lineRule="exact"/>
        <w:ind w:firstLine="643" w:firstLineChars="200"/>
        <w:textAlignment w:val="auto"/>
        <w:rPr>
          <w:rFonts w:hint="eastAsia" w:ascii="Times New Roman" w:hAnsi="Times New Roman" w:eastAsia="方正仿宋_GBK" w:cs="Times New Roman"/>
          <w:kern w:val="2"/>
          <w:sz w:val="32"/>
          <w:szCs w:val="32"/>
          <w:lang w:val="zh-CN" w:eastAsia="zh-CN" w:bidi="ar-SA"/>
        </w:rPr>
      </w:pPr>
      <w:r>
        <w:rPr>
          <w:rFonts w:hint="eastAsia" w:ascii="仿宋" w:hAnsi="仿宋" w:eastAsia="仿宋" w:cs="仿宋"/>
          <w:b/>
          <w:bCs/>
          <w:kern w:val="21"/>
          <w:sz w:val="32"/>
          <w:szCs w:val="32"/>
          <w:lang w:val="en-US" w:eastAsia="zh-CN" w:bidi="ar-SA"/>
        </w:rPr>
        <w:t>五、投标文件递交地点：</w:t>
      </w:r>
      <w:r>
        <w:rPr>
          <w:rFonts w:hint="eastAsia" w:ascii="Times New Roman" w:hAnsi="Times New Roman" w:eastAsia="方正仿宋_GBK" w:cs="Times New Roman"/>
          <w:kern w:val="2"/>
          <w:sz w:val="32"/>
          <w:szCs w:val="32"/>
          <w:lang w:val="en-US" w:eastAsia="zh-CN" w:bidi="ar-SA"/>
        </w:rPr>
        <w:t>由投标人编制响应文件并上传到湖南省政府采购电子卖场（https://hunan.zcygov.cn/）</w:t>
      </w:r>
    </w:p>
    <w:p w14:paraId="702E3414">
      <w:pPr>
        <w:pStyle w:val="3"/>
        <w:pageBreakBefore w:val="0"/>
        <w:kinsoku/>
        <w:overflowPunct/>
        <w:topLinePunct w:val="0"/>
        <w:autoSpaceDE/>
        <w:autoSpaceDN/>
        <w:bidi w:val="0"/>
        <w:adjustRightInd w:val="0"/>
        <w:snapToGrid w:val="0"/>
        <w:spacing w:line="579" w:lineRule="exact"/>
        <w:ind w:firstLine="643" w:firstLineChars="200"/>
        <w:jc w:val="left"/>
        <w:textAlignment w:val="auto"/>
        <w:rPr>
          <w:rFonts w:ascii="仿宋" w:hAnsi="仿宋" w:eastAsia="仿宋" w:cs="仿宋"/>
          <w:kern w:val="21"/>
          <w:sz w:val="32"/>
        </w:rPr>
      </w:pPr>
      <w:bookmarkStart w:id="2" w:name="_Toc27740"/>
      <w:r>
        <w:rPr>
          <w:rFonts w:hint="eastAsia" w:ascii="仿宋" w:hAnsi="仿宋" w:eastAsia="仿宋" w:cs="仿宋"/>
          <w:kern w:val="21"/>
          <w:sz w:val="32"/>
          <w:lang w:eastAsia="zh-CN"/>
        </w:rPr>
        <w:t>六</w:t>
      </w:r>
      <w:r>
        <w:rPr>
          <w:rFonts w:hint="eastAsia" w:ascii="仿宋" w:hAnsi="仿宋" w:eastAsia="仿宋" w:cs="仿宋"/>
          <w:kern w:val="21"/>
          <w:sz w:val="32"/>
        </w:rPr>
        <w:t>、服务期限、付款及售后服务</w:t>
      </w:r>
      <w:bookmarkEnd w:id="2"/>
    </w:p>
    <w:p w14:paraId="6062CBDD">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1、项目地点：采购人指定多个地点（衡阳市消防救援各大队、站）。</w:t>
      </w:r>
    </w:p>
    <w:p w14:paraId="195B68F8">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2、服务期限：要求成交供应商在采购结束后5日内进驻现场；在2025年5月30日前必须完成采购需求所要求服务内容并提交全部成果文件。</w:t>
      </w:r>
    </w:p>
    <w:p w14:paraId="42A73C7A">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3、保密要求：成交供应商对在服务的过程中知悉的商业秘密及清查对象提供的资料保密，合同履行期间和合同终止后，除依照法律规定或经采购单位同意外，成交供应商及其工作人员不得将所知悉的商业秘密和清查对象提供的资料向任何第三方提供。</w:t>
      </w:r>
    </w:p>
    <w:p w14:paraId="67CC16C9">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4、验收要求：出具9份大队级年度审计报告，支队清查验收合格。</w:t>
      </w:r>
    </w:p>
    <w:p w14:paraId="7C532196">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5、付款方式：</w:t>
      </w:r>
    </w:p>
    <w:p w14:paraId="6E783997">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5.1本项目双方签订合同，且乙方完成合同的全部工程量且提供整改的服务也完成后，采购人支付合同金额的100%。</w:t>
      </w:r>
    </w:p>
    <w:p w14:paraId="678C4E3F">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5.2成交供应商未在规定时间完成工作任务，每推迟一天完成，扣除结算服务费的2%，以此类推。由于供应商延误扣除结算服务费所造成的一切损失及法律责任将由该供应商自行承担。</w:t>
      </w:r>
    </w:p>
    <w:p w14:paraId="2D6715B4">
      <w:pPr>
        <w:pStyle w:val="3"/>
        <w:pageBreakBefore w:val="0"/>
        <w:kinsoku/>
        <w:overflowPunct/>
        <w:topLinePunct w:val="0"/>
        <w:autoSpaceDE/>
        <w:autoSpaceDN/>
        <w:bidi w:val="0"/>
        <w:adjustRightInd w:val="0"/>
        <w:snapToGrid w:val="0"/>
        <w:spacing w:line="579" w:lineRule="exact"/>
        <w:ind w:firstLine="643" w:firstLineChars="200"/>
        <w:jc w:val="left"/>
        <w:textAlignment w:val="auto"/>
        <w:rPr>
          <w:rFonts w:hint="eastAsia" w:ascii="仿宋" w:hAnsi="仿宋" w:eastAsia="仿宋" w:cs="仿宋"/>
          <w:kern w:val="21"/>
          <w:sz w:val="32"/>
          <w:lang w:eastAsia="zh-CN"/>
        </w:rPr>
      </w:pPr>
      <w:bookmarkStart w:id="3" w:name="_Toc286867883"/>
      <w:bookmarkStart w:id="4" w:name="_Toc14919"/>
      <w:r>
        <w:rPr>
          <w:rFonts w:hint="eastAsia" w:ascii="仿宋" w:hAnsi="仿宋" w:eastAsia="仿宋" w:cs="仿宋"/>
          <w:kern w:val="21"/>
          <w:sz w:val="32"/>
          <w:lang w:eastAsia="zh-CN"/>
        </w:rPr>
        <w:t>七</w:t>
      </w:r>
      <w:r>
        <w:rPr>
          <w:rFonts w:hint="eastAsia" w:ascii="仿宋" w:hAnsi="仿宋" w:eastAsia="仿宋" w:cs="仿宋"/>
          <w:kern w:val="21"/>
          <w:sz w:val="32"/>
        </w:rPr>
        <w:t>、</w:t>
      </w:r>
      <w:r>
        <w:rPr>
          <w:rFonts w:hint="eastAsia" w:ascii="仿宋" w:hAnsi="仿宋" w:eastAsia="仿宋" w:cs="仿宋"/>
          <w:kern w:val="21"/>
          <w:sz w:val="32"/>
          <w:lang w:eastAsia="zh-CN"/>
        </w:rPr>
        <w:t>联系方式</w:t>
      </w:r>
    </w:p>
    <w:p w14:paraId="15B56166">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招标单位：衡阳市消防救援支队</w:t>
      </w:r>
    </w:p>
    <w:p w14:paraId="7D46B282">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联系人：张强</w:t>
      </w:r>
    </w:p>
    <w:p w14:paraId="0C160393">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联系电话：13575288895</w:t>
      </w:r>
    </w:p>
    <w:p w14:paraId="47C43737">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联系地址：衡阳市蒸湘区芙蓉路17号</w:t>
      </w:r>
    </w:p>
    <w:p w14:paraId="5CFBFAE1">
      <w:pPr>
        <w:pStyle w:val="3"/>
        <w:pageBreakBefore w:val="0"/>
        <w:kinsoku/>
        <w:overflowPunct/>
        <w:topLinePunct w:val="0"/>
        <w:autoSpaceDE/>
        <w:autoSpaceDN/>
        <w:bidi w:val="0"/>
        <w:adjustRightInd w:val="0"/>
        <w:snapToGrid w:val="0"/>
        <w:spacing w:line="579" w:lineRule="exact"/>
        <w:ind w:firstLine="643" w:firstLineChars="200"/>
        <w:jc w:val="left"/>
        <w:textAlignment w:val="auto"/>
        <w:rPr>
          <w:rFonts w:ascii="仿宋" w:hAnsi="仿宋" w:eastAsia="仿宋" w:cs="仿宋"/>
          <w:kern w:val="21"/>
          <w:sz w:val="32"/>
        </w:rPr>
      </w:pPr>
      <w:r>
        <w:rPr>
          <w:rFonts w:hint="eastAsia" w:ascii="仿宋" w:hAnsi="仿宋" w:eastAsia="仿宋" w:cs="仿宋"/>
          <w:kern w:val="21"/>
          <w:sz w:val="32"/>
          <w:lang w:eastAsia="zh-CN"/>
        </w:rPr>
        <w:t>八、</w:t>
      </w:r>
      <w:r>
        <w:rPr>
          <w:rFonts w:hint="eastAsia" w:ascii="仿宋" w:hAnsi="仿宋" w:eastAsia="仿宋" w:cs="仿宋"/>
          <w:kern w:val="21"/>
          <w:sz w:val="32"/>
        </w:rPr>
        <w:t>其他要求</w:t>
      </w:r>
      <w:bookmarkEnd w:id="3"/>
      <w:bookmarkEnd w:id="4"/>
    </w:p>
    <w:p w14:paraId="207D6C4F">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1、成交供应商必须客观公正、严格遵守相关法律法规、杜绝违规违纪行为。</w:t>
      </w:r>
    </w:p>
    <w:p w14:paraId="7ACEE314">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2、成交供应商项目全部人员要求职业（执业）道德行为高尚、业务素质优秀、工作责任心强。</w:t>
      </w:r>
    </w:p>
    <w:p w14:paraId="35EA94AC">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3、项目实施所涉及的成果所有权自成交供应商交付时点后，所产生成果的所有权、使用权和著作权全部归属采购人所有，成交供应商不得私留或转让资料（政府相关监管部门除外）。</w:t>
      </w:r>
    </w:p>
    <w:p w14:paraId="2878FEDA">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4、成交供应商提供的任何第三方的、应用于本合同所需的软件（含硬件）等知识产权，具有合法的所有权或使用权，并不会侵犯第三方合法权利，否则产生的后果由成交供应商承担。</w:t>
      </w:r>
    </w:p>
    <w:p w14:paraId="7F78BF83">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5、成交供应商在为采购人提供服务期间发生的安全事故与采购人无关。</w:t>
      </w:r>
    </w:p>
    <w:p w14:paraId="7CEC4AE1">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6、对于上述项目要求，包括供应商自愿承诺提供的增值服务等相关内容，供应商应在响应文件中进行回应，作出承诺及说明。</w:t>
      </w:r>
    </w:p>
    <w:p w14:paraId="6734E1DF">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对于上述项目要求，供应商应在报价文件中进行回应，作出承诺及说明。</w:t>
      </w:r>
    </w:p>
    <w:p w14:paraId="76852431">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p>
    <w:p w14:paraId="400B943B">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p>
    <w:p w14:paraId="786BEFD7">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p>
    <w:p w14:paraId="7CE528B6">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p>
    <w:p w14:paraId="26634A28">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p>
    <w:p w14:paraId="320DA5AE">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p>
    <w:p w14:paraId="27A4EE05">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p>
    <w:p w14:paraId="6D9EB47B">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p>
    <w:p w14:paraId="10DF4FBF">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p>
    <w:p w14:paraId="1A8B7941">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p>
    <w:p w14:paraId="424E4BA0">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p>
    <w:p w14:paraId="39402ED3">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p>
    <w:p w14:paraId="46749A9D">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p>
    <w:p w14:paraId="64B362D8">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p>
    <w:p w14:paraId="6B5F9EA3">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p>
    <w:p w14:paraId="5DB2C3F0">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p>
    <w:p w14:paraId="262B902B">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p>
    <w:p w14:paraId="5EC0C9D5">
      <w:pPr>
        <w:pStyle w:val="15"/>
        <w:keepNext w:val="0"/>
        <w:keepLines w:val="0"/>
        <w:pageBreakBefore w:val="0"/>
        <w:widowControl w:val="0"/>
        <w:kinsoku/>
        <w:wordWrap/>
        <w:overflowPunct/>
        <w:topLinePunct w:val="0"/>
        <w:autoSpaceDE/>
        <w:autoSpaceDN/>
        <w:bidi w:val="0"/>
        <w:adjustRightIn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p>
    <w:p w14:paraId="6D422FC6">
      <w:pPr>
        <w:ind w:firstLine="880" w:firstLineChars="200"/>
        <w:jc w:val="center"/>
        <w:rPr>
          <w:rFonts w:hint="eastAsia" w:ascii="黑体" w:hAnsi="黑体" w:eastAsia="黑体" w:cs="仿宋"/>
          <w:kern w:val="21"/>
          <w:sz w:val="44"/>
          <w:szCs w:val="44"/>
          <w:lang w:val="en-US" w:eastAsia="zh-CN"/>
        </w:rPr>
      </w:pPr>
    </w:p>
    <w:p w14:paraId="63BC9A77">
      <w:pPr>
        <w:ind w:firstLine="880" w:firstLineChars="200"/>
        <w:jc w:val="center"/>
        <w:rPr>
          <w:rFonts w:hint="default" w:eastAsia="黑体"/>
          <w:lang w:val="en-US" w:eastAsia="zh-CN"/>
        </w:rPr>
      </w:pPr>
      <w:r>
        <w:rPr>
          <w:rFonts w:hint="eastAsia" w:ascii="黑体" w:hAnsi="黑体" w:eastAsia="黑体" w:cs="仿宋"/>
          <w:kern w:val="21"/>
          <w:sz w:val="44"/>
          <w:szCs w:val="44"/>
          <w:lang w:val="en-US" w:eastAsia="zh-CN"/>
        </w:rPr>
        <w:t>支</w:t>
      </w:r>
      <w:r>
        <w:rPr>
          <w:rFonts w:hint="eastAsia" w:ascii="黑体" w:hAnsi="黑体" w:eastAsia="黑体" w:cs="仿宋"/>
          <w:kern w:val="21"/>
          <w:sz w:val="44"/>
          <w:szCs w:val="44"/>
          <w:lang w:eastAsia="zh-CN"/>
        </w:rPr>
        <w:t>队</w:t>
      </w:r>
      <w:r>
        <w:rPr>
          <w:rFonts w:hint="eastAsia" w:ascii="黑体" w:hAnsi="黑体" w:eastAsia="黑体" w:cs="仿宋"/>
          <w:kern w:val="21"/>
          <w:sz w:val="44"/>
          <w:szCs w:val="44"/>
        </w:rPr>
        <w:t>委托会计</w:t>
      </w:r>
      <w:r>
        <w:rPr>
          <w:rFonts w:hint="eastAsia" w:ascii="黑体" w:hAnsi="黑体" w:eastAsia="黑体" w:cs="仿宋"/>
          <w:kern w:val="21"/>
          <w:sz w:val="44"/>
          <w:szCs w:val="44"/>
          <w:lang w:eastAsia="zh-CN"/>
        </w:rPr>
        <w:t>师</w:t>
      </w:r>
      <w:r>
        <w:rPr>
          <w:rFonts w:hint="eastAsia" w:ascii="黑体" w:hAnsi="黑体" w:eastAsia="黑体" w:cs="仿宋"/>
          <w:kern w:val="21"/>
          <w:sz w:val="44"/>
          <w:szCs w:val="44"/>
        </w:rPr>
        <w:t>事务所开展审计服务项目</w:t>
      </w:r>
      <w:r>
        <w:rPr>
          <w:rFonts w:hint="eastAsia" w:ascii="黑体" w:hAnsi="黑体" w:eastAsia="黑体" w:cs="仿宋"/>
          <w:kern w:val="21"/>
          <w:sz w:val="44"/>
          <w:szCs w:val="44"/>
          <w:lang w:val="en-US" w:eastAsia="zh-CN"/>
        </w:rPr>
        <w:t>报价清单</w:t>
      </w:r>
    </w:p>
    <w:p w14:paraId="2E34BA0C">
      <w:pPr>
        <w:pStyle w:val="2"/>
        <w:rPr>
          <w:rFonts w:hint="eastAsia"/>
        </w:rPr>
      </w:pPr>
    </w:p>
    <w:p w14:paraId="609F17ED">
      <w:pPr>
        <w:pStyle w:val="15"/>
        <w:jc w:val="right"/>
        <w:rPr>
          <w:rFonts w:hint="eastAsia" w:ascii="仿宋" w:hAnsi="仿宋" w:eastAsia="仿宋" w:cs="仿宋"/>
          <w:sz w:val="28"/>
          <w:szCs w:val="28"/>
          <w:lang w:eastAsia="zh-CN"/>
        </w:rPr>
      </w:pPr>
      <w:r>
        <w:rPr>
          <w:rFonts w:hint="eastAsia" w:ascii="仿宋" w:hAnsi="仿宋" w:eastAsia="仿宋" w:cs="仿宋"/>
          <w:snapToGrid w:val="0"/>
          <w:kern w:val="21"/>
          <w:sz w:val="28"/>
          <w:szCs w:val="28"/>
          <w:lang w:eastAsia="zh-CN"/>
        </w:rPr>
        <w:t>单位：万元</w:t>
      </w:r>
    </w:p>
    <w:tbl>
      <w:tblPr>
        <w:tblStyle w:val="18"/>
        <w:tblW w:w="94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6"/>
        <w:gridCol w:w="1133"/>
        <w:gridCol w:w="1767"/>
        <w:gridCol w:w="2100"/>
        <w:gridCol w:w="1650"/>
        <w:gridCol w:w="1100"/>
        <w:gridCol w:w="950"/>
      </w:tblGrid>
      <w:tr w14:paraId="6E792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Align w:val="center"/>
          </w:tcPr>
          <w:p w14:paraId="3EA1A23B">
            <w:pPr>
              <w:pStyle w:val="15"/>
              <w:jc w:val="center"/>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序号</w:t>
            </w:r>
          </w:p>
        </w:tc>
        <w:tc>
          <w:tcPr>
            <w:tcW w:w="1133" w:type="dxa"/>
            <w:vAlign w:val="center"/>
          </w:tcPr>
          <w:p w14:paraId="263221B5">
            <w:pPr>
              <w:pStyle w:val="15"/>
              <w:jc w:val="center"/>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项目</w:t>
            </w:r>
          </w:p>
          <w:p w14:paraId="588CF250">
            <w:pPr>
              <w:pStyle w:val="15"/>
              <w:jc w:val="center"/>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名称</w:t>
            </w:r>
          </w:p>
        </w:tc>
        <w:tc>
          <w:tcPr>
            <w:tcW w:w="1767" w:type="dxa"/>
            <w:vAlign w:val="center"/>
          </w:tcPr>
          <w:p w14:paraId="066B63C4">
            <w:pPr>
              <w:pStyle w:val="15"/>
              <w:jc w:val="center"/>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单位</w:t>
            </w:r>
          </w:p>
        </w:tc>
        <w:tc>
          <w:tcPr>
            <w:tcW w:w="2100" w:type="dxa"/>
            <w:vAlign w:val="center"/>
          </w:tcPr>
          <w:p w14:paraId="6CFEACF7">
            <w:pPr>
              <w:keepNext w:val="0"/>
              <w:keepLines w:val="0"/>
              <w:widowControl/>
              <w:suppressLineNumbers w:val="0"/>
              <w:jc w:val="center"/>
              <w:textAlignment w:val="center"/>
              <w:rPr>
                <w:rFonts w:hint="eastAsia" w:ascii="仿宋" w:hAnsi="仿宋" w:eastAsia="仿宋" w:cs="仿宋"/>
                <w:kern w:val="2"/>
                <w:sz w:val="28"/>
                <w:szCs w:val="28"/>
                <w:vertAlign w:val="baseline"/>
                <w:lang w:val="en-US" w:eastAsia="zh-CN" w:bidi="ar-SA"/>
              </w:rPr>
            </w:pPr>
            <w:r>
              <w:rPr>
                <w:rFonts w:hint="eastAsia" w:ascii="仿宋" w:hAnsi="仿宋" w:eastAsia="仿宋" w:cs="仿宋"/>
                <w:kern w:val="2"/>
                <w:sz w:val="28"/>
                <w:szCs w:val="28"/>
                <w:vertAlign w:val="baseline"/>
                <w:lang w:val="en-US" w:eastAsia="zh-CN" w:bidi="ar-SA"/>
              </w:rPr>
              <w:t>审计类型</w:t>
            </w:r>
          </w:p>
        </w:tc>
        <w:tc>
          <w:tcPr>
            <w:tcW w:w="1650" w:type="dxa"/>
            <w:vAlign w:val="center"/>
          </w:tcPr>
          <w:p w14:paraId="28EAB4EE">
            <w:pPr>
              <w:pStyle w:val="15"/>
              <w:jc w:val="center"/>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整年度实际开支总金额</w:t>
            </w:r>
          </w:p>
        </w:tc>
        <w:tc>
          <w:tcPr>
            <w:tcW w:w="1100" w:type="dxa"/>
            <w:vAlign w:val="center"/>
          </w:tcPr>
          <w:p w14:paraId="638F0C29">
            <w:pPr>
              <w:pStyle w:val="15"/>
              <w:jc w:val="center"/>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控制价</w:t>
            </w:r>
          </w:p>
        </w:tc>
        <w:tc>
          <w:tcPr>
            <w:tcW w:w="950" w:type="dxa"/>
            <w:vAlign w:val="center"/>
          </w:tcPr>
          <w:p w14:paraId="6D575619">
            <w:pPr>
              <w:pStyle w:val="15"/>
              <w:jc w:val="center"/>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报价</w:t>
            </w:r>
          </w:p>
        </w:tc>
      </w:tr>
      <w:tr w14:paraId="05432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restart"/>
            <w:vAlign w:val="center"/>
          </w:tcPr>
          <w:p w14:paraId="6E5D7ECE">
            <w:pPr>
              <w:pStyle w:val="15"/>
              <w:jc w:val="center"/>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1</w:t>
            </w:r>
          </w:p>
        </w:tc>
        <w:tc>
          <w:tcPr>
            <w:tcW w:w="1133" w:type="dxa"/>
            <w:vMerge w:val="restart"/>
            <w:vAlign w:val="center"/>
          </w:tcPr>
          <w:p w14:paraId="7F0768A0">
            <w:pPr>
              <w:pStyle w:val="15"/>
              <w:jc w:val="center"/>
              <w:rPr>
                <w:rFonts w:hint="eastAsia" w:ascii="仿宋" w:hAnsi="仿宋" w:eastAsia="仿宋" w:cs="仿宋"/>
                <w:sz w:val="28"/>
                <w:szCs w:val="28"/>
                <w:vertAlign w:val="baseline"/>
              </w:rPr>
            </w:pPr>
            <w:r>
              <w:rPr>
                <w:rFonts w:hint="eastAsia" w:ascii="仿宋" w:hAnsi="仿宋" w:eastAsia="仿宋" w:cs="仿宋"/>
                <w:kern w:val="2"/>
                <w:sz w:val="28"/>
                <w:szCs w:val="28"/>
                <w:lang w:val="en-US" w:eastAsia="zh-CN" w:bidi="ar-SA"/>
              </w:rPr>
              <w:t>2023年度审计服务费</w:t>
            </w:r>
          </w:p>
        </w:tc>
        <w:tc>
          <w:tcPr>
            <w:tcW w:w="1767" w:type="dxa"/>
            <w:vAlign w:val="center"/>
          </w:tcPr>
          <w:p w14:paraId="3B90E20F">
            <w:pPr>
              <w:pStyle w:val="15"/>
              <w:jc w:val="center"/>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衡阳县大队</w:t>
            </w:r>
          </w:p>
        </w:tc>
        <w:tc>
          <w:tcPr>
            <w:tcW w:w="2100" w:type="dxa"/>
            <w:vAlign w:val="center"/>
          </w:tcPr>
          <w:p w14:paraId="18909D76">
            <w:pPr>
              <w:keepNext w:val="0"/>
              <w:keepLines w:val="0"/>
              <w:widowControl/>
              <w:suppressLineNumbers w:val="0"/>
              <w:jc w:val="center"/>
              <w:textAlignment w:val="center"/>
              <w:rPr>
                <w:rFonts w:hint="eastAsia" w:ascii="仿宋" w:hAnsi="仿宋" w:eastAsia="仿宋" w:cs="仿宋"/>
                <w:kern w:val="2"/>
                <w:sz w:val="28"/>
                <w:szCs w:val="28"/>
                <w:vertAlign w:val="baseline"/>
                <w:lang w:val="en-US" w:eastAsia="zh-CN" w:bidi="ar-SA"/>
              </w:rPr>
            </w:pPr>
            <w:r>
              <w:rPr>
                <w:rFonts w:hint="eastAsia" w:ascii="仿宋" w:hAnsi="仿宋" w:eastAsia="仿宋" w:cs="仿宋"/>
                <w:kern w:val="2"/>
                <w:sz w:val="28"/>
                <w:szCs w:val="28"/>
                <w:vertAlign w:val="baseline"/>
                <w:lang w:val="en-US" w:eastAsia="zh-CN" w:bidi="ar-SA"/>
              </w:rPr>
              <w:t>经济责任审计</w:t>
            </w:r>
          </w:p>
        </w:tc>
        <w:tc>
          <w:tcPr>
            <w:tcW w:w="1650" w:type="dxa"/>
            <w:vAlign w:val="center"/>
          </w:tcPr>
          <w:p w14:paraId="06C1501C">
            <w:pPr>
              <w:keepNext w:val="0"/>
              <w:keepLines w:val="0"/>
              <w:widowControl/>
              <w:suppressLineNumbers w:val="0"/>
              <w:jc w:val="center"/>
              <w:textAlignment w:val="center"/>
              <w:rPr>
                <w:rFonts w:hint="eastAsia" w:ascii="仿宋" w:hAnsi="仿宋" w:eastAsia="仿宋" w:cs="仿宋"/>
                <w:sz w:val="28"/>
                <w:szCs w:val="28"/>
                <w:vertAlign w:val="baseline"/>
              </w:rPr>
            </w:pPr>
            <w:r>
              <w:rPr>
                <w:rFonts w:hint="eastAsia" w:ascii="仿宋" w:hAnsi="仿宋" w:eastAsia="仿宋" w:cs="仿宋"/>
                <w:i w:val="0"/>
                <w:color w:val="000000"/>
                <w:kern w:val="0"/>
                <w:sz w:val="28"/>
                <w:szCs w:val="28"/>
                <w:u w:val="none"/>
                <w:lang w:val="en-US" w:eastAsia="zh-CN" w:bidi="ar"/>
              </w:rPr>
              <w:t>742.63</w:t>
            </w:r>
          </w:p>
        </w:tc>
        <w:tc>
          <w:tcPr>
            <w:tcW w:w="1100" w:type="dxa"/>
            <w:vMerge w:val="restart"/>
            <w:vAlign w:val="center"/>
          </w:tcPr>
          <w:p w14:paraId="33093AFE">
            <w:pPr>
              <w:pStyle w:val="15"/>
              <w:jc w:val="center"/>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4.49</w:t>
            </w:r>
          </w:p>
        </w:tc>
        <w:tc>
          <w:tcPr>
            <w:tcW w:w="950" w:type="dxa"/>
            <w:vMerge w:val="restart"/>
            <w:vAlign w:val="center"/>
          </w:tcPr>
          <w:p w14:paraId="5EF1B48F">
            <w:pPr>
              <w:pStyle w:val="15"/>
              <w:jc w:val="center"/>
              <w:rPr>
                <w:rFonts w:hint="eastAsia" w:ascii="仿宋" w:hAnsi="仿宋" w:eastAsia="仿宋" w:cs="仿宋"/>
                <w:sz w:val="28"/>
                <w:szCs w:val="28"/>
                <w:vertAlign w:val="baseline"/>
              </w:rPr>
            </w:pPr>
          </w:p>
        </w:tc>
      </w:tr>
      <w:tr w14:paraId="1BBC7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vAlign w:val="center"/>
          </w:tcPr>
          <w:p w14:paraId="74707A7B">
            <w:pPr>
              <w:pStyle w:val="15"/>
              <w:jc w:val="center"/>
              <w:rPr>
                <w:rFonts w:hint="eastAsia" w:ascii="仿宋" w:hAnsi="仿宋" w:eastAsia="仿宋" w:cs="仿宋"/>
                <w:sz w:val="28"/>
                <w:szCs w:val="28"/>
                <w:vertAlign w:val="baseline"/>
              </w:rPr>
            </w:pPr>
          </w:p>
        </w:tc>
        <w:tc>
          <w:tcPr>
            <w:tcW w:w="1133" w:type="dxa"/>
            <w:vMerge w:val="continue"/>
            <w:vAlign w:val="center"/>
          </w:tcPr>
          <w:p w14:paraId="5B036713">
            <w:pPr>
              <w:pStyle w:val="15"/>
              <w:jc w:val="center"/>
              <w:rPr>
                <w:rFonts w:hint="eastAsia" w:ascii="仿宋" w:hAnsi="仿宋" w:eastAsia="仿宋" w:cs="仿宋"/>
                <w:sz w:val="28"/>
                <w:szCs w:val="28"/>
                <w:vertAlign w:val="baseline"/>
              </w:rPr>
            </w:pPr>
          </w:p>
        </w:tc>
        <w:tc>
          <w:tcPr>
            <w:tcW w:w="1767" w:type="dxa"/>
            <w:vAlign w:val="center"/>
          </w:tcPr>
          <w:p w14:paraId="0D49716F">
            <w:pPr>
              <w:pStyle w:val="15"/>
              <w:jc w:val="center"/>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衡东县大队</w:t>
            </w:r>
          </w:p>
        </w:tc>
        <w:tc>
          <w:tcPr>
            <w:tcW w:w="2100" w:type="dxa"/>
            <w:vAlign w:val="center"/>
          </w:tcPr>
          <w:p w14:paraId="0E364235">
            <w:pPr>
              <w:keepNext w:val="0"/>
              <w:keepLines w:val="0"/>
              <w:widowControl/>
              <w:suppressLineNumbers w:val="0"/>
              <w:jc w:val="center"/>
              <w:textAlignment w:val="center"/>
              <w:rPr>
                <w:rFonts w:hint="eastAsia" w:ascii="仿宋" w:hAnsi="仿宋" w:eastAsia="仿宋" w:cs="仿宋"/>
                <w:kern w:val="2"/>
                <w:sz w:val="28"/>
                <w:szCs w:val="28"/>
                <w:vertAlign w:val="baseline"/>
                <w:lang w:val="en-US" w:eastAsia="zh-CN" w:bidi="ar-SA"/>
              </w:rPr>
            </w:pPr>
            <w:r>
              <w:rPr>
                <w:rFonts w:hint="eastAsia" w:ascii="仿宋" w:hAnsi="仿宋" w:eastAsia="仿宋" w:cs="仿宋"/>
                <w:kern w:val="2"/>
                <w:sz w:val="28"/>
                <w:szCs w:val="28"/>
                <w:vertAlign w:val="baseline"/>
                <w:lang w:val="en-US" w:eastAsia="zh-CN" w:bidi="ar-SA"/>
              </w:rPr>
              <w:t>经济责任审计</w:t>
            </w:r>
          </w:p>
        </w:tc>
        <w:tc>
          <w:tcPr>
            <w:tcW w:w="1650" w:type="dxa"/>
            <w:vAlign w:val="center"/>
          </w:tcPr>
          <w:p w14:paraId="6A1E57F4">
            <w:pPr>
              <w:keepNext w:val="0"/>
              <w:keepLines w:val="0"/>
              <w:widowControl/>
              <w:suppressLineNumbers w:val="0"/>
              <w:jc w:val="center"/>
              <w:textAlignment w:val="center"/>
              <w:rPr>
                <w:rFonts w:hint="eastAsia" w:ascii="仿宋" w:hAnsi="仿宋" w:eastAsia="仿宋" w:cs="仿宋"/>
                <w:sz w:val="28"/>
                <w:szCs w:val="28"/>
                <w:vertAlign w:val="baseline"/>
              </w:rPr>
            </w:pPr>
            <w:r>
              <w:rPr>
                <w:rFonts w:hint="eastAsia" w:ascii="仿宋" w:hAnsi="仿宋" w:eastAsia="仿宋" w:cs="仿宋"/>
                <w:i w:val="0"/>
                <w:color w:val="000000"/>
                <w:kern w:val="0"/>
                <w:sz w:val="28"/>
                <w:szCs w:val="28"/>
                <w:u w:val="none"/>
                <w:lang w:val="en-US" w:eastAsia="zh-CN" w:bidi="ar"/>
              </w:rPr>
              <w:t>859.95</w:t>
            </w:r>
          </w:p>
        </w:tc>
        <w:tc>
          <w:tcPr>
            <w:tcW w:w="1100" w:type="dxa"/>
            <w:vMerge w:val="continue"/>
            <w:vAlign w:val="center"/>
          </w:tcPr>
          <w:p w14:paraId="4C4F0754">
            <w:pPr>
              <w:pStyle w:val="15"/>
              <w:jc w:val="center"/>
              <w:rPr>
                <w:rFonts w:hint="eastAsia" w:ascii="仿宋" w:hAnsi="仿宋" w:eastAsia="仿宋" w:cs="仿宋"/>
                <w:sz w:val="28"/>
                <w:szCs w:val="28"/>
                <w:vertAlign w:val="baseline"/>
              </w:rPr>
            </w:pPr>
          </w:p>
        </w:tc>
        <w:tc>
          <w:tcPr>
            <w:tcW w:w="950" w:type="dxa"/>
            <w:vMerge w:val="continue"/>
            <w:vAlign w:val="center"/>
          </w:tcPr>
          <w:p w14:paraId="71526EFA">
            <w:pPr>
              <w:pStyle w:val="15"/>
              <w:jc w:val="center"/>
              <w:rPr>
                <w:rFonts w:hint="eastAsia" w:ascii="仿宋" w:hAnsi="仿宋" w:eastAsia="仿宋" w:cs="仿宋"/>
                <w:sz w:val="28"/>
                <w:szCs w:val="28"/>
                <w:vertAlign w:val="baseline"/>
              </w:rPr>
            </w:pPr>
          </w:p>
        </w:tc>
      </w:tr>
      <w:tr w14:paraId="073D3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vAlign w:val="center"/>
          </w:tcPr>
          <w:p w14:paraId="7CC78910">
            <w:pPr>
              <w:pStyle w:val="15"/>
              <w:jc w:val="center"/>
              <w:rPr>
                <w:rFonts w:hint="eastAsia" w:ascii="仿宋" w:hAnsi="仿宋" w:eastAsia="仿宋" w:cs="仿宋"/>
                <w:sz w:val="28"/>
                <w:szCs w:val="28"/>
                <w:vertAlign w:val="baseline"/>
              </w:rPr>
            </w:pPr>
          </w:p>
        </w:tc>
        <w:tc>
          <w:tcPr>
            <w:tcW w:w="1133" w:type="dxa"/>
            <w:vMerge w:val="continue"/>
            <w:vAlign w:val="center"/>
          </w:tcPr>
          <w:p w14:paraId="744C8824">
            <w:pPr>
              <w:pStyle w:val="15"/>
              <w:jc w:val="center"/>
              <w:rPr>
                <w:rFonts w:hint="eastAsia" w:ascii="仿宋" w:hAnsi="仿宋" w:eastAsia="仿宋" w:cs="仿宋"/>
                <w:sz w:val="28"/>
                <w:szCs w:val="28"/>
                <w:vertAlign w:val="baseline"/>
              </w:rPr>
            </w:pPr>
          </w:p>
        </w:tc>
        <w:tc>
          <w:tcPr>
            <w:tcW w:w="1767" w:type="dxa"/>
            <w:vAlign w:val="center"/>
          </w:tcPr>
          <w:p w14:paraId="150D463F">
            <w:pPr>
              <w:pStyle w:val="15"/>
              <w:jc w:val="center"/>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珠晖区大队</w:t>
            </w:r>
          </w:p>
        </w:tc>
        <w:tc>
          <w:tcPr>
            <w:tcW w:w="2100" w:type="dxa"/>
            <w:vAlign w:val="center"/>
          </w:tcPr>
          <w:p w14:paraId="71F5A2C7">
            <w:pPr>
              <w:keepNext w:val="0"/>
              <w:keepLines w:val="0"/>
              <w:widowControl/>
              <w:suppressLineNumbers w:val="0"/>
              <w:jc w:val="center"/>
              <w:textAlignment w:val="center"/>
              <w:rPr>
                <w:rFonts w:hint="eastAsia" w:ascii="仿宋" w:hAnsi="仿宋" w:eastAsia="仿宋" w:cs="仿宋"/>
                <w:kern w:val="2"/>
                <w:sz w:val="28"/>
                <w:szCs w:val="28"/>
                <w:vertAlign w:val="baseline"/>
                <w:lang w:val="en-US" w:eastAsia="zh-CN" w:bidi="ar-SA"/>
              </w:rPr>
            </w:pPr>
            <w:r>
              <w:rPr>
                <w:rFonts w:hint="eastAsia" w:ascii="仿宋" w:hAnsi="仿宋" w:eastAsia="仿宋" w:cs="仿宋"/>
                <w:kern w:val="2"/>
                <w:sz w:val="28"/>
                <w:szCs w:val="28"/>
                <w:vertAlign w:val="baseline"/>
                <w:lang w:val="en-US" w:eastAsia="zh-CN" w:bidi="ar-SA"/>
              </w:rPr>
              <w:t>经济责任审计</w:t>
            </w:r>
          </w:p>
        </w:tc>
        <w:tc>
          <w:tcPr>
            <w:tcW w:w="1650" w:type="dxa"/>
            <w:vAlign w:val="center"/>
          </w:tcPr>
          <w:p w14:paraId="159C24BB">
            <w:pPr>
              <w:keepNext w:val="0"/>
              <w:keepLines w:val="0"/>
              <w:widowControl/>
              <w:suppressLineNumbers w:val="0"/>
              <w:jc w:val="center"/>
              <w:textAlignment w:val="center"/>
              <w:rPr>
                <w:rFonts w:hint="eastAsia" w:ascii="仿宋" w:hAnsi="仿宋" w:eastAsia="仿宋" w:cs="仿宋"/>
                <w:sz w:val="28"/>
                <w:szCs w:val="28"/>
                <w:vertAlign w:val="baseline"/>
              </w:rPr>
            </w:pPr>
            <w:r>
              <w:rPr>
                <w:rFonts w:hint="eastAsia" w:ascii="仿宋" w:hAnsi="仿宋" w:eastAsia="仿宋" w:cs="仿宋"/>
                <w:i w:val="0"/>
                <w:color w:val="000000"/>
                <w:kern w:val="0"/>
                <w:sz w:val="28"/>
                <w:szCs w:val="28"/>
                <w:u w:val="none"/>
                <w:lang w:val="en-US" w:eastAsia="zh-CN" w:bidi="ar"/>
              </w:rPr>
              <w:t>1090.41</w:t>
            </w:r>
          </w:p>
        </w:tc>
        <w:tc>
          <w:tcPr>
            <w:tcW w:w="1100" w:type="dxa"/>
            <w:vMerge w:val="continue"/>
            <w:vAlign w:val="center"/>
          </w:tcPr>
          <w:p w14:paraId="0B9A82AA">
            <w:pPr>
              <w:pStyle w:val="15"/>
              <w:jc w:val="center"/>
              <w:rPr>
                <w:rFonts w:hint="eastAsia" w:ascii="仿宋" w:hAnsi="仿宋" w:eastAsia="仿宋" w:cs="仿宋"/>
                <w:sz w:val="28"/>
                <w:szCs w:val="28"/>
                <w:vertAlign w:val="baseline"/>
              </w:rPr>
            </w:pPr>
          </w:p>
        </w:tc>
        <w:tc>
          <w:tcPr>
            <w:tcW w:w="950" w:type="dxa"/>
            <w:vMerge w:val="continue"/>
            <w:vAlign w:val="center"/>
          </w:tcPr>
          <w:p w14:paraId="3A710BA7">
            <w:pPr>
              <w:pStyle w:val="15"/>
              <w:jc w:val="center"/>
              <w:rPr>
                <w:rFonts w:hint="eastAsia" w:ascii="仿宋" w:hAnsi="仿宋" w:eastAsia="仿宋" w:cs="仿宋"/>
                <w:sz w:val="28"/>
                <w:szCs w:val="28"/>
                <w:vertAlign w:val="baseline"/>
              </w:rPr>
            </w:pPr>
          </w:p>
        </w:tc>
      </w:tr>
      <w:tr w14:paraId="6641C1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vAlign w:val="center"/>
          </w:tcPr>
          <w:p w14:paraId="48FBB5AC">
            <w:pPr>
              <w:pStyle w:val="15"/>
              <w:jc w:val="center"/>
              <w:rPr>
                <w:rFonts w:hint="eastAsia" w:ascii="仿宋" w:hAnsi="仿宋" w:eastAsia="仿宋" w:cs="仿宋"/>
                <w:sz w:val="28"/>
                <w:szCs w:val="28"/>
                <w:vertAlign w:val="baseline"/>
              </w:rPr>
            </w:pPr>
          </w:p>
        </w:tc>
        <w:tc>
          <w:tcPr>
            <w:tcW w:w="1133" w:type="dxa"/>
            <w:vMerge w:val="continue"/>
            <w:vAlign w:val="center"/>
          </w:tcPr>
          <w:p w14:paraId="0960C635">
            <w:pPr>
              <w:pStyle w:val="15"/>
              <w:jc w:val="center"/>
              <w:rPr>
                <w:rFonts w:hint="eastAsia" w:ascii="仿宋" w:hAnsi="仿宋" w:eastAsia="仿宋" w:cs="仿宋"/>
                <w:sz w:val="28"/>
                <w:szCs w:val="28"/>
                <w:vertAlign w:val="baseline"/>
              </w:rPr>
            </w:pPr>
          </w:p>
        </w:tc>
        <w:tc>
          <w:tcPr>
            <w:tcW w:w="1767" w:type="dxa"/>
            <w:vAlign w:val="center"/>
          </w:tcPr>
          <w:p w14:paraId="57DBB41B">
            <w:pPr>
              <w:pStyle w:val="15"/>
              <w:jc w:val="center"/>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祁东县大队</w:t>
            </w:r>
          </w:p>
        </w:tc>
        <w:tc>
          <w:tcPr>
            <w:tcW w:w="2100" w:type="dxa"/>
            <w:vAlign w:val="center"/>
          </w:tcPr>
          <w:p w14:paraId="614E637A">
            <w:pPr>
              <w:keepNext w:val="0"/>
              <w:keepLines w:val="0"/>
              <w:widowControl/>
              <w:suppressLineNumbers w:val="0"/>
              <w:jc w:val="center"/>
              <w:textAlignment w:val="center"/>
              <w:rPr>
                <w:rFonts w:hint="eastAsia" w:ascii="仿宋" w:hAnsi="仿宋" w:eastAsia="仿宋" w:cs="仿宋"/>
                <w:kern w:val="2"/>
                <w:sz w:val="28"/>
                <w:szCs w:val="28"/>
                <w:vertAlign w:val="baseline"/>
                <w:lang w:val="en-US" w:eastAsia="zh-CN" w:bidi="ar-SA"/>
              </w:rPr>
            </w:pPr>
            <w:r>
              <w:rPr>
                <w:rFonts w:hint="eastAsia" w:ascii="仿宋" w:hAnsi="仿宋" w:eastAsia="仿宋" w:cs="仿宋"/>
                <w:kern w:val="2"/>
                <w:sz w:val="28"/>
                <w:szCs w:val="28"/>
                <w:vertAlign w:val="baseline"/>
                <w:lang w:val="en-US" w:eastAsia="zh-CN" w:bidi="ar-SA"/>
              </w:rPr>
              <w:t>经济责任审计</w:t>
            </w:r>
          </w:p>
        </w:tc>
        <w:tc>
          <w:tcPr>
            <w:tcW w:w="1650" w:type="dxa"/>
            <w:vAlign w:val="center"/>
          </w:tcPr>
          <w:p w14:paraId="5B9630EF">
            <w:pPr>
              <w:keepNext w:val="0"/>
              <w:keepLines w:val="0"/>
              <w:widowControl/>
              <w:suppressLineNumbers w:val="0"/>
              <w:jc w:val="center"/>
              <w:textAlignment w:val="center"/>
              <w:rPr>
                <w:rFonts w:hint="eastAsia" w:ascii="仿宋" w:hAnsi="仿宋" w:eastAsia="仿宋" w:cs="仿宋"/>
                <w:sz w:val="28"/>
                <w:szCs w:val="28"/>
                <w:vertAlign w:val="baseline"/>
              </w:rPr>
            </w:pPr>
            <w:r>
              <w:rPr>
                <w:rFonts w:hint="eastAsia" w:ascii="仿宋" w:hAnsi="仿宋" w:eastAsia="仿宋" w:cs="仿宋"/>
                <w:i w:val="0"/>
                <w:color w:val="000000"/>
                <w:kern w:val="0"/>
                <w:sz w:val="28"/>
                <w:szCs w:val="28"/>
                <w:u w:val="none"/>
                <w:lang w:val="en-US" w:eastAsia="zh-CN" w:bidi="ar"/>
              </w:rPr>
              <w:t>940.84</w:t>
            </w:r>
          </w:p>
        </w:tc>
        <w:tc>
          <w:tcPr>
            <w:tcW w:w="1100" w:type="dxa"/>
            <w:vMerge w:val="continue"/>
            <w:vAlign w:val="center"/>
          </w:tcPr>
          <w:p w14:paraId="7164836D">
            <w:pPr>
              <w:pStyle w:val="15"/>
              <w:jc w:val="center"/>
              <w:rPr>
                <w:rFonts w:hint="eastAsia" w:ascii="仿宋" w:hAnsi="仿宋" w:eastAsia="仿宋" w:cs="仿宋"/>
                <w:sz w:val="28"/>
                <w:szCs w:val="28"/>
                <w:vertAlign w:val="baseline"/>
              </w:rPr>
            </w:pPr>
          </w:p>
        </w:tc>
        <w:tc>
          <w:tcPr>
            <w:tcW w:w="950" w:type="dxa"/>
            <w:vMerge w:val="continue"/>
            <w:vAlign w:val="center"/>
          </w:tcPr>
          <w:p w14:paraId="105C65E1">
            <w:pPr>
              <w:pStyle w:val="15"/>
              <w:jc w:val="center"/>
              <w:rPr>
                <w:rFonts w:hint="eastAsia" w:ascii="仿宋" w:hAnsi="仿宋" w:eastAsia="仿宋" w:cs="仿宋"/>
                <w:sz w:val="28"/>
                <w:szCs w:val="28"/>
                <w:vertAlign w:val="baseline"/>
              </w:rPr>
            </w:pPr>
          </w:p>
        </w:tc>
      </w:tr>
      <w:tr w14:paraId="7B819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vAlign w:val="center"/>
          </w:tcPr>
          <w:p w14:paraId="54B34DED">
            <w:pPr>
              <w:pStyle w:val="15"/>
              <w:jc w:val="center"/>
              <w:rPr>
                <w:rFonts w:hint="eastAsia" w:ascii="仿宋" w:hAnsi="仿宋" w:eastAsia="仿宋" w:cs="仿宋"/>
                <w:sz w:val="28"/>
                <w:szCs w:val="28"/>
                <w:vertAlign w:val="baseline"/>
              </w:rPr>
            </w:pPr>
          </w:p>
        </w:tc>
        <w:tc>
          <w:tcPr>
            <w:tcW w:w="1133" w:type="dxa"/>
            <w:vMerge w:val="continue"/>
            <w:vAlign w:val="center"/>
          </w:tcPr>
          <w:p w14:paraId="1C6AE3DE">
            <w:pPr>
              <w:pStyle w:val="15"/>
              <w:jc w:val="center"/>
              <w:rPr>
                <w:rFonts w:hint="eastAsia" w:ascii="仿宋" w:hAnsi="仿宋" w:eastAsia="仿宋" w:cs="仿宋"/>
                <w:sz w:val="28"/>
                <w:szCs w:val="28"/>
                <w:vertAlign w:val="baseline"/>
              </w:rPr>
            </w:pPr>
          </w:p>
        </w:tc>
        <w:tc>
          <w:tcPr>
            <w:tcW w:w="1767" w:type="dxa"/>
            <w:vAlign w:val="center"/>
          </w:tcPr>
          <w:p w14:paraId="58CBEFCE">
            <w:pPr>
              <w:pStyle w:val="15"/>
              <w:jc w:val="center"/>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衡南县大队</w:t>
            </w:r>
          </w:p>
        </w:tc>
        <w:tc>
          <w:tcPr>
            <w:tcW w:w="2100" w:type="dxa"/>
            <w:vAlign w:val="center"/>
          </w:tcPr>
          <w:p w14:paraId="202F30B8">
            <w:pPr>
              <w:keepNext w:val="0"/>
              <w:keepLines w:val="0"/>
              <w:widowControl/>
              <w:suppressLineNumbers w:val="0"/>
              <w:jc w:val="center"/>
              <w:textAlignment w:val="center"/>
              <w:rPr>
                <w:rFonts w:hint="eastAsia" w:ascii="仿宋" w:hAnsi="仿宋" w:eastAsia="仿宋" w:cs="仿宋"/>
                <w:kern w:val="2"/>
                <w:sz w:val="28"/>
                <w:szCs w:val="28"/>
                <w:vertAlign w:val="baseline"/>
                <w:lang w:val="en-US" w:eastAsia="zh-CN" w:bidi="ar-SA"/>
              </w:rPr>
            </w:pPr>
            <w:r>
              <w:rPr>
                <w:rFonts w:hint="eastAsia" w:ascii="仿宋" w:hAnsi="仿宋" w:eastAsia="仿宋" w:cs="仿宋"/>
                <w:kern w:val="2"/>
                <w:sz w:val="28"/>
                <w:szCs w:val="28"/>
                <w:vertAlign w:val="baseline"/>
                <w:lang w:val="en-US" w:eastAsia="zh-CN" w:bidi="ar-SA"/>
              </w:rPr>
              <w:t>经济责任审计</w:t>
            </w:r>
          </w:p>
        </w:tc>
        <w:tc>
          <w:tcPr>
            <w:tcW w:w="1650" w:type="dxa"/>
            <w:vAlign w:val="center"/>
          </w:tcPr>
          <w:p w14:paraId="1F5E490F">
            <w:pPr>
              <w:keepNext w:val="0"/>
              <w:keepLines w:val="0"/>
              <w:widowControl/>
              <w:suppressLineNumbers w:val="0"/>
              <w:jc w:val="center"/>
              <w:textAlignment w:val="center"/>
              <w:rPr>
                <w:rFonts w:hint="eastAsia" w:ascii="仿宋" w:hAnsi="仿宋" w:eastAsia="仿宋" w:cs="仿宋"/>
                <w:sz w:val="28"/>
                <w:szCs w:val="28"/>
                <w:vertAlign w:val="baseline"/>
              </w:rPr>
            </w:pPr>
            <w:r>
              <w:rPr>
                <w:rFonts w:hint="eastAsia" w:ascii="仿宋" w:hAnsi="仿宋" w:eastAsia="仿宋" w:cs="仿宋"/>
                <w:i w:val="0"/>
                <w:color w:val="000000"/>
                <w:kern w:val="0"/>
                <w:sz w:val="28"/>
                <w:szCs w:val="28"/>
                <w:u w:val="none"/>
                <w:lang w:val="en-US" w:eastAsia="zh-CN" w:bidi="ar"/>
              </w:rPr>
              <w:t>1089.27</w:t>
            </w:r>
          </w:p>
        </w:tc>
        <w:tc>
          <w:tcPr>
            <w:tcW w:w="1100" w:type="dxa"/>
            <w:vMerge w:val="continue"/>
            <w:vAlign w:val="center"/>
          </w:tcPr>
          <w:p w14:paraId="28B2A7F0">
            <w:pPr>
              <w:pStyle w:val="15"/>
              <w:jc w:val="center"/>
              <w:rPr>
                <w:rFonts w:hint="eastAsia" w:ascii="仿宋" w:hAnsi="仿宋" w:eastAsia="仿宋" w:cs="仿宋"/>
                <w:sz w:val="28"/>
                <w:szCs w:val="28"/>
                <w:vertAlign w:val="baseline"/>
              </w:rPr>
            </w:pPr>
          </w:p>
        </w:tc>
        <w:tc>
          <w:tcPr>
            <w:tcW w:w="950" w:type="dxa"/>
            <w:vMerge w:val="continue"/>
            <w:vAlign w:val="center"/>
          </w:tcPr>
          <w:p w14:paraId="0DBD1695">
            <w:pPr>
              <w:pStyle w:val="15"/>
              <w:jc w:val="center"/>
              <w:rPr>
                <w:rFonts w:hint="eastAsia" w:ascii="仿宋" w:hAnsi="仿宋" w:eastAsia="仿宋" w:cs="仿宋"/>
                <w:sz w:val="28"/>
                <w:szCs w:val="28"/>
                <w:vertAlign w:val="baseline"/>
              </w:rPr>
            </w:pPr>
          </w:p>
        </w:tc>
      </w:tr>
      <w:tr w14:paraId="72F2D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restart"/>
            <w:vAlign w:val="center"/>
          </w:tcPr>
          <w:p w14:paraId="64965659">
            <w:pPr>
              <w:pStyle w:val="15"/>
              <w:jc w:val="center"/>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2</w:t>
            </w:r>
          </w:p>
        </w:tc>
        <w:tc>
          <w:tcPr>
            <w:tcW w:w="1133" w:type="dxa"/>
            <w:vMerge w:val="restart"/>
            <w:vAlign w:val="center"/>
          </w:tcPr>
          <w:p w14:paraId="10FED8D2">
            <w:pPr>
              <w:pStyle w:val="15"/>
              <w:jc w:val="center"/>
              <w:rPr>
                <w:rFonts w:hint="eastAsia" w:ascii="仿宋" w:hAnsi="仿宋" w:eastAsia="仿宋" w:cs="仿宋"/>
                <w:sz w:val="28"/>
                <w:szCs w:val="28"/>
              </w:rPr>
            </w:pPr>
          </w:p>
          <w:p w14:paraId="317D853C">
            <w:pPr>
              <w:bidi w:val="0"/>
              <w:jc w:val="center"/>
              <w:rPr>
                <w:rFonts w:hint="eastAsia" w:ascii="仿宋" w:hAnsi="仿宋" w:eastAsia="仿宋" w:cs="仿宋"/>
                <w:sz w:val="28"/>
                <w:szCs w:val="28"/>
              </w:rPr>
            </w:pPr>
          </w:p>
          <w:p w14:paraId="5849D1B3">
            <w:pPr>
              <w:bidi w:val="0"/>
              <w:jc w:val="center"/>
              <w:rPr>
                <w:rFonts w:hint="eastAsia" w:ascii="仿宋" w:hAnsi="仿宋" w:eastAsia="仿宋" w:cs="仿宋"/>
                <w:sz w:val="28"/>
                <w:szCs w:val="28"/>
              </w:rPr>
            </w:pPr>
          </w:p>
          <w:p w14:paraId="0E456453">
            <w:pPr>
              <w:bidi w:val="0"/>
              <w:jc w:val="center"/>
              <w:rPr>
                <w:rFonts w:hint="eastAsia" w:ascii="仿宋" w:hAnsi="仿宋" w:eastAsia="仿宋" w:cs="仿宋"/>
                <w:sz w:val="28"/>
                <w:szCs w:val="28"/>
              </w:rPr>
            </w:pPr>
            <w:r>
              <w:rPr>
                <w:rFonts w:hint="eastAsia" w:ascii="仿宋" w:hAnsi="仿宋" w:eastAsia="仿宋" w:cs="仿宋"/>
                <w:sz w:val="28"/>
                <w:szCs w:val="28"/>
              </w:rPr>
              <w:t>2024年度审计服务费</w:t>
            </w:r>
          </w:p>
        </w:tc>
        <w:tc>
          <w:tcPr>
            <w:tcW w:w="1767" w:type="dxa"/>
            <w:vAlign w:val="center"/>
          </w:tcPr>
          <w:p w14:paraId="46592308">
            <w:pPr>
              <w:pStyle w:val="15"/>
              <w:jc w:val="center"/>
              <w:rPr>
                <w:rFonts w:hint="eastAsia" w:ascii="仿宋" w:hAnsi="仿宋" w:eastAsia="仿宋" w:cs="仿宋"/>
                <w:kern w:val="2"/>
                <w:sz w:val="28"/>
                <w:szCs w:val="28"/>
                <w:vertAlign w:val="baseline"/>
                <w:lang w:val="en-US" w:eastAsia="zh-CN" w:bidi="ar-SA"/>
              </w:rPr>
            </w:pPr>
            <w:r>
              <w:rPr>
                <w:rFonts w:hint="eastAsia" w:ascii="仿宋" w:hAnsi="仿宋" w:eastAsia="仿宋" w:cs="仿宋"/>
                <w:sz w:val="28"/>
                <w:szCs w:val="28"/>
                <w:vertAlign w:val="baseline"/>
                <w:lang w:eastAsia="zh-CN"/>
              </w:rPr>
              <w:t>衡阳县大队</w:t>
            </w:r>
          </w:p>
        </w:tc>
        <w:tc>
          <w:tcPr>
            <w:tcW w:w="2100" w:type="dxa"/>
            <w:vAlign w:val="center"/>
          </w:tcPr>
          <w:p w14:paraId="0A0517B0">
            <w:pPr>
              <w:keepNext w:val="0"/>
              <w:keepLines w:val="0"/>
              <w:widowControl/>
              <w:suppressLineNumbers w:val="0"/>
              <w:jc w:val="center"/>
              <w:textAlignment w:val="center"/>
              <w:rPr>
                <w:rFonts w:hint="eastAsia" w:ascii="仿宋" w:hAnsi="仿宋" w:eastAsia="仿宋" w:cs="仿宋"/>
                <w:kern w:val="2"/>
                <w:sz w:val="28"/>
                <w:szCs w:val="28"/>
                <w:vertAlign w:val="baseline"/>
                <w:lang w:val="en-US" w:eastAsia="zh-CN" w:bidi="ar-SA"/>
              </w:rPr>
            </w:pPr>
            <w:r>
              <w:rPr>
                <w:rFonts w:hint="eastAsia" w:ascii="仿宋" w:hAnsi="仿宋" w:eastAsia="仿宋" w:cs="仿宋"/>
                <w:kern w:val="2"/>
                <w:sz w:val="28"/>
                <w:szCs w:val="28"/>
                <w:vertAlign w:val="baseline"/>
                <w:lang w:val="en-US" w:eastAsia="zh-CN" w:bidi="ar-SA"/>
              </w:rPr>
              <w:t>经济责任审计</w:t>
            </w:r>
          </w:p>
        </w:tc>
        <w:tc>
          <w:tcPr>
            <w:tcW w:w="1650" w:type="dxa"/>
            <w:vAlign w:val="center"/>
          </w:tcPr>
          <w:p w14:paraId="6C74033B">
            <w:pPr>
              <w:keepNext w:val="0"/>
              <w:keepLines w:val="0"/>
              <w:widowControl/>
              <w:suppressLineNumbers w:val="0"/>
              <w:jc w:val="center"/>
              <w:textAlignment w:val="center"/>
              <w:rPr>
                <w:rFonts w:hint="eastAsia" w:ascii="仿宋" w:hAnsi="仿宋" w:eastAsia="仿宋" w:cs="仿宋"/>
                <w:sz w:val="28"/>
                <w:szCs w:val="28"/>
                <w:vertAlign w:val="baseline"/>
              </w:rPr>
            </w:pPr>
            <w:r>
              <w:rPr>
                <w:rFonts w:hint="eastAsia" w:ascii="仿宋" w:hAnsi="仿宋" w:eastAsia="仿宋" w:cs="仿宋"/>
                <w:i w:val="0"/>
                <w:color w:val="000000"/>
                <w:kern w:val="0"/>
                <w:sz w:val="28"/>
                <w:szCs w:val="28"/>
                <w:u w:val="none"/>
                <w:lang w:val="en-US" w:eastAsia="zh-CN" w:bidi="ar"/>
              </w:rPr>
              <w:t>725.99</w:t>
            </w:r>
          </w:p>
        </w:tc>
        <w:tc>
          <w:tcPr>
            <w:tcW w:w="1100" w:type="dxa"/>
            <w:vMerge w:val="restart"/>
            <w:vAlign w:val="center"/>
          </w:tcPr>
          <w:p w14:paraId="4017981A">
            <w:pPr>
              <w:pStyle w:val="15"/>
              <w:jc w:val="center"/>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5.68</w:t>
            </w:r>
          </w:p>
        </w:tc>
        <w:tc>
          <w:tcPr>
            <w:tcW w:w="950" w:type="dxa"/>
            <w:vMerge w:val="restart"/>
            <w:vAlign w:val="center"/>
          </w:tcPr>
          <w:p w14:paraId="0BDF706A">
            <w:pPr>
              <w:pStyle w:val="15"/>
              <w:jc w:val="center"/>
              <w:rPr>
                <w:rFonts w:hint="eastAsia" w:ascii="仿宋" w:hAnsi="仿宋" w:eastAsia="仿宋" w:cs="仿宋"/>
                <w:sz w:val="28"/>
                <w:szCs w:val="28"/>
                <w:vertAlign w:val="baseline"/>
              </w:rPr>
            </w:pPr>
          </w:p>
        </w:tc>
      </w:tr>
      <w:tr w14:paraId="53A74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vAlign w:val="center"/>
          </w:tcPr>
          <w:p w14:paraId="34486D4A">
            <w:pPr>
              <w:pStyle w:val="15"/>
              <w:jc w:val="center"/>
              <w:rPr>
                <w:rFonts w:hint="eastAsia" w:ascii="仿宋" w:hAnsi="仿宋" w:eastAsia="仿宋" w:cs="仿宋"/>
                <w:sz w:val="28"/>
                <w:szCs w:val="28"/>
                <w:vertAlign w:val="baseline"/>
              </w:rPr>
            </w:pPr>
          </w:p>
        </w:tc>
        <w:tc>
          <w:tcPr>
            <w:tcW w:w="1133" w:type="dxa"/>
            <w:vMerge w:val="continue"/>
            <w:vAlign w:val="center"/>
          </w:tcPr>
          <w:p w14:paraId="4190BECA">
            <w:pPr>
              <w:pStyle w:val="15"/>
              <w:jc w:val="center"/>
              <w:rPr>
                <w:rFonts w:hint="eastAsia" w:ascii="仿宋" w:hAnsi="仿宋" w:eastAsia="仿宋" w:cs="仿宋"/>
                <w:sz w:val="28"/>
                <w:szCs w:val="28"/>
                <w:vertAlign w:val="baseline"/>
              </w:rPr>
            </w:pPr>
          </w:p>
        </w:tc>
        <w:tc>
          <w:tcPr>
            <w:tcW w:w="1767" w:type="dxa"/>
            <w:vAlign w:val="center"/>
          </w:tcPr>
          <w:p w14:paraId="16F2C760">
            <w:pPr>
              <w:pStyle w:val="15"/>
              <w:jc w:val="center"/>
              <w:rPr>
                <w:rFonts w:hint="eastAsia" w:ascii="仿宋" w:hAnsi="仿宋" w:eastAsia="仿宋" w:cs="仿宋"/>
                <w:kern w:val="2"/>
                <w:sz w:val="28"/>
                <w:szCs w:val="28"/>
                <w:vertAlign w:val="baseline"/>
                <w:lang w:val="en-US" w:eastAsia="zh-CN" w:bidi="ar-SA"/>
              </w:rPr>
            </w:pPr>
            <w:r>
              <w:rPr>
                <w:rFonts w:hint="eastAsia" w:ascii="仿宋" w:hAnsi="仿宋" w:eastAsia="仿宋" w:cs="仿宋"/>
                <w:sz w:val="28"/>
                <w:szCs w:val="28"/>
                <w:vertAlign w:val="baseline"/>
                <w:lang w:eastAsia="zh-CN"/>
              </w:rPr>
              <w:t>衡东县大队</w:t>
            </w:r>
          </w:p>
        </w:tc>
        <w:tc>
          <w:tcPr>
            <w:tcW w:w="2100" w:type="dxa"/>
            <w:vAlign w:val="center"/>
          </w:tcPr>
          <w:p w14:paraId="380336C0">
            <w:pPr>
              <w:keepNext w:val="0"/>
              <w:keepLines w:val="0"/>
              <w:widowControl/>
              <w:suppressLineNumbers w:val="0"/>
              <w:jc w:val="center"/>
              <w:textAlignment w:val="center"/>
              <w:rPr>
                <w:rFonts w:hint="eastAsia" w:ascii="仿宋" w:hAnsi="仿宋" w:eastAsia="仿宋" w:cs="仿宋"/>
                <w:kern w:val="2"/>
                <w:sz w:val="28"/>
                <w:szCs w:val="28"/>
                <w:vertAlign w:val="baseline"/>
                <w:lang w:val="en-US" w:eastAsia="zh-CN" w:bidi="ar-SA"/>
              </w:rPr>
            </w:pPr>
            <w:r>
              <w:rPr>
                <w:rFonts w:hint="eastAsia" w:ascii="仿宋" w:hAnsi="仿宋" w:eastAsia="仿宋" w:cs="仿宋"/>
                <w:kern w:val="2"/>
                <w:sz w:val="28"/>
                <w:szCs w:val="28"/>
                <w:vertAlign w:val="baseline"/>
                <w:lang w:val="en-US" w:eastAsia="zh-CN" w:bidi="ar-SA"/>
              </w:rPr>
              <w:t>经济责任审计</w:t>
            </w:r>
          </w:p>
        </w:tc>
        <w:tc>
          <w:tcPr>
            <w:tcW w:w="1650" w:type="dxa"/>
            <w:vAlign w:val="center"/>
          </w:tcPr>
          <w:p w14:paraId="3A290B91">
            <w:pPr>
              <w:keepNext w:val="0"/>
              <w:keepLines w:val="0"/>
              <w:widowControl/>
              <w:suppressLineNumbers w:val="0"/>
              <w:jc w:val="center"/>
              <w:textAlignment w:val="center"/>
              <w:rPr>
                <w:rFonts w:hint="eastAsia" w:ascii="仿宋" w:hAnsi="仿宋" w:eastAsia="仿宋" w:cs="仿宋"/>
                <w:sz w:val="28"/>
                <w:szCs w:val="28"/>
                <w:vertAlign w:val="baseline"/>
              </w:rPr>
            </w:pPr>
            <w:r>
              <w:rPr>
                <w:rFonts w:hint="eastAsia" w:ascii="仿宋" w:hAnsi="仿宋" w:eastAsia="仿宋" w:cs="仿宋"/>
                <w:i w:val="0"/>
                <w:color w:val="000000"/>
                <w:kern w:val="0"/>
                <w:sz w:val="28"/>
                <w:szCs w:val="28"/>
                <w:u w:val="none"/>
                <w:lang w:val="en-US" w:eastAsia="zh-CN" w:bidi="ar"/>
              </w:rPr>
              <w:t>585.05</w:t>
            </w:r>
          </w:p>
        </w:tc>
        <w:tc>
          <w:tcPr>
            <w:tcW w:w="1100" w:type="dxa"/>
            <w:vMerge w:val="continue"/>
            <w:vAlign w:val="center"/>
          </w:tcPr>
          <w:p w14:paraId="7FD94B2B">
            <w:pPr>
              <w:pStyle w:val="15"/>
              <w:jc w:val="center"/>
              <w:rPr>
                <w:rFonts w:hint="eastAsia" w:ascii="仿宋" w:hAnsi="仿宋" w:eastAsia="仿宋" w:cs="仿宋"/>
                <w:sz w:val="28"/>
                <w:szCs w:val="28"/>
                <w:vertAlign w:val="baseline"/>
              </w:rPr>
            </w:pPr>
          </w:p>
        </w:tc>
        <w:tc>
          <w:tcPr>
            <w:tcW w:w="950" w:type="dxa"/>
            <w:vMerge w:val="continue"/>
            <w:vAlign w:val="center"/>
          </w:tcPr>
          <w:p w14:paraId="0B729BBF">
            <w:pPr>
              <w:pStyle w:val="15"/>
              <w:jc w:val="center"/>
              <w:rPr>
                <w:rFonts w:hint="eastAsia" w:ascii="仿宋" w:hAnsi="仿宋" w:eastAsia="仿宋" w:cs="仿宋"/>
                <w:sz w:val="28"/>
                <w:szCs w:val="28"/>
                <w:vertAlign w:val="baseline"/>
              </w:rPr>
            </w:pPr>
          </w:p>
        </w:tc>
      </w:tr>
      <w:tr w14:paraId="1A004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vAlign w:val="center"/>
          </w:tcPr>
          <w:p w14:paraId="07D2AF8E">
            <w:pPr>
              <w:pStyle w:val="15"/>
              <w:jc w:val="center"/>
              <w:rPr>
                <w:rFonts w:hint="eastAsia" w:ascii="仿宋" w:hAnsi="仿宋" w:eastAsia="仿宋" w:cs="仿宋"/>
                <w:sz w:val="28"/>
                <w:szCs w:val="28"/>
                <w:vertAlign w:val="baseline"/>
              </w:rPr>
            </w:pPr>
          </w:p>
        </w:tc>
        <w:tc>
          <w:tcPr>
            <w:tcW w:w="1133" w:type="dxa"/>
            <w:vMerge w:val="continue"/>
            <w:vAlign w:val="center"/>
          </w:tcPr>
          <w:p w14:paraId="3BDDC91A">
            <w:pPr>
              <w:pStyle w:val="15"/>
              <w:jc w:val="center"/>
              <w:rPr>
                <w:rFonts w:hint="eastAsia" w:ascii="仿宋" w:hAnsi="仿宋" w:eastAsia="仿宋" w:cs="仿宋"/>
                <w:sz w:val="28"/>
                <w:szCs w:val="28"/>
                <w:vertAlign w:val="baseline"/>
              </w:rPr>
            </w:pPr>
          </w:p>
        </w:tc>
        <w:tc>
          <w:tcPr>
            <w:tcW w:w="1767" w:type="dxa"/>
            <w:vAlign w:val="center"/>
          </w:tcPr>
          <w:p w14:paraId="41A2F453">
            <w:pPr>
              <w:pStyle w:val="15"/>
              <w:jc w:val="center"/>
              <w:rPr>
                <w:rFonts w:hint="eastAsia" w:ascii="仿宋" w:hAnsi="仿宋" w:eastAsia="仿宋" w:cs="仿宋"/>
                <w:kern w:val="2"/>
                <w:sz w:val="28"/>
                <w:szCs w:val="28"/>
                <w:vertAlign w:val="baseline"/>
                <w:lang w:val="en-US" w:eastAsia="zh-CN" w:bidi="ar-SA"/>
              </w:rPr>
            </w:pPr>
            <w:r>
              <w:rPr>
                <w:rFonts w:hint="eastAsia" w:ascii="仿宋" w:hAnsi="仿宋" w:eastAsia="仿宋" w:cs="仿宋"/>
                <w:sz w:val="28"/>
                <w:szCs w:val="28"/>
                <w:vertAlign w:val="baseline"/>
                <w:lang w:eastAsia="zh-CN"/>
              </w:rPr>
              <w:t>珠晖区大队</w:t>
            </w:r>
          </w:p>
        </w:tc>
        <w:tc>
          <w:tcPr>
            <w:tcW w:w="2100" w:type="dxa"/>
            <w:vAlign w:val="center"/>
          </w:tcPr>
          <w:p w14:paraId="4686B1E1">
            <w:pPr>
              <w:keepNext w:val="0"/>
              <w:keepLines w:val="0"/>
              <w:widowControl/>
              <w:suppressLineNumbers w:val="0"/>
              <w:jc w:val="center"/>
              <w:textAlignment w:val="center"/>
              <w:rPr>
                <w:rFonts w:hint="eastAsia" w:ascii="仿宋" w:hAnsi="仿宋" w:eastAsia="仿宋" w:cs="仿宋"/>
                <w:kern w:val="2"/>
                <w:sz w:val="28"/>
                <w:szCs w:val="28"/>
                <w:vertAlign w:val="baseline"/>
                <w:lang w:val="en-US" w:eastAsia="zh-CN" w:bidi="ar-SA"/>
              </w:rPr>
            </w:pPr>
            <w:r>
              <w:rPr>
                <w:rFonts w:hint="eastAsia" w:ascii="仿宋" w:hAnsi="仿宋" w:eastAsia="仿宋" w:cs="仿宋"/>
                <w:kern w:val="2"/>
                <w:sz w:val="28"/>
                <w:szCs w:val="28"/>
                <w:vertAlign w:val="baseline"/>
                <w:lang w:val="en-US" w:eastAsia="zh-CN" w:bidi="ar-SA"/>
              </w:rPr>
              <w:t>经济责任审计</w:t>
            </w:r>
          </w:p>
        </w:tc>
        <w:tc>
          <w:tcPr>
            <w:tcW w:w="1650" w:type="dxa"/>
            <w:vAlign w:val="center"/>
          </w:tcPr>
          <w:p w14:paraId="36B4D925">
            <w:pPr>
              <w:keepNext w:val="0"/>
              <w:keepLines w:val="0"/>
              <w:widowControl/>
              <w:suppressLineNumbers w:val="0"/>
              <w:jc w:val="center"/>
              <w:textAlignment w:val="center"/>
              <w:rPr>
                <w:rFonts w:hint="eastAsia" w:ascii="仿宋" w:hAnsi="仿宋" w:eastAsia="仿宋" w:cs="仿宋"/>
                <w:sz w:val="28"/>
                <w:szCs w:val="28"/>
                <w:vertAlign w:val="baseline"/>
              </w:rPr>
            </w:pPr>
            <w:r>
              <w:rPr>
                <w:rFonts w:hint="eastAsia" w:ascii="仿宋" w:hAnsi="仿宋" w:eastAsia="仿宋" w:cs="仿宋"/>
                <w:i w:val="0"/>
                <w:color w:val="000000"/>
                <w:kern w:val="0"/>
                <w:sz w:val="28"/>
                <w:szCs w:val="28"/>
                <w:u w:val="none"/>
                <w:lang w:val="en-US" w:eastAsia="zh-CN" w:bidi="ar"/>
              </w:rPr>
              <w:t>1020.45</w:t>
            </w:r>
          </w:p>
        </w:tc>
        <w:tc>
          <w:tcPr>
            <w:tcW w:w="1100" w:type="dxa"/>
            <w:vMerge w:val="continue"/>
            <w:vAlign w:val="center"/>
          </w:tcPr>
          <w:p w14:paraId="47879E45">
            <w:pPr>
              <w:pStyle w:val="15"/>
              <w:jc w:val="center"/>
              <w:rPr>
                <w:rFonts w:hint="eastAsia" w:ascii="仿宋" w:hAnsi="仿宋" w:eastAsia="仿宋" w:cs="仿宋"/>
                <w:sz w:val="28"/>
                <w:szCs w:val="28"/>
                <w:vertAlign w:val="baseline"/>
              </w:rPr>
            </w:pPr>
          </w:p>
        </w:tc>
        <w:tc>
          <w:tcPr>
            <w:tcW w:w="950" w:type="dxa"/>
            <w:vMerge w:val="continue"/>
            <w:vAlign w:val="center"/>
          </w:tcPr>
          <w:p w14:paraId="246D4EB2">
            <w:pPr>
              <w:pStyle w:val="15"/>
              <w:jc w:val="center"/>
              <w:rPr>
                <w:rFonts w:hint="eastAsia" w:ascii="仿宋" w:hAnsi="仿宋" w:eastAsia="仿宋" w:cs="仿宋"/>
                <w:sz w:val="28"/>
                <w:szCs w:val="28"/>
                <w:vertAlign w:val="baseline"/>
              </w:rPr>
            </w:pPr>
          </w:p>
        </w:tc>
      </w:tr>
      <w:tr w14:paraId="3E031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vAlign w:val="center"/>
          </w:tcPr>
          <w:p w14:paraId="75CB39BE">
            <w:pPr>
              <w:pStyle w:val="15"/>
              <w:jc w:val="center"/>
              <w:rPr>
                <w:rFonts w:hint="eastAsia" w:ascii="仿宋" w:hAnsi="仿宋" w:eastAsia="仿宋" w:cs="仿宋"/>
                <w:sz w:val="28"/>
                <w:szCs w:val="28"/>
                <w:vertAlign w:val="baseline"/>
              </w:rPr>
            </w:pPr>
          </w:p>
        </w:tc>
        <w:tc>
          <w:tcPr>
            <w:tcW w:w="1133" w:type="dxa"/>
            <w:vMerge w:val="continue"/>
            <w:vAlign w:val="center"/>
          </w:tcPr>
          <w:p w14:paraId="0CB66FF2">
            <w:pPr>
              <w:pStyle w:val="15"/>
              <w:jc w:val="center"/>
              <w:rPr>
                <w:rFonts w:hint="eastAsia" w:ascii="仿宋" w:hAnsi="仿宋" w:eastAsia="仿宋" w:cs="仿宋"/>
                <w:sz w:val="28"/>
                <w:szCs w:val="28"/>
                <w:vertAlign w:val="baseline"/>
              </w:rPr>
            </w:pPr>
          </w:p>
        </w:tc>
        <w:tc>
          <w:tcPr>
            <w:tcW w:w="1767" w:type="dxa"/>
            <w:vAlign w:val="center"/>
          </w:tcPr>
          <w:p w14:paraId="29F9F982">
            <w:pPr>
              <w:pStyle w:val="15"/>
              <w:jc w:val="center"/>
              <w:rPr>
                <w:rFonts w:hint="eastAsia" w:ascii="仿宋" w:hAnsi="仿宋" w:eastAsia="仿宋" w:cs="仿宋"/>
                <w:kern w:val="2"/>
                <w:sz w:val="28"/>
                <w:szCs w:val="28"/>
                <w:vertAlign w:val="baseline"/>
                <w:lang w:val="en-US" w:eastAsia="zh-CN" w:bidi="ar-SA"/>
              </w:rPr>
            </w:pPr>
            <w:r>
              <w:rPr>
                <w:rFonts w:hint="eastAsia" w:ascii="仿宋" w:hAnsi="仿宋" w:eastAsia="仿宋" w:cs="仿宋"/>
                <w:sz w:val="28"/>
                <w:szCs w:val="28"/>
                <w:vertAlign w:val="baseline"/>
                <w:lang w:eastAsia="zh-CN"/>
              </w:rPr>
              <w:t>祁东县大队</w:t>
            </w:r>
          </w:p>
        </w:tc>
        <w:tc>
          <w:tcPr>
            <w:tcW w:w="2100" w:type="dxa"/>
            <w:vAlign w:val="center"/>
          </w:tcPr>
          <w:p w14:paraId="0FD250EC">
            <w:pPr>
              <w:keepNext w:val="0"/>
              <w:keepLines w:val="0"/>
              <w:widowControl/>
              <w:suppressLineNumbers w:val="0"/>
              <w:jc w:val="center"/>
              <w:textAlignment w:val="center"/>
              <w:rPr>
                <w:rFonts w:hint="eastAsia" w:ascii="仿宋" w:hAnsi="仿宋" w:eastAsia="仿宋" w:cs="仿宋"/>
                <w:kern w:val="2"/>
                <w:sz w:val="28"/>
                <w:szCs w:val="28"/>
                <w:vertAlign w:val="baseline"/>
                <w:lang w:val="en-US" w:eastAsia="zh-CN" w:bidi="ar-SA"/>
              </w:rPr>
            </w:pPr>
            <w:r>
              <w:rPr>
                <w:rFonts w:hint="eastAsia" w:ascii="仿宋" w:hAnsi="仿宋" w:eastAsia="仿宋" w:cs="仿宋"/>
                <w:kern w:val="2"/>
                <w:sz w:val="28"/>
                <w:szCs w:val="28"/>
                <w:vertAlign w:val="baseline"/>
                <w:lang w:val="en-US" w:eastAsia="zh-CN" w:bidi="ar-SA"/>
              </w:rPr>
              <w:t>经济责任审计</w:t>
            </w:r>
          </w:p>
        </w:tc>
        <w:tc>
          <w:tcPr>
            <w:tcW w:w="1650" w:type="dxa"/>
            <w:vAlign w:val="center"/>
          </w:tcPr>
          <w:p w14:paraId="3C34E347">
            <w:pPr>
              <w:keepNext w:val="0"/>
              <w:keepLines w:val="0"/>
              <w:widowControl/>
              <w:suppressLineNumbers w:val="0"/>
              <w:jc w:val="center"/>
              <w:textAlignment w:val="center"/>
              <w:rPr>
                <w:rFonts w:hint="eastAsia" w:ascii="仿宋" w:hAnsi="仿宋" w:eastAsia="仿宋" w:cs="仿宋"/>
                <w:sz w:val="28"/>
                <w:szCs w:val="28"/>
                <w:vertAlign w:val="baseline"/>
              </w:rPr>
            </w:pPr>
            <w:r>
              <w:rPr>
                <w:rFonts w:hint="eastAsia" w:ascii="仿宋" w:hAnsi="仿宋" w:eastAsia="仿宋" w:cs="仿宋"/>
                <w:i w:val="0"/>
                <w:color w:val="000000"/>
                <w:kern w:val="0"/>
                <w:sz w:val="28"/>
                <w:szCs w:val="28"/>
                <w:u w:val="none"/>
                <w:lang w:val="en-US" w:eastAsia="zh-CN" w:bidi="ar"/>
              </w:rPr>
              <w:t>1181.66</w:t>
            </w:r>
          </w:p>
        </w:tc>
        <w:tc>
          <w:tcPr>
            <w:tcW w:w="1100" w:type="dxa"/>
            <w:vMerge w:val="continue"/>
            <w:vAlign w:val="center"/>
          </w:tcPr>
          <w:p w14:paraId="428085EB">
            <w:pPr>
              <w:pStyle w:val="15"/>
              <w:jc w:val="center"/>
              <w:rPr>
                <w:rFonts w:hint="eastAsia" w:ascii="仿宋" w:hAnsi="仿宋" w:eastAsia="仿宋" w:cs="仿宋"/>
                <w:sz w:val="28"/>
                <w:szCs w:val="28"/>
                <w:vertAlign w:val="baseline"/>
              </w:rPr>
            </w:pPr>
          </w:p>
        </w:tc>
        <w:tc>
          <w:tcPr>
            <w:tcW w:w="950" w:type="dxa"/>
            <w:vMerge w:val="continue"/>
            <w:vAlign w:val="center"/>
          </w:tcPr>
          <w:p w14:paraId="7BB42FCB">
            <w:pPr>
              <w:pStyle w:val="15"/>
              <w:jc w:val="center"/>
              <w:rPr>
                <w:rFonts w:hint="eastAsia" w:ascii="仿宋" w:hAnsi="仿宋" w:eastAsia="仿宋" w:cs="仿宋"/>
                <w:sz w:val="28"/>
                <w:szCs w:val="28"/>
                <w:vertAlign w:val="baseline"/>
              </w:rPr>
            </w:pPr>
          </w:p>
        </w:tc>
      </w:tr>
      <w:tr w14:paraId="20CC9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vAlign w:val="center"/>
          </w:tcPr>
          <w:p w14:paraId="2AC72E38">
            <w:pPr>
              <w:pStyle w:val="15"/>
              <w:jc w:val="center"/>
              <w:rPr>
                <w:rFonts w:hint="eastAsia" w:ascii="仿宋" w:hAnsi="仿宋" w:eastAsia="仿宋" w:cs="仿宋"/>
                <w:sz w:val="28"/>
                <w:szCs w:val="28"/>
                <w:vertAlign w:val="baseline"/>
              </w:rPr>
            </w:pPr>
          </w:p>
        </w:tc>
        <w:tc>
          <w:tcPr>
            <w:tcW w:w="1133" w:type="dxa"/>
            <w:vMerge w:val="continue"/>
            <w:vAlign w:val="center"/>
          </w:tcPr>
          <w:p w14:paraId="5E523ADE">
            <w:pPr>
              <w:pStyle w:val="15"/>
              <w:jc w:val="center"/>
              <w:rPr>
                <w:rFonts w:hint="eastAsia" w:ascii="仿宋" w:hAnsi="仿宋" w:eastAsia="仿宋" w:cs="仿宋"/>
                <w:sz w:val="28"/>
                <w:szCs w:val="28"/>
                <w:vertAlign w:val="baseline"/>
              </w:rPr>
            </w:pPr>
          </w:p>
        </w:tc>
        <w:tc>
          <w:tcPr>
            <w:tcW w:w="1767" w:type="dxa"/>
            <w:vAlign w:val="center"/>
          </w:tcPr>
          <w:p w14:paraId="0FFDE97D">
            <w:pPr>
              <w:pStyle w:val="15"/>
              <w:jc w:val="center"/>
              <w:rPr>
                <w:rFonts w:hint="eastAsia" w:ascii="仿宋" w:hAnsi="仿宋" w:eastAsia="仿宋" w:cs="仿宋"/>
                <w:kern w:val="2"/>
                <w:sz w:val="28"/>
                <w:szCs w:val="28"/>
                <w:vertAlign w:val="baseline"/>
                <w:lang w:val="en-US" w:eastAsia="zh-CN" w:bidi="ar-SA"/>
              </w:rPr>
            </w:pPr>
            <w:r>
              <w:rPr>
                <w:rFonts w:hint="eastAsia" w:ascii="仿宋" w:hAnsi="仿宋" w:eastAsia="仿宋" w:cs="仿宋"/>
                <w:sz w:val="28"/>
                <w:szCs w:val="28"/>
                <w:vertAlign w:val="baseline"/>
                <w:lang w:eastAsia="zh-CN"/>
              </w:rPr>
              <w:t>衡南县大队</w:t>
            </w:r>
          </w:p>
        </w:tc>
        <w:tc>
          <w:tcPr>
            <w:tcW w:w="2100" w:type="dxa"/>
            <w:vAlign w:val="center"/>
          </w:tcPr>
          <w:p w14:paraId="3C79F695">
            <w:pPr>
              <w:keepNext w:val="0"/>
              <w:keepLines w:val="0"/>
              <w:widowControl/>
              <w:suppressLineNumbers w:val="0"/>
              <w:jc w:val="center"/>
              <w:textAlignment w:val="center"/>
              <w:rPr>
                <w:rFonts w:hint="eastAsia" w:ascii="仿宋" w:hAnsi="仿宋" w:eastAsia="仿宋" w:cs="仿宋"/>
                <w:kern w:val="2"/>
                <w:sz w:val="28"/>
                <w:szCs w:val="28"/>
                <w:vertAlign w:val="baseline"/>
                <w:lang w:val="en-US" w:eastAsia="zh-CN" w:bidi="ar-SA"/>
              </w:rPr>
            </w:pPr>
            <w:r>
              <w:rPr>
                <w:rFonts w:hint="eastAsia" w:ascii="仿宋" w:hAnsi="仿宋" w:eastAsia="仿宋" w:cs="仿宋"/>
                <w:kern w:val="2"/>
                <w:sz w:val="28"/>
                <w:szCs w:val="28"/>
                <w:vertAlign w:val="baseline"/>
                <w:lang w:val="en-US" w:eastAsia="zh-CN" w:bidi="ar-SA"/>
              </w:rPr>
              <w:t>经济责任审计</w:t>
            </w:r>
          </w:p>
        </w:tc>
        <w:tc>
          <w:tcPr>
            <w:tcW w:w="1650" w:type="dxa"/>
            <w:vAlign w:val="center"/>
          </w:tcPr>
          <w:p w14:paraId="203B4074">
            <w:pPr>
              <w:keepNext w:val="0"/>
              <w:keepLines w:val="0"/>
              <w:widowControl/>
              <w:suppressLineNumbers w:val="0"/>
              <w:jc w:val="center"/>
              <w:textAlignment w:val="center"/>
              <w:rPr>
                <w:rFonts w:hint="eastAsia" w:ascii="仿宋" w:hAnsi="仿宋" w:eastAsia="仿宋" w:cs="仿宋"/>
                <w:sz w:val="28"/>
                <w:szCs w:val="28"/>
                <w:vertAlign w:val="baseline"/>
              </w:rPr>
            </w:pPr>
            <w:r>
              <w:rPr>
                <w:rFonts w:hint="eastAsia" w:ascii="仿宋" w:hAnsi="仿宋" w:eastAsia="仿宋" w:cs="仿宋"/>
                <w:i w:val="0"/>
                <w:color w:val="000000"/>
                <w:kern w:val="0"/>
                <w:sz w:val="28"/>
                <w:szCs w:val="28"/>
                <w:u w:val="none"/>
                <w:lang w:val="en-US" w:eastAsia="zh-CN" w:bidi="ar"/>
              </w:rPr>
              <w:t>622.12</w:t>
            </w:r>
          </w:p>
        </w:tc>
        <w:tc>
          <w:tcPr>
            <w:tcW w:w="1100" w:type="dxa"/>
            <w:vMerge w:val="continue"/>
            <w:vAlign w:val="center"/>
          </w:tcPr>
          <w:p w14:paraId="2BFC65C9">
            <w:pPr>
              <w:pStyle w:val="15"/>
              <w:jc w:val="center"/>
              <w:rPr>
                <w:rFonts w:hint="eastAsia" w:ascii="仿宋" w:hAnsi="仿宋" w:eastAsia="仿宋" w:cs="仿宋"/>
                <w:sz w:val="28"/>
                <w:szCs w:val="28"/>
                <w:vertAlign w:val="baseline"/>
              </w:rPr>
            </w:pPr>
          </w:p>
        </w:tc>
        <w:tc>
          <w:tcPr>
            <w:tcW w:w="950" w:type="dxa"/>
            <w:vMerge w:val="continue"/>
            <w:vAlign w:val="center"/>
          </w:tcPr>
          <w:p w14:paraId="32661DAA">
            <w:pPr>
              <w:pStyle w:val="15"/>
              <w:jc w:val="center"/>
              <w:rPr>
                <w:rFonts w:hint="eastAsia" w:ascii="仿宋" w:hAnsi="仿宋" w:eastAsia="仿宋" w:cs="仿宋"/>
                <w:sz w:val="28"/>
                <w:szCs w:val="28"/>
                <w:vertAlign w:val="baseline"/>
              </w:rPr>
            </w:pPr>
          </w:p>
        </w:tc>
      </w:tr>
      <w:tr w14:paraId="1B2D00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vAlign w:val="center"/>
          </w:tcPr>
          <w:p w14:paraId="307631B0">
            <w:pPr>
              <w:pStyle w:val="15"/>
              <w:jc w:val="center"/>
              <w:rPr>
                <w:rFonts w:hint="eastAsia" w:ascii="仿宋" w:hAnsi="仿宋" w:eastAsia="仿宋" w:cs="仿宋"/>
                <w:sz w:val="28"/>
                <w:szCs w:val="28"/>
                <w:vertAlign w:val="baseline"/>
              </w:rPr>
            </w:pPr>
          </w:p>
        </w:tc>
        <w:tc>
          <w:tcPr>
            <w:tcW w:w="1133" w:type="dxa"/>
            <w:vMerge w:val="continue"/>
            <w:vAlign w:val="center"/>
          </w:tcPr>
          <w:p w14:paraId="24C969B5">
            <w:pPr>
              <w:pStyle w:val="15"/>
              <w:jc w:val="center"/>
              <w:rPr>
                <w:rFonts w:hint="eastAsia" w:ascii="仿宋" w:hAnsi="仿宋" w:eastAsia="仿宋" w:cs="仿宋"/>
                <w:sz w:val="28"/>
                <w:szCs w:val="28"/>
                <w:vertAlign w:val="baseline"/>
              </w:rPr>
            </w:pPr>
          </w:p>
        </w:tc>
        <w:tc>
          <w:tcPr>
            <w:tcW w:w="1767" w:type="dxa"/>
            <w:vAlign w:val="center"/>
          </w:tcPr>
          <w:p w14:paraId="4E273D6C">
            <w:pPr>
              <w:pStyle w:val="15"/>
              <w:jc w:val="center"/>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石鼓区大队</w:t>
            </w:r>
          </w:p>
        </w:tc>
        <w:tc>
          <w:tcPr>
            <w:tcW w:w="2100" w:type="dxa"/>
            <w:vAlign w:val="center"/>
          </w:tcPr>
          <w:p w14:paraId="704F1C68">
            <w:pPr>
              <w:keepNext w:val="0"/>
              <w:keepLines w:val="0"/>
              <w:widowControl/>
              <w:suppressLineNumbers w:val="0"/>
              <w:jc w:val="center"/>
              <w:textAlignment w:val="center"/>
              <w:rPr>
                <w:rFonts w:hint="eastAsia" w:ascii="仿宋" w:hAnsi="仿宋" w:eastAsia="仿宋" w:cs="仿宋"/>
                <w:kern w:val="2"/>
                <w:sz w:val="28"/>
                <w:szCs w:val="28"/>
                <w:vertAlign w:val="baseline"/>
                <w:lang w:val="en-US" w:eastAsia="zh-CN" w:bidi="ar-SA"/>
              </w:rPr>
            </w:pPr>
            <w:r>
              <w:rPr>
                <w:rFonts w:hint="eastAsia" w:ascii="仿宋" w:hAnsi="仿宋" w:eastAsia="仿宋" w:cs="仿宋"/>
                <w:kern w:val="2"/>
                <w:sz w:val="28"/>
                <w:szCs w:val="28"/>
                <w:vertAlign w:val="baseline"/>
                <w:lang w:val="en-US" w:eastAsia="zh-CN" w:bidi="ar-SA"/>
              </w:rPr>
              <w:t>经济责任审计</w:t>
            </w:r>
          </w:p>
        </w:tc>
        <w:tc>
          <w:tcPr>
            <w:tcW w:w="1650" w:type="dxa"/>
            <w:vAlign w:val="center"/>
          </w:tcPr>
          <w:p w14:paraId="74901D1F">
            <w:pPr>
              <w:keepNext w:val="0"/>
              <w:keepLines w:val="0"/>
              <w:widowControl/>
              <w:suppressLineNumbers w:val="0"/>
              <w:jc w:val="center"/>
              <w:textAlignment w:val="center"/>
              <w:rPr>
                <w:rFonts w:hint="eastAsia" w:ascii="仿宋" w:hAnsi="仿宋" w:eastAsia="仿宋" w:cs="仿宋"/>
                <w:sz w:val="28"/>
                <w:szCs w:val="28"/>
                <w:vertAlign w:val="baseline"/>
              </w:rPr>
            </w:pPr>
            <w:r>
              <w:rPr>
                <w:rFonts w:hint="eastAsia" w:ascii="仿宋" w:hAnsi="仿宋" w:eastAsia="仿宋" w:cs="仿宋"/>
                <w:i w:val="0"/>
                <w:color w:val="000000"/>
                <w:kern w:val="0"/>
                <w:sz w:val="28"/>
                <w:szCs w:val="28"/>
                <w:u w:val="none"/>
                <w:lang w:val="en-US" w:eastAsia="zh-CN" w:bidi="ar"/>
              </w:rPr>
              <w:t>1316.63</w:t>
            </w:r>
          </w:p>
        </w:tc>
        <w:tc>
          <w:tcPr>
            <w:tcW w:w="1100" w:type="dxa"/>
            <w:vMerge w:val="continue"/>
            <w:vAlign w:val="center"/>
          </w:tcPr>
          <w:p w14:paraId="72BFA04B">
            <w:pPr>
              <w:pStyle w:val="15"/>
              <w:jc w:val="center"/>
              <w:rPr>
                <w:rFonts w:hint="eastAsia" w:ascii="仿宋" w:hAnsi="仿宋" w:eastAsia="仿宋" w:cs="仿宋"/>
                <w:sz w:val="28"/>
                <w:szCs w:val="28"/>
                <w:vertAlign w:val="baseline"/>
              </w:rPr>
            </w:pPr>
          </w:p>
        </w:tc>
        <w:tc>
          <w:tcPr>
            <w:tcW w:w="950" w:type="dxa"/>
            <w:vMerge w:val="continue"/>
            <w:vAlign w:val="center"/>
          </w:tcPr>
          <w:p w14:paraId="3386D845">
            <w:pPr>
              <w:pStyle w:val="15"/>
              <w:jc w:val="center"/>
              <w:rPr>
                <w:rFonts w:hint="eastAsia" w:ascii="仿宋" w:hAnsi="仿宋" w:eastAsia="仿宋" w:cs="仿宋"/>
                <w:sz w:val="28"/>
                <w:szCs w:val="28"/>
                <w:vertAlign w:val="baseline"/>
              </w:rPr>
            </w:pPr>
          </w:p>
        </w:tc>
      </w:tr>
      <w:tr w14:paraId="6DE10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vAlign w:val="center"/>
          </w:tcPr>
          <w:p w14:paraId="246CD593">
            <w:pPr>
              <w:pStyle w:val="15"/>
              <w:jc w:val="center"/>
              <w:rPr>
                <w:rFonts w:hint="eastAsia" w:ascii="仿宋" w:hAnsi="仿宋" w:eastAsia="仿宋" w:cs="仿宋"/>
                <w:sz w:val="28"/>
                <w:szCs w:val="28"/>
                <w:vertAlign w:val="baseline"/>
              </w:rPr>
            </w:pPr>
          </w:p>
        </w:tc>
        <w:tc>
          <w:tcPr>
            <w:tcW w:w="1133" w:type="dxa"/>
            <w:vMerge w:val="continue"/>
            <w:vAlign w:val="center"/>
          </w:tcPr>
          <w:p w14:paraId="5292D97A">
            <w:pPr>
              <w:pStyle w:val="15"/>
              <w:jc w:val="center"/>
              <w:rPr>
                <w:rFonts w:hint="eastAsia" w:ascii="仿宋" w:hAnsi="仿宋" w:eastAsia="仿宋" w:cs="仿宋"/>
                <w:sz w:val="28"/>
                <w:szCs w:val="28"/>
                <w:vertAlign w:val="baseline"/>
              </w:rPr>
            </w:pPr>
          </w:p>
        </w:tc>
        <w:tc>
          <w:tcPr>
            <w:tcW w:w="1767" w:type="dxa"/>
            <w:vAlign w:val="center"/>
          </w:tcPr>
          <w:p w14:paraId="5DA35B37">
            <w:pPr>
              <w:pStyle w:val="15"/>
              <w:jc w:val="center"/>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耒阳市大队</w:t>
            </w:r>
          </w:p>
        </w:tc>
        <w:tc>
          <w:tcPr>
            <w:tcW w:w="2100" w:type="dxa"/>
            <w:vAlign w:val="center"/>
          </w:tcPr>
          <w:p w14:paraId="2EFA2DF4">
            <w:pPr>
              <w:keepNext w:val="0"/>
              <w:keepLines w:val="0"/>
              <w:widowControl/>
              <w:suppressLineNumbers w:val="0"/>
              <w:jc w:val="center"/>
              <w:textAlignment w:val="center"/>
              <w:rPr>
                <w:rFonts w:hint="eastAsia" w:ascii="仿宋" w:hAnsi="仿宋" w:eastAsia="仿宋" w:cs="仿宋"/>
                <w:kern w:val="2"/>
                <w:sz w:val="28"/>
                <w:szCs w:val="28"/>
                <w:vertAlign w:val="baseline"/>
                <w:lang w:val="en-US" w:eastAsia="zh-CN" w:bidi="ar-SA"/>
              </w:rPr>
            </w:pPr>
            <w:r>
              <w:rPr>
                <w:rFonts w:hint="eastAsia" w:ascii="仿宋" w:hAnsi="仿宋" w:eastAsia="仿宋" w:cs="仿宋"/>
                <w:kern w:val="2"/>
                <w:sz w:val="28"/>
                <w:szCs w:val="28"/>
                <w:vertAlign w:val="baseline"/>
                <w:lang w:val="en-US" w:eastAsia="zh-CN" w:bidi="ar-SA"/>
              </w:rPr>
              <w:t>经济责任审计</w:t>
            </w:r>
          </w:p>
        </w:tc>
        <w:tc>
          <w:tcPr>
            <w:tcW w:w="1650" w:type="dxa"/>
            <w:vAlign w:val="center"/>
          </w:tcPr>
          <w:p w14:paraId="706E7AA2">
            <w:pPr>
              <w:keepNext w:val="0"/>
              <w:keepLines w:val="0"/>
              <w:widowControl/>
              <w:suppressLineNumbers w:val="0"/>
              <w:jc w:val="center"/>
              <w:textAlignment w:val="center"/>
              <w:rPr>
                <w:rFonts w:hint="eastAsia" w:ascii="仿宋" w:hAnsi="仿宋" w:eastAsia="仿宋" w:cs="仿宋"/>
                <w:sz w:val="28"/>
                <w:szCs w:val="28"/>
                <w:vertAlign w:val="baseline"/>
              </w:rPr>
            </w:pPr>
            <w:r>
              <w:rPr>
                <w:rFonts w:hint="eastAsia" w:ascii="仿宋" w:hAnsi="仿宋" w:eastAsia="仿宋" w:cs="仿宋"/>
                <w:i w:val="0"/>
                <w:color w:val="000000"/>
                <w:kern w:val="0"/>
                <w:sz w:val="28"/>
                <w:szCs w:val="28"/>
                <w:u w:val="none"/>
                <w:lang w:val="en-US" w:eastAsia="zh-CN" w:bidi="ar"/>
              </w:rPr>
              <w:t>1145.92</w:t>
            </w:r>
          </w:p>
        </w:tc>
        <w:tc>
          <w:tcPr>
            <w:tcW w:w="1100" w:type="dxa"/>
            <w:vMerge w:val="continue"/>
            <w:vAlign w:val="center"/>
          </w:tcPr>
          <w:p w14:paraId="5A218CB2">
            <w:pPr>
              <w:pStyle w:val="15"/>
              <w:jc w:val="center"/>
              <w:rPr>
                <w:rFonts w:hint="eastAsia" w:ascii="仿宋" w:hAnsi="仿宋" w:eastAsia="仿宋" w:cs="仿宋"/>
                <w:sz w:val="28"/>
                <w:szCs w:val="28"/>
                <w:vertAlign w:val="baseline"/>
              </w:rPr>
            </w:pPr>
          </w:p>
        </w:tc>
        <w:tc>
          <w:tcPr>
            <w:tcW w:w="950" w:type="dxa"/>
            <w:vMerge w:val="continue"/>
            <w:vAlign w:val="center"/>
          </w:tcPr>
          <w:p w14:paraId="17FB5EC1">
            <w:pPr>
              <w:pStyle w:val="15"/>
              <w:jc w:val="center"/>
              <w:rPr>
                <w:rFonts w:hint="eastAsia" w:ascii="仿宋" w:hAnsi="仿宋" w:eastAsia="仿宋" w:cs="仿宋"/>
                <w:sz w:val="28"/>
                <w:szCs w:val="28"/>
                <w:vertAlign w:val="baseline"/>
              </w:rPr>
            </w:pPr>
          </w:p>
        </w:tc>
      </w:tr>
      <w:tr w14:paraId="21665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vAlign w:val="center"/>
          </w:tcPr>
          <w:p w14:paraId="432A0D97">
            <w:pPr>
              <w:pStyle w:val="15"/>
              <w:jc w:val="center"/>
              <w:rPr>
                <w:rFonts w:hint="eastAsia" w:ascii="仿宋" w:hAnsi="仿宋" w:eastAsia="仿宋" w:cs="仿宋"/>
                <w:sz w:val="28"/>
                <w:szCs w:val="28"/>
                <w:vertAlign w:val="baseline"/>
              </w:rPr>
            </w:pPr>
          </w:p>
        </w:tc>
        <w:tc>
          <w:tcPr>
            <w:tcW w:w="1133" w:type="dxa"/>
            <w:vMerge w:val="continue"/>
            <w:vAlign w:val="center"/>
          </w:tcPr>
          <w:p w14:paraId="1B58038C">
            <w:pPr>
              <w:pStyle w:val="15"/>
              <w:jc w:val="center"/>
              <w:rPr>
                <w:rFonts w:hint="eastAsia" w:ascii="仿宋" w:hAnsi="仿宋" w:eastAsia="仿宋" w:cs="仿宋"/>
                <w:sz w:val="28"/>
                <w:szCs w:val="28"/>
                <w:vertAlign w:val="baseline"/>
              </w:rPr>
            </w:pPr>
          </w:p>
        </w:tc>
        <w:tc>
          <w:tcPr>
            <w:tcW w:w="1767" w:type="dxa"/>
            <w:vAlign w:val="center"/>
          </w:tcPr>
          <w:p w14:paraId="20711BC0">
            <w:pPr>
              <w:pStyle w:val="15"/>
              <w:jc w:val="center"/>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常宁市大队</w:t>
            </w:r>
          </w:p>
        </w:tc>
        <w:tc>
          <w:tcPr>
            <w:tcW w:w="2100" w:type="dxa"/>
            <w:vAlign w:val="center"/>
          </w:tcPr>
          <w:p w14:paraId="47BB862F">
            <w:pPr>
              <w:keepNext w:val="0"/>
              <w:keepLines w:val="0"/>
              <w:widowControl/>
              <w:suppressLineNumbers w:val="0"/>
              <w:jc w:val="center"/>
              <w:textAlignment w:val="center"/>
              <w:rPr>
                <w:rFonts w:hint="eastAsia" w:ascii="仿宋" w:hAnsi="仿宋" w:eastAsia="仿宋" w:cs="仿宋"/>
                <w:kern w:val="2"/>
                <w:sz w:val="28"/>
                <w:szCs w:val="28"/>
                <w:vertAlign w:val="baseline"/>
                <w:lang w:val="en-US" w:eastAsia="zh-CN" w:bidi="ar-SA"/>
              </w:rPr>
            </w:pPr>
            <w:r>
              <w:rPr>
                <w:rFonts w:hint="eastAsia" w:ascii="仿宋" w:hAnsi="仿宋" w:eastAsia="仿宋" w:cs="仿宋"/>
                <w:kern w:val="2"/>
                <w:sz w:val="28"/>
                <w:szCs w:val="28"/>
                <w:vertAlign w:val="baseline"/>
                <w:lang w:val="en-US" w:eastAsia="zh-CN" w:bidi="ar-SA"/>
              </w:rPr>
              <w:t>经济责任审计</w:t>
            </w:r>
          </w:p>
        </w:tc>
        <w:tc>
          <w:tcPr>
            <w:tcW w:w="1650" w:type="dxa"/>
            <w:vAlign w:val="center"/>
          </w:tcPr>
          <w:p w14:paraId="01509459">
            <w:pPr>
              <w:keepNext w:val="0"/>
              <w:keepLines w:val="0"/>
              <w:widowControl/>
              <w:suppressLineNumbers w:val="0"/>
              <w:jc w:val="center"/>
              <w:textAlignment w:val="center"/>
              <w:rPr>
                <w:rFonts w:hint="eastAsia" w:ascii="仿宋" w:hAnsi="仿宋" w:eastAsia="仿宋" w:cs="仿宋"/>
                <w:sz w:val="28"/>
                <w:szCs w:val="28"/>
                <w:vertAlign w:val="baseline"/>
              </w:rPr>
            </w:pPr>
            <w:r>
              <w:rPr>
                <w:rFonts w:hint="eastAsia" w:ascii="仿宋" w:hAnsi="仿宋" w:eastAsia="仿宋" w:cs="仿宋"/>
                <w:i w:val="0"/>
                <w:color w:val="000000"/>
                <w:kern w:val="0"/>
                <w:sz w:val="28"/>
                <w:szCs w:val="28"/>
                <w:u w:val="none"/>
                <w:lang w:val="en-US" w:eastAsia="zh-CN" w:bidi="ar"/>
              </w:rPr>
              <w:t>1150.07</w:t>
            </w:r>
          </w:p>
        </w:tc>
        <w:tc>
          <w:tcPr>
            <w:tcW w:w="1100" w:type="dxa"/>
            <w:vMerge w:val="continue"/>
            <w:vAlign w:val="center"/>
          </w:tcPr>
          <w:p w14:paraId="5EC730FE">
            <w:pPr>
              <w:pStyle w:val="15"/>
              <w:jc w:val="center"/>
              <w:rPr>
                <w:rFonts w:hint="eastAsia" w:ascii="仿宋" w:hAnsi="仿宋" w:eastAsia="仿宋" w:cs="仿宋"/>
                <w:sz w:val="28"/>
                <w:szCs w:val="28"/>
                <w:vertAlign w:val="baseline"/>
              </w:rPr>
            </w:pPr>
          </w:p>
        </w:tc>
        <w:tc>
          <w:tcPr>
            <w:tcW w:w="950" w:type="dxa"/>
            <w:vMerge w:val="continue"/>
            <w:vAlign w:val="center"/>
          </w:tcPr>
          <w:p w14:paraId="40EBFE67">
            <w:pPr>
              <w:pStyle w:val="15"/>
              <w:jc w:val="center"/>
              <w:rPr>
                <w:rFonts w:hint="eastAsia" w:ascii="仿宋" w:hAnsi="仿宋" w:eastAsia="仿宋" w:cs="仿宋"/>
                <w:sz w:val="28"/>
                <w:szCs w:val="28"/>
                <w:vertAlign w:val="baseline"/>
              </w:rPr>
            </w:pPr>
          </w:p>
        </w:tc>
      </w:tr>
      <w:tr w14:paraId="6AA11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6" w:type="dxa"/>
            <w:vMerge w:val="continue"/>
            <w:vAlign w:val="center"/>
          </w:tcPr>
          <w:p w14:paraId="3835D46B">
            <w:pPr>
              <w:pStyle w:val="15"/>
              <w:jc w:val="center"/>
              <w:rPr>
                <w:rFonts w:hint="eastAsia" w:ascii="仿宋" w:hAnsi="仿宋" w:eastAsia="仿宋" w:cs="仿宋"/>
                <w:sz w:val="28"/>
                <w:szCs w:val="28"/>
                <w:vertAlign w:val="baseline"/>
              </w:rPr>
            </w:pPr>
          </w:p>
        </w:tc>
        <w:tc>
          <w:tcPr>
            <w:tcW w:w="1133" w:type="dxa"/>
            <w:vMerge w:val="continue"/>
            <w:vAlign w:val="center"/>
          </w:tcPr>
          <w:p w14:paraId="688F8EFF">
            <w:pPr>
              <w:pStyle w:val="15"/>
              <w:jc w:val="center"/>
              <w:rPr>
                <w:rFonts w:hint="eastAsia" w:ascii="仿宋" w:hAnsi="仿宋" w:eastAsia="仿宋" w:cs="仿宋"/>
                <w:sz w:val="28"/>
                <w:szCs w:val="28"/>
                <w:vertAlign w:val="baseline"/>
              </w:rPr>
            </w:pPr>
          </w:p>
        </w:tc>
        <w:tc>
          <w:tcPr>
            <w:tcW w:w="1767" w:type="dxa"/>
            <w:vAlign w:val="center"/>
          </w:tcPr>
          <w:p w14:paraId="1058C5CE">
            <w:pPr>
              <w:pStyle w:val="15"/>
              <w:jc w:val="center"/>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雁峰区大队</w:t>
            </w:r>
          </w:p>
        </w:tc>
        <w:tc>
          <w:tcPr>
            <w:tcW w:w="2100" w:type="dxa"/>
            <w:vAlign w:val="center"/>
          </w:tcPr>
          <w:p w14:paraId="0E9A9664">
            <w:pPr>
              <w:keepNext w:val="0"/>
              <w:keepLines w:val="0"/>
              <w:widowControl/>
              <w:suppressLineNumbers w:val="0"/>
              <w:jc w:val="center"/>
              <w:textAlignment w:val="center"/>
              <w:rPr>
                <w:rFonts w:hint="eastAsia" w:ascii="仿宋" w:hAnsi="仿宋" w:eastAsia="仿宋" w:cs="仿宋"/>
                <w:i w:val="0"/>
                <w:color w:val="000000"/>
                <w:kern w:val="0"/>
                <w:sz w:val="28"/>
                <w:szCs w:val="28"/>
                <w:u w:val="none"/>
                <w:lang w:val="en-US" w:eastAsia="zh-CN" w:bidi="ar"/>
              </w:rPr>
            </w:pPr>
            <w:r>
              <w:rPr>
                <w:rFonts w:hint="eastAsia" w:ascii="仿宋" w:hAnsi="仿宋" w:eastAsia="仿宋" w:cs="仿宋"/>
                <w:i w:val="0"/>
                <w:color w:val="000000"/>
                <w:kern w:val="0"/>
                <w:sz w:val="28"/>
                <w:szCs w:val="28"/>
                <w:u w:val="none"/>
                <w:lang w:val="en-US" w:eastAsia="zh-CN" w:bidi="ar"/>
              </w:rPr>
              <w:t>离任审计</w:t>
            </w:r>
          </w:p>
        </w:tc>
        <w:tc>
          <w:tcPr>
            <w:tcW w:w="1650" w:type="dxa"/>
            <w:vAlign w:val="center"/>
          </w:tcPr>
          <w:p w14:paraId="22CF3DA0">
            <w:pPr>
              <w:keepNext w:val="0"/>
              <w:keepLines w:val="0"/>
              <w:widowControl/>
              <w:suppressLineNumbers w:val="0"/>
              <w:jc w:val="center"/>
              <w:textAlignment w:val="center"/>
              <w:rPr>
                <w:rFonts w:hint="eastAsia" w:ascii="仿宋" w:hAnsi="仿宋" w:eastAsia="仿宋" w:cs="仿宋"/>
                <w:sz w:val="28"/>
                <w:szCs w:val="28"/>
                <w:vertAlign w:val="baseline"/>
              </w:rPr>
            </w:pPr>
            <w:r>
              <w:rPr>
                <w:rFonts w:hint="eastAsia" w:ascii="仿宋" w:hAnsi="仿宋" w:eastAsia="仿宋" w:cs="仿宋"/>
                <w:i w:val="0"/>
                <w:color w:val="000000"/>
                <w:kern w:val="0"/>
                <w:sz w:val="28"/>
                <w:szCs w:val="28"/>
                <w:u w:val="none"/>
                <w:lang w:val="en-US" w:eastAsia="zh-CN" w:bidi="ar"/>
              </w:rPr>
              <w:t>765.86</w:t>
            </w:r>
          </w:p>
        </w:tc>
        <w:tc>
          <w:tcPr>
            <w:tcW w:w="1100" w:type="dxa"/>
            <w:vMerge w:val="continue"/>
            <w:vAlign w:val="center"/>
          </w:tcPr>
          <w:p w14:paraId="2A9DB350">
            <w:pPr>
              <w:pStyle w:val="15"/>
              <w:jc w:val="center"/>
              <w:rPr>
                <w:rFonts w:hint="eastAsia" w:ascii="仿宋" w:hAnsi="仿宋" w:eastAsia="仿宋" w:cs="仿宋"/>
                <w:sz w:val="28"/>
                <w:szCs w:val="28"/>
                <w:vertAlign w:val="baseline"/>
              </w:rPr>
            </w:pPr>
          </w:p>
        </w:tc>
        <w:tc>
          <w:tcPr>
            <w:tcW w:w="950" w:type="dxa"/>
            <w:vMerge w:val="continue"/>
            <w:vAlign w:val="center"/>
          </w:tcPr>
          <w:p w14:paraId="1B555D61">
            <w:pPr>
              <w:pStyle w:val="15"/>
              <w:jc w:val="center"/>
              <w:rPr>
                <w:rFonts w:hint="eastAsia" w:ascii="仿宋" w:hAnsi="仿宋" w:eastAsia="仿宋" w:cs="仿宋"/>
                <w:sz w:val="28"/>
                <w:szCs w:val="28"/>
                <w:vertAlign w:val="baseline"/>
              </w:rPr>
            </w:pPr>
          </w:p>
        </w:tc>
      </w:tr>
      <w:tr w14:paraId="49C73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trPr>
        <w:tc>
          <w:tcPr>
            <w:tcW w:w="786" w:type="dxa"/>
            <w:vAlign w:val="center"/>
          </w:tcPr>
          <w:p w14:paraId="790A9BB1">
            <w:pPr>
              <w:pStyle w:val="15"/>
              <w:jc w:val="center"/>
              <w:rPr>
                <w:rFonts w:hint="eastAsia" w:ascii="仿宋" w:hAnsi="仿宋" w:eastAsia="仿宋" w:cs="仿宋"/>
                <w:sz w:val="28"/>
                <w:szCs w:val="28"/>
                <w:vertAlign w:val="baseline"/>
                <w:lang w:eastAsia="zh-CN"/>
              </w:rPr>
            </w:pPr>
            <w:r>
              <w:rPr>
                <w:rFonts w:hint="eastAsia" w:ascii="仿宋" w:hAnsi="仿宋" w:eastAsia="仿宋" w:cs="仿宋"/>
                <w:sz w:val="28"/>
                <w:szCs w:val="28"/>
                <w:vertAlign w:val="baseline"/>
                <w:lang w:eastAsia="zh-CN"/>
              </w:rPr>
              <w:t>合计</w:t>
            </w:r>
          </w:p>
        </w:tc>
        <w:tc>
          <w:tcPr>
            <w:tcW w:w="1133" w:type="dxa"/>
            <w:vAlign w:val="center"/>
          </w:tcPr>
          <w:p w14:paraId="5CBCB159">
            <w:pPr>
              <w:pStyle w:val="15"/>
              <w:jc w:val="center"/>
              <w:rPr>
                <w:rFonts w:hint="eastAsia" w:ascii="仿宋" w:hAnsi="仿宋" w:eastAsia="仿宋" w:cs="仿宋"/>
                <w:sz w:val="28"/>
                <w:szCs w:val="28"/>
                <w:vertAlign w:val="baseline"/>
              </w:rPr>
            </w:pPr>
          </w:p>
        </w:tc>
        <w:tc>
          <w:tcPr>
            <w:tcW w:w="1767" w:type="dxa"/>
            <w:vAlign w:val="center"/>
          </w:tcPr>
          <w:p w14:paraId="645B144F">
            <w:pPr>
              <w:pStyle w:val="15"/>
              <w:jc w:val="center"/>
              <w:rPr>
                <w:rFonts w:hint="eastAsia" w:ascii="仿宋" w:hAnsi="仿宋" w:eastAsia="仿宋" w:cs="仿宋"/>
                <w:sz w:val="28"/>
                <w:szCs w:val="28"/>
                <w:vertAlign w:val="baseline"/>
              </w:rPr>
            </w:pPr>
          </w:p>
        </w:tc>
        <w:tc>
          <w:tcPr>
            <w:tcW w:w="2100" w:type="dxa"/>
            <w:vAlign w:val="center"/>
          </w:tcPr>
          <w:p w14:paraId="7391CAFC">
            <w:pPr>
              <w:pStyle w:val="15"/>
              <w:jc w:val="center"/>
              <w:rPr>
                <w:rFonts w:hint="eastAsia" w:ascii="仿宋" w:hAnsi="仿宋" w:eastAsia="仿宋" w:cs="仿宋"/>
                <w:sz w:val="28"/>
                <w:szCs w:val="28"/>
                <w:vertAlign w:val="baseline"/>
              </w:rPr>
            </w:pPr>
          </w:p>
        </w:tc>
        <w:tc>
          <w:tcPr>
            <w:tcW w:w="1650" w:type="dxa"/>
            <w:vAlign w:val="center"/>
          </w:tcPr>
          <w:p w14:paraId="623AF76C">
            <w:pPr>
              <w:pStyle w:val="15"/>
              <w:jc w:val="center"/>
              <w:rPr>
                <w:rFonts w:hint="eastAsia" w:ascii="仿宋" w:hAnsi="仿宋" w:eastAsia="仿宋" w:cs="仿宋"/>
                <w:sz w:val="28"/>
                <w:szCs w:val="28"/>
                <w:vertAlign w:val="baseline"/>
              </w:rPr>
            </w:pPr>
          </w:p>
        </w:tc>
        <w:tc>
          <w:tcPr>
            <w:tcW w:w="1100" w:type="dxa"/>
            <w:vAlign w:val="center"/>
          </w:tcPr>
          <w:p w14:paraId="0DCF1026">
            <w:pPr>
              <w:pStyle w:val="15"/>
              <w:jc w:val="center"/>
              <w:rPr>
                <w:rFonts w:hint="eastAsia" w:ascii="仿宋" w:hAnsi="仿宋" w:eastAsia="仿宋" w:cs="仿宋"/>
                <w:sz w:val="28"/>
                <w:szCs w:val="28"/>
                <w:vertAlign w:val="baseline"/>
                <w:lang w:val="en-US" w:eastAsia="zh-CN"/>
              </w:rPr>
            </w:pPr>
            <w:r>
              <w:rPr>
                <w:rFonts w:hint="eastAsia" w:ascii="仿宋" w:hAnsi="仿宋" w:eastAsia="仿宋" w:cs="仿宋"/>
                <w:sz w:val="28"/>
                <w:szCs w:val="28"/>
                <w:vertAlign w:val="baseline"/>
                <w:lang w:val="en-US" w:eastAsia="zh-CN"/>
              </w:rPr>
              <w:t>10.17</w:t>
            </w:r>
          </w:p>
        </w:tc>
        <w:tc>
          <w:tcPr>
            <w:tcW w:w="950" w:type="dxa"/>
            <w:vAlign w:val="center"/>
          </w:tcPr>
          <w:p w14:paraId="2536AA90">
            <w:pPr>
              <w:pStyle w:val="15"/>
              <w:jc w:val="center"/>
              <w:rPr>
                <w:rFonts w:hint="eastAsia" w:ascii="仿宋" w:hAnsi="仿宋" w:eastAsia="仿宋" w:cs="仿宋"/>
                <w:sz w:val="28"/>
                <w:szCs w:val="28"/>
                <w:vertAlign w:val="baseline"/>
              </w:rPr>
            </w:pPr>
          </w:p>
        </w:tc>
      </w:tr>
    </w:tbl>
    <w:p w14:paraId="5192BB98">
      <w:pPr>
        <w:pStyle w:val="15"/>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F3EA74FA-6824-4C5D-8C0B-29062DFB4DE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embedRegular r:id="rId2" w:fontKey="{27972BC2-B851-4983-88CB-CF4E3FB09D40}"/>
  </w:font>
  <w:font w:name="方正仿宋_GBK">
    <w:panose1 w:val="02000000000000000000"/>
    <w:charset w:val="86"/>
    <w:family w:val="script"/>
    <w:pitch w:val="default"/>
    <w:sig w:usb0="A00002BF" w:usb1="38CF7CFA" w:usb2="00082016" w:usb3="00000000" w:csb0="00040001" w:csb1="00000000"/>
    <w:embedRegular r:id="rId3" w:fontKey="{CC9ED815-E606-46EC-97FA-34214584EED7}"/>
  </w:font>
  <w:font w:name="方正楷体_GBK">
    <w:panose1 w:val="02000000000000000000"/>
    <w:charset w:val="86"/>
    <w:family w:val="auto"/>
    <w:pitch w:val="default"/>
    <w:sig w:usb0="800002BF" w:usb1="38CF7CFA" w:usb2="00000016" w:usb3="00000000" w:csb0="00040000" w:csb1="00000000"/>
    <w:embedRegular r:id="rId4" w:fontKey="{EFAC1D49-53A5-4AC6-838A-40808E430A86}"/>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9"/>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000"/>
    <w:rsid w:val="07F6444C"/>
    <w:rsid w:val="08F57ACE"/>
    <w:rsid w:val="0F4672D5"/>
    <w:rsid w:val="363E0457"/>
    <w:rsid w:val="37133692"/>
    <w:rsid w:val="3B1E43B3"/>
    <w:rsid w:val="3B567FF1"/>
    <w:rsid w:val="3C050185"/>
    <w:rsid w:val="3DBE0CDB"/>
    <w:rsid w:val="430168B1"/>
    <w:rsid w:val="451A3F70"/>
    <w:rsid w:val="4AC46757"/>
    <w:rsid w:val="5277467D"/>
    <w:rsid w:val="58F5796D"/>
    <w:rsid w:val="5BF3F14B"/>
    <w:rsid w:val="6218516E"/>
    <w:rsid w:val="62573C04"/>
    <w:rsid w:val="63781960"/>
    <w:rsid w:val="69E85664"/>
    <w:rsid w:val="6BCA10B1"/>
    <w:rsid w:val="7840713B"/>
    <w:rsid w:val="E4FF278E"/>
    <w:rsid w:val="FEE6CF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99"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等线" w:hAnsi="等线" w:eastAsia="等线" w:cs="宋体"/>
      <w:kern w:val="2"/>
      <w:sz w:val="21"/>
      <w:szCs w:val="22"/>
      <w:lang w:val="en-US" w:eastAsia="zh-CN" w:bidi="ar-SA"/>
    </w:rPr>
  </w:style>
  <w:style w:type="paragraph" w:styleId="3">
    <w:name w:val="heading 2"/>
    <w:basedOn w:val="1"/>
    <w:next w:val="1"/>
    <w:qFormat/>
    <w:uiPriority w:val="0"/>
    <w:pPr>
      <w:keepNext/>
      <w:keepLines/>
      <w:spacing w:line="360" w:lineRule="auto"/>
      <w:outlineLvl w:val="1"/>
    </w:pPr>
    <w:rPr>
      <w:rFonts w:ascii="Arial" w:hAnsi="Arial"/>
      <w:b/>
      <w:bCs/>
      <w:sz w:val="24"/>
      <w:szCs w:val="32"/>
    </w:rPr>
  </w:style>
  <w:style w:type="character" w:default="1" w:styleId="19">
    <w:name w:val="Default Paragraph Font"/>
    <w:qFormat/>
    <w:uiPriority w:val="1"/>
  </w:style>
  <w:style w:type="table" w:default="1" w:styleId="17">
    <w:name w:val="Normal Table"/>
    <w:qFormat/>
    <w:uiPriority w:val="99"/>
    <w:tblPr>
      <w:tblCellMar>
        <w:top w:w="0" w:type="dxa"/>
        <w:left w:w="108" w:type="dxa"/>
        <w:bottom w:w="0" w:type="dxa"/>
        <w:right w:w="108" w:type="dxa"/>
      </w:tblCellMar>
    </w:tblPr>
  </w:style>
  <w:style w:type="paragraph" w:customStyle="1" w:styleId="2">
    <w:name w:val="Default"/>
    <w:next w:val="1"/>
    <w:qFormat/>
    <w:uiPriority w:val="0"/>
    <w:pPr>
      <w:widowControl w:val="0"/>
      <w:autoSpaceDE w:val="0"/>
      <w:autoSpaceDN w:val="0"/>
      <w:adjustRightInd w:val="0"/>
    </w:pPr>
    <w:rPr>
      <w:rFonts w:ascii="黑体" w:hAnsi="Times New Roman" w:eastAsia="黑体" w:cs="Times New Roman"/>
      <w:lang w:val="en-US" w:eastAsia="zh-CN" w:bidi="ar-SA"/>
    </w:rPr>
  </w:style>
  <w:style w:type="paragraph" w:styleId="4">
    <w:name w:val="Normal Indent"/>
    <w:basedOn w:val="1"/>
    <w:next w:val="1"/>
    <w:qFormat/>
    <w:uiPriority w:val="0"/>
    <w:pPr>
      <w:widowControl/>
      <w:ind w:firstLine="420"/>
      <w:jc w:val="left"/>
    </w:pPr>
    <w:rPr>
      <w:kern w:val="0"/>
      <w:sz w:val="20"/>
      <w:szCs w:val="20"/>
    </w:rPr>
  </w:style>
  <w:style w:type="paragraph" w:styleId="5">
    <w:name w:val="annotation text"/>
    <w:basedOn w:val="1"/>
    <w:qFormat/>
    <w:uiPriority w:val="0"/>
    <w:pPr>
      <w:jc w:val="left"/>
    </w:pPr>
  </w:style>
  <w:style w:type="paragraph" w:styleId="6">
    <w:name w:val="Body Text"/>
    <w:basedOn w:val="1"/>
    <w:next w:val="7"/>
    <w:qFormat/>
    <w:uiPriority w:val="99"/>
    <w:pPr>
      <w:spacing w:after="120"/>
    </w:pPr>
    <w:rPr>
      <w:rFonts w:ascii="Calibri" w:hAnsi="Calibri"/>
      <w:kern w:val="0"/>
      <w:sz w:val="20"/>
    </w:rPr>
  </w:style>
  <w:style w:type="paragraph" w:styleId="7">
    <w:name w:val="Body Text First Indent"/>
    <w:basedOn w:val="6"/>
    <w:next w:val="8"/>
    <w:qFormat/>
    <w:uiPriority w:val="0"/>
    <w:pPr>
      <w:ind w:firstLine="420" w:firstLineChars="100"/>
    </w:pPr>
  </w:style>
  <w:style w:type="paragraph" w:styleId="8">
    <w:name w:val="Message Header"/>
    <w:basedOn w:val="1"/>
    <w:next w:val="9"/>
    <w:qFormat/>
    <w:uiPriority w:val="99"/>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sz w:val="24"/>
    </w:rPr>
  </w:style>
  <w:style w:type="paragraph" w:customStyle="1" w:styleId="9">
    <w:name w:val="[宋四中]"/>
    <w:basedOn w:val="10"/>
    <w:qFormat/>
    <w:uiPriority w:val="0"/>
    <w:pPr>
      <w:spacing w:line="360" w:lineRule="auto"/>
      <w:jc w:val="center"/>
    </w:pPr>
    <w:rPr>
      <w:rFonts w:cs="Courier New"/>
      <w:sz w:val="24"/>
    </w:rPr>
  </w:style>
  <w:style w:type="paragraph" w:styleId="10">
    <w:name w:val="Plain Text"/>
    <w:basedOn w:val="1"/>
    <w:qFormat/>
    <w:uiPriority w:val="0"/>
    <w:rPr>
      <w:rFonts w:ascii="宋体" w:hAnsi="Courier New"/>
      <w:kern w:val="0"/>
      <w:sz w:val="20"/>
      <w:szCs w:val="21"/>
    </w:rPr>
  </w:style>
  <w:style w:type="paragraph" w:styleId="11">
    <w:name w:val="Body Text Indent"/>
    <w:basedOn w:val="1"/>
    <w:next w:val="4"/>
    <w:qFormat/>
    <w:uiPriority w:val="0"/>
    <w:pPr>
      <w:spacing w:after="120"/>
      <w:ind w:left="420" w:leftChars="200"/>
    </w:pPr>
  </w:style>
  <w:style w:type="paragraph" w:styleId="12">
    <w:name w:val="footer"/>
    <w:basedOn w:val="1"/>
    <w:link w:val="21"/>
    <w:qFormat/>
    <w:uiPriority w:val="99"/>
    <w:pPr>
      <w:tabs>
        <w:tab w:val="center" w:pos="4153"/>
        <w:tab w:val="right" w:pos="8306"/>
      </w:tabs>
      <w:snapToGrid w:val="0"/>
      <w:jc w:val="left"/>
    </w:pPr>
    <w:rPr>
      <w:sz w:val="18"/>
      <w:szCs w:val="18"/>
    </w:rPr>
  </w:style>
  <w:style w:type="paragraph" w:styleId="13">
    <w:name w:val="envelope return"/>
    <w:basedOn w:val="1"/>
    <w:qFormat/>
    <w:uiPriority w:val="0"/>
    <w:pPr>
      <w:snapToGrid w:val="0"/>
    </w:pPr>
    <w:rPr>
      <w:rFonts w:ascii="Arial" w:hAnsi="Arial"/>
    </w:rPr>
  </w:style>
  <w:style w:type="paragraph" w:styleId="14">
    <w:name w:val="header"/>
    <w:basedOn w:val="1"/>
    <w:link w:val="20"/>
    <w:qFormat/>
    <w:uiPriority w:val="99"/>
    <w:pPr>
      <w:pBdr>
        <w:bottom w:val="single" w:color="auto" w:sz="6" w:space="1"/>
      </w:pBdr>
      <w:tabs>
        <w:tab w:val="center" w:pos="4153"/>
        <w:tab w:val="right" w:pos="8306"/>
      </w:tabs>
      <w:snapToGrid w:val="0"/>
      <w:jc w:val="center"/>
    </w:pPr>
    <w:rPr>
      <w:sz w:val="18"/>
      <w:szCs w:val="18"/>
    </w:rPr>
  </w:style>
  <w:style w:type="paragraph" w:styleId="15">
    <w:name w:val="footnote text"/>
    <w:basedOn w:val="1"/>
    <w:next w:val="16"/>
    <w:qFormat/>
    <w:uiPriority w:val="0"/>
    <w:pPr>
      <w:snapToGrid w:val="0"/>
      <w:jc w:val="left"/>
    </w:pPr>
    <w:rPr>
      <w:sz w:val="18"/>
      <w:szCs w:val="18"/>
    </w:rPr>
  </w:style>
  <w:style w:type="paragraph" w:styleId="16">
    <w:name w:val="Body Text First Indent 2"/>
    <w:basedOn w:val="11"/>
    <w:next w:val="1"/>
    <w:qFormat/>
    <w:uiPriority w:val="99"/>
    <w:pPr>
      <w:ind w:firstLine="420" w:firstLineChars="200"/>
    </w:pPr>
  </w:style>
  <w:style w:type="table" w:styleId="18">
    <w:name w:val="Table Grid"/>
    <w:basedOn w:val="1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20">
    <w:name w:val="页眉 字符"/>
    <w:basedOn w:val="19"/>
    <w:link w:val="14"/>
    <w:qFormat/>
    <w:uiPriority w:val="99"/>
    <w:rPr>
      <w:sz w:val="18"/>
      <w:szCs w:val="18"/>
    </w:rPr>
  </w:style>
  <w:style w:type="character" w:customStyle="1" w:styleId="21">
    <w:name w:val="页脚 字符"/>
    <w:basedOn w:val="19"/>
    <w:link w:val="12"/>
    <w:qFormat/>
    <w:uiPriority w:val="99"/>
    <w:rPr>
      <w:sz w:val="18"/>
      <w:szCs w:val="18"/>
    </w:rPr>
  </w:style>
  <w:style w:type="paragraph" w:styleId="22">
    <w:name w:val="List Paragraph"/>
    <w:basedOn w:val="1"/>
    <w:qFormat/>
    <w:uiPriority w:val="34"/>
    <w:pPr>
      <w:ind w:firstLine="420" w:firstLineChars="200"/>
    </w:pPr>
  </w:style>
  <w:style w:type="character" w:customStyle="1" w:styleId="23">
    <w:name w:val="fontstyle01"/>
    <w:basedOn w:val="19"/>
    <w:qFormat/>
    <w:uiPriority w:val="0"/>
    <w:rPr>
      <w:rFonts w:hint="eastAsia" w:ascii="宋体" w:hAnsi="宋体" w:eastAsia="宋体"/>
      <w:color w:val="000000"/>
      <w:sz w:val="22"/>
      <w:szCs w:val="22"/>
    </w:rPr>
  </w:style>
  <w:style w:type="paragraph" w:customStyle="1" w:styleId="24">
    <w:name w:val="列出段落1"/>
    <w:basedOn w:val="1"/>
    <w:qFormat/>
    <w:uiPriority w:val="0"/>
    <w:pPr>
      <w:ind w:firstLine="420" w:firstLineChars="200"/>
    </w:pPr>
    <w:rPr>
      <w:rFonts w:ascii="Calibri" w:hAnsi="Calibri" w:eastAsia="宋体" w:cs="Times New Roman"/>
      <w:sz w:val="24"/>
      <w:szCs w:val="20"/>
    </w:rPr>
  </w:style>
  <w:style w:type="character" w:customStyle="1" w:styleId="25">
    <w:name w:val="font01"/>
    <w:basedOn w:val="19"/>
    <w:qFormat/>
    <w:uiPriority w:val="0"/>
    <w:rPr>
      <w:rFonts w:hint="eastAsia" w:ascii="宋体" w:hAnsi="宋体" w:eastAsia="宋体" w:cs="宋体"/>
      <w:color w:val="000000"/>
      <w:sz w:val="26"/>
      <w:szCs w:val="26"/>
      <w:u w:val="none"/>
    </w:rPr>
  </w:style>
  <w:style w:type="character" w:customStyle="1" w:styleId="26">
    <w:name w:val="font41"/>
    <w:basedOn w:val="19"/>
    <w:qFormat/>
    <w:uiPriority w:val="0"/>
    <w:rPr>
      <w:rFonts w:hint="eastAsia" w:ascii="宋体" w:hAnsi="宋体" w:eastAsia="宋体" w:cs="宋体"/>
      <w:color w:val="000000"/>
      <w:sz w:val="28"/>
      <w:szCs w:val="28"/>
      <w:u w:val="non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7</Pages>
  <Words>2688</Words>
  <Characters>2884</Characters>
  <Paragraphs>40</Paragraphs>
  <TotalTime>29</TotalTime>
  <ScaleCrop>false</ScaleCrop>
  <LinksUpToDate>false</LinksUpToDate>
  <CharactersWithSpaces>2884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2021-12-08T15:02:00Z</dcterms:created>
  <dc:creator>bian</dc:creator>
  <cp:lastModifiedBy>夏天的小妮子</cp:lastModifiedBy>
  <cp:lastPrinted>2025-02-27T01:12:00Z</cp:lastPrinted>
  <dcterms:modified xsi:type="dcterms:W3CDTF">2025-03-19T09:15:57Z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0E11C36942934BC1AC813972E4F9DFFC_13</vt:lpwstr>
  </property>
  <property fmtid="{D5CDD505-2E9C-101B-9397-08002B2CF9AE}" pid="4" name="KSOTemplateDocerSaveRecord">
    <vt:lpwstr>eyJoZGlkIjoiMzEwNTM5NzYwMDRjMzkwZTVkZjY2ODkwMGIxNGU0OTUiLCJ1c2VySWQiOiIzNDQzMzUyMTkifQ==</vt:lpwstr>
  </property>
</Properties>
</file>